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454041"/>
          <w:spacing w:val="0"/>
          <w:w w:val="100"/>
          <w:position w:val="0"/>
        </w:rPr>
        <w:t>人博</w:t>
      </w:r>
      <w:r>
        <w:rPr>
          <w:spacing w:val="0"/>
          <w:w w:val="100"/>
          <w:position w:val="0"/>
        </w:rPr>
        <w:t>思珏件</w:t>
      </w:r>
      <w:bookmarkEnd w:id="0"/>
      <w:bookmarkEnd w:id="1"/>
      <w:bookmarkEnd w:id="2"/>
    </w:p>
    <w:p>
      <w:pPr>
        <w:pStyle w:val="Style9"/>
        <w:keepNext w:val="0"/>
        <w:keepLines w:val="0"/>
        <w:widowControl w:val="0"/>
        <w:shd w:val="clear" w:color="auto" w:fill="auto"/>
        <w:bidi w:val="0"/>
        <w:spacing w:before="0"/>
        <w:ind w:left="0" w:right="0" w:firstLine="0"/>
        <w:jc w:val="center"/>
      </w:pPr>
      <w:r>
        <w:rPr>
          <w:color w:val="284F99"/>
          <w:spacing w:val="0"/>
          <w:w w:val="100"/>
          <w:position w:val="0"/>
        </w:rPr>
        <w:t xml:space="preserve">J </w:t>
      </w:r>
      <w:r>
        <w:rPr>
          <w:spacing w:val="0"/>
          <w:w w:val="100"/>
          <w:position w:val="0"/>
        </w:rPr>
        <w:t>BOSSSOFT</w:t>
      </w:r>
    </w:p>
    <w:p>
      <w:pPr>
        <w:pStyle w:val="Style1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福建博思软件股份有限公司</w:t>
      </w:r>
    </w:p>
    <w:p>
      <w:pPr>
        <w:pStyle w:val="Style14"/>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2017-023</w:t>
      </w:r>
    </w:p>
    <w:p>
      <w:pPr>
        <w:pStyle w:val="Style14"/>
        <w:keepNext/>
        <w:keepLines/>
        <w:widowControl w:val="0"/>
        <w:shd w:val="clear" w:color="auto" w:fill="auto"/>
        <w:bidi w:val="0"/>
        <w:spacing w:before="0" w:after="56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135" w:right="1102" w:bottom="3135" w:left="1107"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4"/>
        <w:keepNext/>
        <w:keepLines/>
        <w:widowControl w:val="0"/>
        <w:shd w:val="clear" w:color="auto" w:fill="auto"/>
        <w:bidi w:val="0"/>
        <w:spacing w:before="520" w:after="36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第一节重要提示、目录和释义</w:t>
      </w:r>
      <w:bookmarkEnd w:id="10"/>
      <w:bookmarkEnd w:id="11"/>
      <w:bookmarkEnd w:id="12"/>
      <w:bookmarkEnd w:id="9"/>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line="614" w:lineRule="exact"/>
        <w:ind w:left="0" w:right="0"/>
        <w:jc w:val="both"/>
      </w:pPr>
      <w:r>
        <w:rPr>
          <w:color w:val="000000"/>
          <w:spacing w:val="0"/>
          <w:w w:val="100"/>
          <w:position w:val="0"/>
        </w:rPr>
        <w:t>公司负责人陈航、主管会计工作负责人郑升尉及会计机构负责人（会计主管 人员）朱红玉声明：保证年度报告中财务报告的真实、准确、完整。</w:t>
      </w:r>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本报告中所涉及未来的经营计划和经营目标等前瞻性陈述的，并不代表公 司的盈利预测，也不构成公司对投资者的实质承诺，能否实现取决于市场状况 变化等多种因素，存在不确定性，投资者及相关人士均应对此保持足够的风险 认识，并且应当理解计划、预测与承诺之间的差异。</w:t>
      </w:r>
    </w:p>
    <w:p>
      <w:pPr>
        <w:pStyle w:val="Style19"/>
        <w:keepNext w:val="0"/>
        <w:keepLines w:val="0"/>
        <w:widowControl w:val="0"/>
        <w:shd w:val="clear" w:color="auto" w:fill="auto"/>
        <w:bidi w:val="0"/>
        <w:spacing w:before="0" w:line="612" w:lineRule="exact"/>
        <w:ind w:left="0" w:right="0"/>
        <w:jc w:val="both"/>
      </w:pPr>
      <w:r>
        <w:rPr>
          <w:color w:val="000000"/>
          <w:spacing w:val="0"/>
          <w:w w:val="100"/>
          <w:position w:val="0"/>
        </w:rPr>
        <w:t>公司在发展过程中，存在市场竞争风险，技术开发、产品升级风险，信息 安全风险，客户和销售区域集中的风险，核心技术泄露、核心技术人员流失的 风险，新业务、新领域开拓风险、应收账款余额较大风险等风险因素，敬请广 大投资者注意投资风险，详细内容见本报告中第四节第九小节“公司未来发展的 展望，，中“可能面临的风险”。</w:t>
      </w:r>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公司经本次董事会审议通过的利润分配预案为：以68,139,000为基数，向 全体股东每10股派发现金红利</w:t>
      </w:r>
      <w:r>
        <w:rPr>
          <w:color w:val="000000"/>
          <w:spacing w:val="0"/>
          <w:w w:val="100"/>
          <w:position w:val="0"/>
        </w:rPr>
        <w:t>0.00</w:t>
      </w:r>
      <w:r>
        <w:rPr>
          <w:color w:val="000000"/>
          <w:spacing w:val="0"/>
          <w:w w:val="100"/>
          <w:position w:val="0"/>
        </w:rPr>
        <w:t>元（含税），送红股0股（含税），以资本公 积金向全体股东每10股转增0股。</w:t>
      </w:r>
    </w:p>
    <w:p>
      <w:pPr>
        <w:pStyle w:val="Style12"/>
        <w:keepNext w:val="0"/>
        <w:keepLines w:val="0"/>
        <w:widowControl w:val="0"/>
        <w:shd w:val="clear" w:color="auto" w:fill="auto"/>
        <w:bidi w:val="0"/>
        <w:spacing w:before="0" w:after="158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1" w:tooltip="Current Document">
        <w:r>
          <w:rPr>
            <w:color w:val="000000"/>
            <w:spacing w:val="0"/>
            <w:w w:val="100"/>
            <w:position w:val="0"/>
            <w:sz w:val="24"/>
            <w:szCs w:val="24"/>
          </w:rPr>
          <w:t>第三节 公司业务概要</w:t>
        </w:r>
        <w:r>
          <w:rPr>
            <w:color w:val="000000"/>
            <w:spacing w:val="0"/>
            <w:w w:val="100"/>
            <w:position w:val="0"/>
            <w:sz w:val="24"/>
            <w:szCs w:val="24"/>
          </w:rPr>
          <w:tab/>
        </w:r>
        <w:r>
          <w:rPr>
            <w:color w:val="000000"/>
            <w:spacing w:val="0"/>
            <w:w w:val="100"/>
            <w:position w:val="0"/>
            <w:sz w:val="24"/>
            <w:szCs w:val="24"/>
          </w:rPr>
          <w:t>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0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287"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2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84"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49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8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50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542"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57</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32"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62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36"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63</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924"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4"/>
            <w:szCs w:val="24"/>
          </w:rPr>
          <w:t>162</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报告期、本期、本报告期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福建博思软件股份有限公司股东大会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章程、公司章程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哈尔滨博思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哈尔滨博思伟业科技发展有限公司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博思致新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支点国际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保荐机构、国金证券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缴通公共缴费网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公共网上缴费平台，又称公共缴费服务平台，互联网网址为 </w:t>
            </w:r>
            <w:r>
              <w:fldChar w:fldCharType="begin"/>
            </w:r>
            <w:r>
              <w:rPr/>
              <w:instrText> HYPERLINK "http://www.ggjfw.com/%ef%bc%8c%e6%98%af%e5%8f%91%e8%a1%8c%e4%ba%ba%e5%9c%a8%e4%ba%92%e8%81%94%e7%bd%91%e4%b8%8a%e4%b8%ba%e7%bc%b4%e8%b4%b9%e4%ba%ba%e6%8f%90%e4%be%9b%e4%b8%80%e7%ab%99%e5%bc%8f%e7%9a%84%e7%bd%91" </w:instrText>
            </w:r>
            <w:r>
              <w:fldChar w:fldCharType="separate"/>
            </w:r>
            <w:r>
              <w:rPr>
                <w:rFonts w:ascii="Times New Roman" w:eastAsia="Times New Roman" w:hAnsi="Times New Roman" w:cs="Times New Roman"/>
                <w:color w:val="000000"/>
                <w:spacing w:val="0"/>
                <w:w w:val="100"/>
                <w:position w:val="0"/>
              </w:rPr>
              <w:t>http://www.ggjfw.com/</w:t>
            </w:r>
            <w:r>
              <w:rPr>
                <w:color w:val="000000"/>
                <w:spacing w:val="0"/>
                <w:w w:val="100"/>
                <w:position w:val="0"/>
              </w:rPr>
              <w:t>，是发行人在互联网上为缴费人提供一站式的网</w:t>
            </w:r>
            <w:r>
              <w:fldChar w:fldCharType="end"/>
            </w:r>
            <w:r>
              <w:rPr>
                <w:color w:val="000000"/>
                <w:spacing w:val="0"/>
                <w:w w:val="100"/>
                <w:position w:val="0"/>
              </w:rPr>
              <w:t xml:space="preserve"> 上非税业务办理、网上支付和领取财政电子票据的平台。目前主要针 对可以适用网上办理的非税收入业务，如交通违章缴费、会计从业资 格考试报名、公务员录用考试报名、国家司法考试报名等。</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非税收入收缴电子化管理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利用现代信息网络技术，以经过数字签名的合法、有效的电子文件为 依据，全流程在线办理政府非税收入收缴业务的一种管理方式。</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财政电子票据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电子票据在财政票据领域的应用，其核心思想就是实现财政票据无纸 化，利用电子签名、电子签章、身份识别、数据加密等技术，通过计</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算机和互联网以电子信息传递形式实现传统纸质票据的功能，财政电 子票据是传统财政票据的扩展和补充。</w:t>
            </w:r>
          </w:p>
        </w:tc>
      </w:tr>
    </w:tbl>
    <w:p>
      <w:pPr>
        <w:sectPr>
          <w:headerReference w:type="default" r:id="rId7"/>
          <w:footerReference w:type="default" r:id="rId8"/>
          <w:footnotePr>
            <w:pos w:val="pageBottom"/>
            <w:numFmt w:val="decimal"/>
            <w:numRestart w:val="continuous"/>
          </w:footnotePr>
          <w:pgSz w:w="11900" w:h="16840"/>
          <w:pgMar w:top="1441" w:right="1122" w:bottom="1657" w:left="1086" w:header="0" w:footer="3" w:gutter="0"/>
          <w:cols w:space="720"/>
          <w:noEndnote/>
          <w:rtlGutter w:val="0"/>
          <w:docGrid w:linePitch="360"/>
        </w:sectPr>
      </w:pPr>
    </w:p>
    <w:p>
      <w:pPr>
        <w:pStyle w:val="Style14"/>
        <w:keepNext/>
        <w:keepLines/>
        <w:widowControl w:val="0"/>
        <w:shd w:val="clear" w:color="auto" w:fill="auto"/>
        <w:bidi w:val="0"/>
        <w:spacing w:before="520" w:after="560" w:line="240" w:lineRule="auto"/>
        <w:ind w:left="0" w:right="0" w:firstLine="0"/>
        <w:jc w:val="center"/>
      </w:pPr>
      <w:bookmarkStart w:id="16" w:name="bookmark16"/>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bookmarkEnd w:id="16"/>
    </w:p>
    <w:p>
      <w:pPr>
        <w:pStyle w:val="Style27"/>
        <w:keepNext/>
        <w:keepLines/>
        <w:widowControl w:val="0"/>
        <w:shd w:val="clear" w:color="auto" w:fill="auto"/>
        <w:bidi w:val="0"/>
        <w:spacing w:before="0" w:after="320" w:line="240" w:lineRule="auto"/>
        <w:ind w:left="0" w:right="0" w:firstLine="240"/>
        <w:jc w:val="left"/>
      </w:pPr>
      <w:bookmarkStart w:id="20" w:name="bookmark20"/>
      <w:bookmarkStart w:id="21" w:name="bookmark21"/>
      <w:bookmarkStart w:id="22" w:name="bookmark22"/>
      <w:r>
        <w:rPr>
          <w:color w:val="000000"/>
          <w:spacing w:val="0"/>
          <w:w w:val="100"/>
          <w:position w:val="0"/>
          <w:sz w:val="24"/>
          <w:szCs w:val="24"/>
        </w:rPr>
        <w:t>、公司信息</w:t>
      </w:r>
      <w:bookmarkEnd w:id="20"/>
      <w:bookmarkEnd w:id="21"/>
      <w:bookmarkEnd w:id="22"/>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博思软件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Fujian Boss Software Corp.</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Boss Soft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陈航</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福建省闽侯县上街镇科技东路福州高新技术产业区</w:t>
            </w:r>
            <w:r>
              <w:rPr>
                <w:rFonts w:ascii="Times New Roman" w:eastAsia="Times New Roman" w:hAnsi="Times New Roman" w:cs="Times New Roman"/>
                <w:color w:val="000000"/>
                <w:spacing w:val="0"/>
                <w:w w:val="100"/>
                <w:position w:val="0"/>
              </w:rPr>
              <w:t>“</w:t>
            </w:r>
            <w:r>
              <w:rPr>
                <w:color w:val="000000"/>
                <w:spacing w:val="0"/>
                <w:w w:val="100"/>
                <w:position w:val="0"/>
              </w:rPr>
              <w:t>海西高新技术产业园</w:t>
            </w:r>
            <w:r>
              <w:rPr>
                <w:rFonts w:ascii="Times New Roman" w:eastAsia="Times New Roman" w:hAnsi="Times New Roman" w:cs="Times New Roman"/>
                <w:color w:val="000000"/>
                <w:spacing w:val="0"/>
                <w:w w:val="100"/>
                <w:position w:val="0"/>
              </w:rPr>
              <w:t>”</w:t>
            </w:r>
            <w:r>
              <w:rPr>
                <w:color w:val="000000"/>
                <w:spacing w:val="0"/>
                <w:w w:val="100"/>
                <w:position w:val="0"/>
              </w:rPr>
              <w:t>创业大厦</w:t>
            </w:r>
            <w:r>
              <w:rPr>
                <w:rFonts w:ascii="Times New Roman" w:eastAsia="Times New Roman" w:hAnsi="Times New Roman" w:cs="Times New Roman"/>
                <w:color w:val="000000"/>
                <w:spacing w:val="0"/>
                <w:w w:val="100"/>
                <w:position w:val="0"/>
              </w:rPr>
              <w:t>A</w:t>
            </w:r>
            <w:r>
              <w:rPr>
                <w:color w:val="000000"/>
                <w:spacing w:val="0"/>
                <w:w w:val="100"/>
                <w:position w:val="0"/>
              </w:rPr>
              <w:t>区七层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福建省福州市海西高新科技产业园高新大道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"http://www.bosssoft.com.cn" </w:instrText>
            </w:r>
            <w:r>
              <w:fldChar w:fldCharType="separate"/>
            </w:r>
            <w:r>
              <w:rPr>
                <w:rFonts w:ascii="Times New Roman" w:eastAsia="Times New Roman" w:hAnsi="Times New Roman" w:cs="Times New Roman"/>
                <w:color w:val="000000"/>
                <w:spacing w:val="0"/>
                <w:w w:val="100"/>
                <w:position w:val="0"/>
              </w:rPr>
              <w:t>http://www.bosssoft.com.cn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福建省福州市海西高新科技产业园高新 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福建省福州市海西高新科技产业园高新 大道</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0591-87664001</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"mailto:bosssoft@bosssoft.com.cn" </w:instrText>
            </w:r>
            <w:r>
              <w:fldChar w:fldCharType="separate"/>
            </w:r>
            <w:r>
              <w:rPr>
                <w:rFonts w:ascii="Times New Roman" w:eastAsia="Times New Roman" w:hAnsi="Times New Roman" w:cs="Times New Roman"/>
                <w:color w:val="000000"/>
                <w:spacing w:val="0"/>
                <w:w w:val="100"/>
                <w:position w:val="0"/>
              </w:rPr>
              <w:t>bosssoft@bosssoft.com.cn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福建省福州市海西高新科技产业园高新大道</w:t>
            </w:r>
            <w:r>
              <w:rPr>
                <w:rFonts w:ascii="Times New Roman" w:eastAsia="Times New Roman" w:hAnsi="Times New Roman" w:cs="Times New Roman"/>
                <w:color w:val="000000"/>
                <w:spacing w:val="0"/>
                <w:w w:val="100"/>
                <w:position w:val="0"/>
              </w:rPr>
              <w:t>5</w:t>
            </w:r>
            <w:r>
              <w:rPr>
                <w:color w:val="000000"/>
                <w:spacing w:val="0"/>
                <w:w w:val="100"/>
                <w:position w:val="0"/>
              </w:rPr>
              <w:t>号董事会办公室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、其他有关资料</w:t>
      </w:r>
      <w:bookmarkEnd w:id="31"/>
      <w:bookmarkEnd w:id="32"/>
      <w:bookmarkEnd w:id="3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福建省福州市鼓楼区湖东路</w:t>
            </w:r>
            <w:r>
              <w:rPr>
                <w:rFonts w:ascii="Times New Roman" w:eastAsia="Times New Roman" w:hAnsi="Times New Roman" w:cs="Times New Roman"/>
                <w:color w:val="000000"/>
                <w:spacing w:val="0"/>
                <w:w w:val="100"/>
                <w:position w:val="0"/>
              </w:rPr>
              <w:t>152</w:t>
            </w:r>
            <w:r>
              <w:rPr>
                <w:color w:val="000000"/>
                <w:spacing w:val="0"/>
                <w:w w:val="100"/>
                <w:position w:val="0"/>
              </w:rPr>
              <w:t>号中山大厦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7-9</w:t>
            </w:r>
            <w:r>
              <w:rPr>
                <w:color w:val="000000"/>
                <w:spacing w:val="0"/>
                <w:w w:val="100"/>
                <w:position w:val="0"/>
              </w:rPr>
              <w:t>楼</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郑丽惠、郭璇</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四川省成都市东城根上街</w:t>
            </w:r>
            <w:r>
              <w:rPr>
                <w:rFonts w:ascii="Times New Roman" w:eastAsia="Times New Roman" w:hAnsi="Times New Roman" w:cs="Times New Roman"/>
                <w:color w:val="000000"/>
                <w:spacing w:val="0"/>
                <w:w w:val="100"/>
                <w:position w:val="0"/>
              </w:rPr>
              <w:t xml:space="preserve">95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庄海峻、苏锡宝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、主要会计数据和财务指标</w:t>
      </w:r>
      <w:bookmarkEnd w:id="35"/>
      <w:bookmarkEnd w:id="36"/>
      <w:bookmarkEnd w:id="38"/>
    </w:p>
    <w:p>
      <w:pPr>
        <w:pStyle w:val="Style31"/>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171,251,296.12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153,197,534.27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120,011,935.27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38,301,620.49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36,731,975.96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31,185,311.69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36,060,538.97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34,613,996.30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30,993,577.83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32,997,092.55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48,836,982.82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28,893,389.95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480,442,114.57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278,764,026.98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244,887,190.62</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422,225,359.08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226,928,649.16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86.06%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191,105,679.05</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、分季度主要财务指标</w:t>
      </w:r>
      <w:bookmarkEnd w:id="39"/>
      <w:bookmarkEnd w:id="40"/>
      <w:bookmarkEnd w:id="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23,348,216.18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27,631,015.15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30,395,703.66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89,876,361.13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1,676,076.41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3,118,973.44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7,517,593.88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25,988,976.76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-73,886.07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3,107,372.44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7,320,671.83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25,706,380.77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-25,852,457.59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3,215,211.28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55,936,165.77</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2"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5"/>
        <w:keepNext/>
        <w:keepLines/>
        <w:widowControl w:val="0"/>
        <w:shd w:val="clear" w:color="auto" w:fill="auto"/>
        <w:tabs>
          <w:tab w:pos="410"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10"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非经常性损益项目及金额</w:t>
      </w:r>
      <w:bookmarkEnd w:id="55"/>
      <w:bookmarkEnd w:id="56"/>
      <w:bookmarkEnd w:id="58"/>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-78,714.29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2,682,150.00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2,486,014.23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300,529.32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19,688.99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402,458.57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373,761.19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64,647.11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2,241,081.52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2,117,979.66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191,733.86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0" w:line="240" w:lineRule="auto"/>
        <w:ind w:left="0" w:right="0" w:firstLine="0"/>
        <w:jc w:val="center"/>
      </w:pPr>
      <w:bookmarkStart w:id="59" w:name="bookmark59"/>
      <w:bookmarkStart w:id="60" w:name="bookmark60"/>
      <w:bookmarkStart w:id="61" w:name="bookmark61"/>
      <w:bookmarkStart w:id="62" w:name="bookmark62"/>
      <w:r>
        <w:rPr>
          <w:color w:val="000000"/>
          <w:spacing w:val="0"/>
          <w:w w:val="100"/>
          <w:position w:val="0"/>
        </w:rPr>
        <w:t>第三节公司业务概要</w:t>
      </w:r>
      <w:bookmarkEnd w:id="60"/>
      <w:bookmarkEnd w:id="61"/>
      <w:bookmarkEnd w:id="62"/>
      <w:bookmarkEnd w:id="59"/>
    </w:p>
    <w:p>
      <w:pPr>
        <w:pStyle w:val="Style27"/>
        <w:keepNext/>
        <w:keepLines/>
        <w:widowControl w:val="0"/>
        <w:shd w:val="clear" w:color="auto" w:fill="auto"/>
        <w:bidi w:val="0"/>
        <w:spacing w:before="0" w:after="2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、报告期内公司从事的主要业务</w:t>
      </w:r>
      <w:bookmarkEnd w:id="63"/>
      <w:bookmarkEnd w:id="64"/>
      <w:bookmarkEnd w:id="66"/>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714" w:val="left"/>
        </w:tabs>
        <w:bidi w:val="0"/>
        <w:spacing w:before="0" w:after="0" w:line="313" w:lineRule="exact"/>
        <w:ind w:left="0" w:right="0"/>
        <w:jc w:val="both"/>
      </w:pPr>
      <w:bookmarkStart w:id="67" w:name="bookmark67"/>
      <w:r>
        <w:rPr>
          <w:rFonts w:ascii="Times New Roman" w:eastAsia="Times New Roman" w:hAnsi="Times New Roman" w:cs="Times New Roman"/>
          <w:color w:val="000000"/>
          <w:spacing w:val="0"/>
          <w:w w:val="100"/>
          <w:position w:val="0"/>
        </w:rPr>
        <w:t>1</w:t>
      </w:r>
      <w:bookmarkEnd w:id="67"/>
      <w:r>
        <w:rPr>
          <w:color w:val="000000"/>
          <w:spacing w:val="0"/>
          <w:w w:val="100"/>
          <w:position w:val="0"/>
        </w:rPr>
        <w:t>、</w:t>
        <w:tab/>
        <w:t>公司主营业务及主要产品</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公司主营业务为软件产品的开发、销售与服务，主要面向财政票据电子化管理、政府非税收入管理信息化及公共缴费服 务领域，为财政票据用票单位、各级财政部门提供财政票据电子化管理及政府非税收入信息化管理相关的软件产品和服务， 在此基础上通过公司自主研发的</w:t>
      </w:r>
      <w:r>
        <w:rPr>
          <w:rFonts w:ascii="Times New Roman" w:eastAsia="Times New Roman" w:hAnsi="Times New Roman" w:cs="Times New Roman"/>
          <w:color w:val="000000"/>
          <w:spacing w:val="0"/>
          <w:w w:val="100"/>
          <w:position w:val="0"/>
        </w:rPr>
        <w:t>e</w:t>
      </w:r>
      <w:r>
        <w:rPr>
          <w:color w:val="000000"/>
          <w:spacing w:val="0"/>
          <w:w w:val="100"/>
          <w:position w:val="0"/>
        </w:rPr>
        <w:t>缴通公共缴费网与执收单位网上业务系统、非税收入管理系统和银行网上支付系统的互联 互通，为社会公众提供公共缴费、网上业务办理及相关增值服务。主要业务具体如下：</w:t>
      </w:r>
    </w:p>
    <w:p>
      <w:pPr>
        <w:pStyle w:val="Style31"/>
        <w:keepNext w:val="0"/>
        <w:keepLines w:val="0"/>
        <w:widowControl w:val="0"/>
        <w:shd w:val="clear" w:color="auto" w:fill="auto"/>
        <w:tabs>
          <w:tab w:pos="820" w:val="left"/>
        </w:tabs>
        <w:bidi w:val="0"/>
        <w:spacing w:before="0" w:after="0" w:line="313" w:lineRule="exact"/>
        <w:ind w:left="0" w:right="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1</w:t>
      </w:r>
      <w:r>
        <w:rPr>
          <w:color w:val="000000"/>
          <w:spacing w:val="0"/>
          <w:w w:val="100"/>
          <w:position w:val="0"/>
        </w:rPr>
        <w:t>）</w:t>
        <w:tab/>
        <w:t>软件开发与销售业务</w:t>
      </w:r>
    </w:p>
    <w:p>
      <w:pPr>
        <w:pStyle w:val="Style31"/>
        <w:keepNext w:val="0"/>
        <w:keepLines w:val="0"/>
        <w:widowControl w:val="0"/>
        <w:numPr>
          <w:ilvl w:val="0"/>
          <w:numId w:val="1"/>
        </w:numPr>
        <w:shd w:val="clear" w:color="auto" w:fill="auto"/>
        <w:tabs>
          <w:tab w:pos="753" w:val="left"/>
        </w:tabs>
        <w:bidi w:val="0"/>
        <w:spacing w:before="0" w:after="0" w:line="313" w:lineRule="exact"/>
        <w:ind w:left="0" w:right="0"/>
        <w:jc w:val="both"/>
      </w:pPr>
      <w:bookmarkStart w:id="69" w:name="bookmark69"/>
      <w:bookmarkEnd w:id="69"/>
      <w:r>
        <w:rPr>
          <w:color w:val="000000"/>
          <w:spacing w:val="0"/>
          <w:w w:val="100"/>
          <w:position w:val="0"/>
        </w:rPr>
        <w:t>标准化软件业务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公司在多年的发展历程中，始终聚焦于与政府非税收入管理相关的财政管理信息化领域，现已形成包括财政票据电子化 管理系统、非税收入收缴管理系统及非税收入政策管理系统在内的全过程管理产品及与财政管理相关的其他软件产品。</w:t>
      </w:r>
    </w:p>
    <w:p>
      <w:pPr>
        <w:pStyle w:val="Style31"/>
        <w:keepNext w:val="0"/>
        <w:keepLines w:val="0"/>
        <w:widowControl w:val="0"/>
        <w:numPr>
          <w:ilvl w:val="0"/>
          <w:numId w:val="1"/>
        </w:numPr>
        <w:shd w:val="clear" w:color="auto" w:fill="auto"/>
        <w:tabs>
          <w:tab w:pos="753" w:val="left"/>
        </w:tabs>
        <w:bidi w:val="0"/>
        <w:spacing w:before="0" w:after="0" w:line="313" w:lineRule="exact"/>
        <w:ind w:left="0" w:right="0"/>
        <w:jc w:val="both"/>
      </w:pPr>
      <w:bookmarkStart w:id="70" w:name="bookmark70"/>
      <w:bookmarkEnd w:id="70"/>
      <w:r>
        <w:rPr>
          <w:color w:val="000000"/>
          <w:spacing w:val="0"/>
          <w:w w:val="100"/>
          <w:position w:val="0"/>
        </w:rPr>
        <w:t>定制软件业务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定制软件开发是根据不同用户的业务需求，以公司自有的标准化软件产品为主要构件，有针对性地为客户开发各种定制 软件，使系统更符合客户实际的业务需求。公司根据与客户签订的技术开发合同，组成专门的项目小组，对客户的业务流程、 运用环境特点等进行充分实地调查，并根据用户的个性化需求进行专门的软件设计与开发。</w:t>
      </w:r>
    </w:p>
    <w:p>
      <w:pPr>
        <w:pStyle w:val="Style31"/>
        <w:keepNext w:val="0"/>
        <w:keepLines w:val="0"/>
        <w:widowControl w:val="0"/>
        <w:shd w:val="clear" w:color="auto" w:fill="auto"/>
        <w:tabs>
          <w:tab w:pos="820" w:val="left"/>
        </w:tabs>
        <w:bidi w:val="0"/>
        <w:spacing w:before="0" w:after="0" w:line="313" w:lineRule="exact"/>
        <w:ind w:left="0" w:right="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2</w:t>
      </w:r>
      <w:r>
        <w:rPr>
          <w:color w:val="000000"/>
          <w:spacing w:val="0"/>
          <w:w w:val="100"/>
          <w:position w:val="0"/>
        </w:rPr>
        <w:t>）</w:t>
        <w:tab/>
        <w:t>技术服务</w:t>
      </w:r>
    </w:p>
    <w:p>
      <w:pPr>
        <w:pStyle w:val="Style31"/>
        <w:keepNext w:val="0"/>
        <w:keepLines w:val="0"/>
        <w:widowControl w:val="0"/>
        <w:numPr>
          <w:ilvl w:val="0"/>
          <w:numId w:val="3"/>
        </w:numPr>
        <w:shd w:val="clear" w:color="auto" w:fill="auto"/>
        <w:tabs>
          <w:tab w:pos="753" w:val="left"/>
        </w:tabs>
        <w:bidi w:val="0"/>
        <w:spacing w:before="0" w:after="0" w:line="313" w:lineRule="exact"/>
        <w:ind w:left="0" w:right="0"/>
        <w:jc w:val="both"/>
      </w:pPr>
      <w:bookmarkStart w:id="72" w:name="bookmark72"/>
      <w:bookmarkEnd w:id="72"/>
      <w:r>
        <w:rPr>
          <w:color w:val="000000"/>
          <w:spacing w:val="0"/>
          <w:w w:val="100"/>
          <w:position w:val="0"/>
        </w:rPr>
        <w:t>运维服务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主要是为客户提供标准化软件产品及定制软件产品的后续维护和技术支持，包括软件已有功能的质量维护、功能障碍的 消除、参数及配置修改及产品功能扩展、升级等服务。</w:t>
      </w:r>
    </w:p>
    <w:p>
      <w:pPr>
        <w:pStyle w:val="Style31"/>
        <w:keepNext w:val="0"/>
        <w:keepLines w:val="0"/>
        <w:widowControl w:val="0"/>
        <w:numPr>
          <w:ilvl w:val="0"/>
          <w:numId w:val="3"/>
        </w:numPr>
        <w:shd w:val="clear" w:color="auto" w:fill="auto"/>
        <w:tabs>
          <w:tab w:pos="753" w:val="left"/>
        </w:tabs>
        <w:bidi w:val="0"/>
        <w:spacing w:before="0" w:after="0" w:line="313" w:lineRule="exact"/>
        <w:ind w:left="0" w:right="0"/>
        <w:jc w:val="both"/>
      </w:pPr>
      <w:bookmarkStart w:id="73" w:name="bookmark73"/>
      <w:bookmarkEnd w:id="73"/>
      <w:r>
        <w:rPr>
          <w:color w:val="000000"/>
          <w:spacing w:val="0"/>
          <w:w w:val="100"/>
          <w:position w:val="0"/>
        </w:rPr>
        <w:t>公共缴费服务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公司的公共缴费服务平台是基于</w:t>
      </w:r>
      <w:r>
        <w:rPr>
          <w:rFonts w:ascii="Times New Roman" w:eastAsia="Times New Roman" w:hAnsi="Times New Roman" w:cs="Times New Roman"/>
          <w:color w:val="000000"/>
          <w:spacing w:val="0"/>
          <w:w w:val="100"/>
          <w:position w:val="0"/>
        </w:rPr>
        <w:t>SaaS</w:t>
      </w:r>
      <w:r>
        <w:rPr>
          <w:color w:val="000000"/>
          <w:spacing w:val="0"/>
          <w:w w:val="100"/>
          <w:position w:val="0"/>
        </w:rPr>
        <w:t>软件模式，将各个业务办理单位和缴费人、金融机构、财政部门连接在一起，政府 部门不需要另外投入硬件设备及软件系统，只需将业务系统接入平台，购买平台提供的公共缴费服务，就可为社会公众提供 便捷、高效的缴费、业务办理及相关增值服务，节省公众办事成本，提高政府部门办事效率，产生显著的社会效益和经济效 益。目前公司的</w:t>
      </w:r>
      <w:r>
        <w:rPr>
          <w:rFonts w:ascii="Times New Roman" w:eastAsia="Times New Roman" w:hAnsi="Times New Roman" w:cs="Times New Roman"/>
          <w:color w:val="000000"/>
          <w:spacing w:val="0"/>
          <w:w w:val="100"/>
          <w:position w:val="0"/>
        </w:rPr>
        <w:t>e</w:t>
      </w:r>
      <w:r>
        <w:rPr>
          <w:color w:val="000000"/>
          <w:spacing w:val="0"/>
          <w:w w:val="100"/>
          <w:position w:val="0"/>
        </w:rPr>
        <w:t>缴通公共缴费平台已为部分省份提供会计考试报名、司法考试报名、人事考试报名及交警罚没缴费等提供 服务，并收取服务费。</w:t>
      </w:r>
    </w:p>
    <w:p>
      <w:pPr>
        <w:pStyle w:val="Style31"/>
        <w:keepNext w:val="0"/>
        <w:keepLines w:val="0"/>
        <w:widowControl w:val="0"/>
        <w:numPr>
          <w:ilvl w:val="0"/>
          <w:numId w:val="3"/>
        </w:numPr>
        <w:shd w:val="clear" w:color="auto" w:fill="auto"/>
        <w:tabs>
          <w:tab w:pos="753" w:val="left"/>
        </w:tabs>
        <w:bidi w:val="0"/>
        <w:spacing w:before="0" w:after="0" w:line="313" w:lineRule="exact"/>
        <w:ind w:left="0" w:right="0"/>
        <w:jc w:val="both"/>
      </w:pPr>
      <w:bookmarkStart w:id="74" w:name="bookmark74"/>
      <w:bookmarkEnd w:id="74"/>
      <w:r>
        <w:rPr>
          <w:color w:val="000000"/>
          <w:spacing w:val="0"/>
          <w:w w:val="100"/>
          <w:position w:val="0"/>
        </w:rPr>
        <w:t>会计培训服务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子公司华兴科技在合并之前提供的会计考试培训业务在合并后仍持续开展，但该项业务收入占全部收入的比重较小。</w:t>
      </w:r>
    </w:p>
    <w:p>
      <w:pPr>
        <w:pStyle w:val="Style31"/>
        <w:keepNext w:val="0"/>
        <w:keepLines w:val="0"/>
        <w:widowControl w:val="0"/>
        <w:shd w:val="clear" w:color="auto" w:fill="auto"/>
        <w:tabs>
          <w:tab w:pos="820" w:val="left"/>
        </w:tabs>
        <w:bidi w:val="0"/>
        <w:spacing w:before="0" w:after="0" w:line="313"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3</w:t>
      </w:r>
      <w:r>
        <w:rPr>
          <w:color w:val="000000"/>
          <w:spacing w:val="0"/>
          <w:w w:val="100"/>
          <w:position w:val="0"/>
        </w:rPr>
        <w:t>）</w:t>
        <w:tab/>
        <w:t>硬件及耗材等销售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作为公司核心业务的补充，公司硬件及耗材等销售业务是向客户提供外购的软、硬件产品以满足客户的</w:t>
      </w:r>
      <w:r>
        <w:rPr>
          <w:rFonts w:ascii="Times New Roman" w:eastAsia="Times New Roman" w:hAnsi="Times New Roman" w:cs="Times New Roman"/>
          <w:color w:val="000000"/>
          <w:spacing w:val="0"/>
          <w:w w:val="100"/>
          <w:position w:val="0"/>
        </w:rPr>
        <w:t>IT</w:t>
      </w:r>
      <w:r>
        <w:rPr>
          <w:color w:val="000000"/>
          <w:spacing w:val="0"/>
          <w:w w:val="100"/>
          <w:position w:val="0"/>
        </w:rPr>
        <w:t>集成需求，提 升综合服务能力。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报告期内，公司主营业务、主要产品及主要经营模式未发生重大变化。</w:t>
      </w:r>
    </w:p>
    <w:p>
      <w:pPr>
        <w:pStyle w:val="Style31"/>
        <w:keepNext w:val="0"/>
        <w:keepLines w:val="0"/>
        <w:widowControl w:val="0"/>
        <w:shd w:val="clear" w:color="auto" w:fill="auto"/>
        <w:tabs>
          <w:tab w:pos="734" w:val="left"/>
        </w:tabs>
        <w:bidi w:val="0"/>
        <w:spacing w:before="0" w:after="0" w:line="313" w:lineRule="exact"/>
        <w:ind w:left="0" w:right="0"/>
        <w:jc w:val="both"/>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、报告期业绩驱动因素</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17,125.13</w:t>
      </w:r>
      <w:r>
        <w:rPr>
          <w:color w:val="000000"/>
          <w:spacing w:val="0"/>
          <w:w w:val="100"/>
          <w:position w:val="0"/>
        </w:rPr>
        <w:t>万元，同比增长</w:t>
      </w:r>
      <w:r>
        <w:rPr>
          <w:rFonts w:ascii="Times New Roman" w:eastAsia="Times New Roman" w:hAnsi="Times New Roman" w:cs="Times New Roman"/>
          <w:color w:val="000000"/>
          <w:spacing w:val="0"/>
          <w:w w:val="100"/>
          <w:position w:val="0"/>
        </w:rPr>
        <w:t>11.78%</w:t>
      </w:r>
      <w:r>
        <w:rPr>
          <w:color w:val="000000"/>
          <w:spacing w:val="0"/>
          <w:w w:val="100"/>
          <w:position w:val="0"/>
        </w:rPr>
        <w:t>；归属于上市公司普通股股东的净利润</w:t>
      </w:r>
      <w:r>
        <w:rPr>
          <w:rFonts w:ascii="Times New Roman" w:eastAsia="Times New Roman" w:hAnsi="Times New Roman" w:cs="Times New Roman"/>
          <w:color w:val="000000"/>
          <w:spacing w:val="0"/>
          <w:w w:val="100"/>
          <w:position w:val="0"/>
        </w:rPr>
        <w:t>3,830.16</w:t>
      </w:r>
      <w:r>
        <w:rPr>
          <w:color w:val="000000"/>
          <w:spacing w:val="0"/>
          <w:w w:val="100"/>
          <w:position w:val="0"/>
        </w:rPr>
        <w:t>万元， 同比增长</w:t>
      </w:r>
      <w:r>
        <w:rPr>
          <w:rFonts w:ascii="Times New Roman" w:eastAsia="Times New Roman" w:hAnsi="Times New Roman" w:cs="Times New Roman"/>
          <w:color w:val="000000"/>
          <w:spacing w:val="0"/>
          <w:w w:val="100"/>
          <w:position w:val="0"/>
        </w:rPr>
        <w:t>4.27%</w:t>
      </w:r>
      <w:r>
        <w:rPr>
          <w:color w:val="000000"/>
          <w:spacing w:val="0"/>
          <w:w w:val="100"/>
          <w:position w:val="0"/>
        </w:rPr>
        <w:t>。</w:t>
      </w:r>
    </w:p>
    <w:p>
      <w:pPr>
        <w:pStyle w:val="Style31"/>
        <w:keepNext w:val="0"/>
        <w:keepLines w:val="0"/>
        <w:widowControl w:val="0"/>
        <w:shd w:val="clear" w:color="auto" w:fill="auto"/>
        <w:bidi w:val="0"/>
        <w:spacing w:before="0" w:after="80" w:line="313" w:lineRule="exact"/>
        <w:ind w:left="0" w:right="0"/>
        <w:jc w:val="both"/>
      </w:pPr>
      <w:r>
        <w:rPr>
          <w:color w:val="000000"/>
          <w:spacing w:val="0"/>
          <w:w w:val="100"/>
          <w:position w:val="0"/>
        </w:rPr>
        <w:t>业绩驱动主要因素为：公司现有的财政票据电子化管理软件、非税收入收缴管理系统、非税收入政策管理系统、博思公 共缴费平台等软件产品在非税收入信息化管理领域享有较高的市场份额，同时，随着软件销售业务在全国范围内的拓展，后 续的运维服务收入近年来也持续增长，是本公司主营业务收入持续增长的主要来源。</w:t>
      </w:r>
    </w:p>
    <w:p>
      <w:pPr>
        <w:pStyle w:val="Style31"/>
        <w:keepNext w:val="0"/>
        <w:keepLines w:val="0"/>
        <w:widowControl w:val="0"/>
        <w:shd w:val="clear" w:color="auto" w:fill="auto"/>
        <w:tabs>
          <w:tab w:pos="734" w:val="left"/>
        </w:tabs>
        <w:bidi w:val="0"/>
        <w:spacing w:before="0" w:after="0"/>
        <w:ind w:left="0" w:right="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行业发展情况</w:t>
      </w:r>
    </w:p>
    <w:p>
      <w:pPr>
        <w:pStyle w:val="Style31"/>
        <w:keepNext w:val="0"/>
        <w:keepLines w:val="0"/>
        <w:widowControl w:val="0"/>
        <w:shd w:val="clear" w:color="auto" w:fill="auto"/>
        <w:bidi w:val="0"/>
        <w:spacing w:before="0" w:after="360" w:line="240" w:lineRule="auto"/>
        <w:ind w:left="0" w:right="0"/>
        <w:jc w:val="both"/>
      </w:pPr>
      <w:r>
        <w:rPr>
          <w:color w:val="000000"/>
          <w:spacing w:val="0"/>
          <w:w w:val="100"/>
          <w:position w:val="0"/>
        </w:rPr>
        <w:t>关于行业发展情况详细内容见本报告中第四节第九小节</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行业发展情况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32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、主要资产重大变化情况</w:t>
      </w:r>
      <w:bookmarkEnd w:id="78"/>
      <w:bookmarkEnd w:id="79"/>
      <w:bookmarkEnd w:id="81"/>
    </w:p>
    <w:p>
      <w:pPr>
        <w:pStyle w:val="Style35"/>
        <w:keepNext/>
        <w:keepLines/>
        <w:widowControl w:val="0"/>
        <w:shd w:val="clear" w:color="auto" w:fill="auto"/>
        <w:bidi w:val="0"/>
        <w:spacing w:before="0" w:after="32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货币资金期末数比期初数增加</w:t>
            </w:r>
            <w:r>
              <w:rPr>
                <w:rFonts w:ascii="Times New Roman" w:eastAsia="Times New Roman" w:hAnsi="Times New Roman" w:cs="Times New Roman"/>
                <w:color w:val="000000"/>
                <w:spacing w:val="0"/>
                <w:w w:val="100"/>
                <w:position w:val="0"/>
              </w:rPr>
              <w:t>189.21%</w:t>
            </w:r>
            <w:r>
              <w:rPr>
                <w:color w:val="000000"/>
                <w:spacing w:val="0"/>
                <w:w w:val="100"/>
                <w:position w:val="0"/>
              </w:rPr>
              <w:t>，主要是发行新股募集资金到账。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应收账款期末数比期初数增加</w:t>
            </w:r>
            <w:r>
              <w:rPr>
                <w:rFonts w:ascii="Times New Roman" w:eastAsia="Times New Roman" w:hAnsi="Times New Roman" w:cs="Times New Roman"/>
                <w:color w:val="000000"/>
                <w:spacing w:val="0"/>
                <w:w w:val="100"/>
                <w:position w:val="0"/>
              </w:rPr>
              <w:t>45.58%</w:t>
            </w:r>
            <w:r>
              <w:rPr>
                <w:color w:val="000000"/>
                <w:spacing w:val="0"/>
                <w:w w:val="100"/>
                <w:position w:val="0"/>
              </w:rPr>
              <w:t>,主要是公司营业收入增加，同时公司的营业 收入的季节性特性有关，资金回笼具有周期性。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预付款项期末数比期初数减少</w:t>
            </w:r>
            <w:r>
              <w:rPr>
                <w:rFonts w:ascii="Times New Roman" w:eastAsia="Times New Roman" w:hAnsi="Times New Roman" w:cs="Times New Roman"/>
                <w:color w:val="000000"/>
                <w:spacing w:val="0"/>
                <w:w w:val="100"/>
                <w:position w:val="0"/>
              </w:rPr>
              <w:t>41.48%</w:t>
            </w:r>
            <w:r>
              <w:rPr>
                <w:color w:val="000000"/>
                <w:spacing w:val="0"/>
                <w:w w:val="100"/>
                <w:position w:val="0"/>
              </w:rPr>
              <w:t>，主要是年初预付账款的项目已结算。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其他应收款期末数比期初数增加</w:t>
            </w:r>
            <w:r>
              <w:rPr>
                <w:rFonts w:ascii="Times New Roman" w:eastAsia="Times New Roman" w:hAnsi="Times New Roman" w:cs="Times New Roman"/>
                <w:color w:val="000000"/>
                <w:spacing w:val="0"/>
                <w:w w:val="100"/>
                <w:position w:val="0"/>
              </w:rPr>
              <w:t>60.34%</w:t>
            </w:r>
            <w:r>
              <w:rPr>
                <w:color w:val="000000"/>
                <w:spacing w:val="0"/>
                <w:w w:val="100"/>
                <w:position w:val="0"/>
              </w:rPr>
              <w:t>，主要是应收履约保证金增加所致。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投资性房地产期末数比期初数增加</w:t>
            </w:r>
            <w:r>
              <w:rPr>
                <w:rFonts w:ascii="Times New Roman" w:eastAsia="Times New Roman" w:hAnsi="Times New Roman" w:cs="Times New Roman"/>
                <w:color w:val="000000"/>
                <w:spacing w:val="0"/>
                <w:w w:val="100"/>
                <w:position w:val="0"/>
              </w:rPr>
              <w:t>56.13%</w:t>
            </w:r>
            <w:r>
              <w:rPr>
                <w:color w:val="000000"/>
                <w:spacing w:val="0"/>
                <w:w w:val="100"/>
                <w:position w:val="0"/>
              </w:rPr>
              <w:t>，主要是办公楼层出租面积增加所致。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商誉期末数比期初数增加</w:t>
            </w:r>
            <w:r>
              <w:rPr>
                <w:rFonts w:ascii="Times New Roman" w:eastAsia="Times New Roman" w:hAnsi="Times New Roman" w:cs="Times New Roman"/>
                <w:color w:val="000000"/>
                <w:spacing w:val="0"/>
                <w:w w:val="100"/>
                <w:position w:val="0"/>
              </w:rPr>
              <w:t>653.33%</w:t>
            </w:r>
            <w:r>
              <w:rPr>
                <w:color w:val="000000"/>
                <w:spacing w:val="0"/>
                <w:w w:val="100"/>
                <w:position w:val="0"/>
              </w:rPr>
              <w:t>，主要是本期收购的非同一控制合并</w:t>
            </w:r>
            <w:r>
              <w:rPr>
                <w:rFonts w:ascii="Times New Roman" w:eastAsia="Times New Roman" w:hAnsi="Times New Roman" w:cs="Times New Roman"/>
                <w:color w:val="000000"/>
                <w:spacing w:val="0"/>
                <w:w w:val="100"/>
                <w:position w:val="0"/>
              </w:rPr>
              <w:t>“</w:t>
            </w:r>
            <w:r>
              <w:rPr>
                <w:color w:val="000000"/>
                <w:spacing w:val="0"/>
                <w:w w:val="100"/>
                <w:position w:val="0"/>
              </w:rPr>
              <w:t>支点国际</w:t>
            </w:r>
            <w:r>
              <w:rPr>
                <w:rFonts w:ascii="Times New Roman" w:eastAsia="Times New Roman" w:hAnsi="Times New Roman" w:cs="Times New Roman"/>
                <w:color w:val="000000"/>
                <w:spacing w:val="0"/>
                <w:w w:val="100"/>
                <w:position w:val="0"/>
              </w:rPr>
              <w:t xml:space="preserve">” </w:t>
            </w:r>
            <w:r>
              <w:rPr>
                <w:color w:val="000000"/>
                <w:spacing w:val="0"/>
                <w:w w:val="100"/>
                <w:position w:val="0"/>
              </w:rPr>
              <w:t>形成的商誉。</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、核心竞争力分析</w:t>
      </w:r>
      <w:bookmarkEnd w:id="90"/>
      <w:bookmarkEnd w:id="91"/>
      <w:bookmarkEnd w:id="93"/>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714" w:val="left"/>
        </w:tabs>
        <w:bidi w:val="0"/>
        <w:spacing w:before="0" w:after="0" w:line="314" w:lineRule="exact"/>
        <w:ind w:left="0" w:right="0"/>
        <w:jc w:val="both"/>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行业经验优势</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公司长期专注于财政信息化领域，积累了多年的财政信息化经验，深入领会国家有关财政票据电子化管理改革及政府非 税收入管理的制度要求和政策导向，切实把握各级政府财政票据管理和非税收入管理的特点和需求，提供贴近客户实际应用 的软件产品和个性化服务，能够实现财政票据电子化管理及非税收入管理与软件信息技术的深度融合。</w:t>
      </w:r>
    </w:p>
    <w:p>
      <w:pPr>
        <w:pStyle w:val="Style31"/>
        <w:keepNext w:val="0"/>
        <w:keepLines w:val="0"/>
        <w:widowControl w:val="0"/>
        <w:shd w:val="clear" w:color="auto" w:fill="auto"/>
        <w:tabs>
          <w:tab w:pos="734" w:val="left"/>
        </w:tabs>
        <w:bidi w:val="0"/>
        <w:spacing w:before="0" w:after="0" w:line="314" w:lineRule="exact"/>
        <w:ind w:left="0" w:right="0"/>
        <w:jc w:val="both"/>
      </w:pPr>
      <w:bookmarkStart w:id="95" w:name="bookmark95"/>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客户资源优势</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经过</w:t>
      </w:r>
      <w:r>
        <w:rPr>
          <w:rFonts w:ascii="Times New Roman" w:eastAsia="Times New Roman" w:hAnsi="Times New Roman" w:cs="Times New Roman"/>
          <w:color w:val="000000"/>
          <w:spacing w:val="0"/>
          <w:w w:val="100"/>
          <w:position w:val="0"/>
        </w:rPr>
        <w:t>10</w:t>
      </w:r>
      <w:r>
        <w:rPr>
          <w:color w:val="000000"/>
          <w:spacing w:val="0"/>
          <w:w w:val="100"/>
          <w:position w:val="0"/>
        </w:rPr>
        <w:t>多年的发展和积累，公司的客户涵盖了多个省、自治区、直辖市的国家机构、卫生教育部门、群众团体和社会团 体等；公司客户群整体质量优良，结构合理，同时公司始终强调品牌建设，重视客户需求，技术支持和服务到位，客户满意 度和忠诚度较高，客户对公司各类产品形成了较强的黏性。数量较大且不断增长的优质客户未来产品的后续服务和更新换代 可为公司带来可期的业绩增长。</w:t>
      </w:r>
    </w:p>
    <w:p>
      <w:pPr>
        <w:pStyle w:val="Style31"/>
        <w:keepNext w:val="0"/>
        <w:keepLines w:val="0"/>
        <w:widowControl w:val="0"/>
        <w:shd w:val="clear" w:color="auto" w:fill="auto"/>
        <w:tabs>
          <w:tab w:pos="734" w:val="left"/>
        </w:tabs>
        <w:bidi w:val="0"/>
        <w:spacing w:before="0" w:after="0" w:line="314" w:lineRule="exact"/>
        <w:ind w:left="0" w:right="0"/>
        <w:jc w:val="both"/>
      </w:pPr>
      <w:bookmarkStart w:id="96" w:name="bookmark96"/>
      <w:r>
        <w:rPr>
          <w:rFonts w:ascii="Times New Roman" w:eastAsia="Times New Roman" w:hAnsi="Times New Roman" w:cs="Times New Roman"/>
          <w:color w:val="000000"/>
          <w:spacing w:val="0"/>
          <w:w w:val="100"/>
          <w:position w:val="0"/>
        </w:rPr>
        <w:t>3</w:t>
      </w:r>
      <w:bookmarkEnd w:id="96"/>
      <w:r>
        <w:rPr>
          <w:color w:val="000000"/>
          <w:spacing w:val="0"/>
          <w:w w:val="100"/>
          <w:position w:val="0"/>
        </w:rPr>
        <w:t>、</w:t>
        <w:tab/>
        <w:t>产品优势</w:t>
      </w:r>
    </w:p>
    <w:p>
      <w:pPr>
        <w:pStyle w:val="Style31"/>
        <w:keepNext w:val="0"/>
        <w:keepLines w:val="0"/>
        <w:widowControl w:val="0"/>
        <w:shd w:val="clear" w:color="auto" w:fill="auto"/>
        <w:bidi w:val="0"/>
        <w:spacing w:before="0" w:after="80" w:line="314" w:lineRule="exact"/>
        <w:ind w:left="0" w:right="0"/>
        <w:jc w:val="both"/>
      </w:pPr>
      <w:r>
        <w:rPr>
          <w:color w:val="000000"/>
          <w:spacing w:val="0"/>
          <w:w w:val="100"/>
          <w:position w:val="0"/>
        </w:rPr>
        <w:t xml:space="preserve">公司从设立之初就专注于财政信息化领域，公司创始人有二十多年的财政信息化经验积累。公司管理团队掌握财政管理 流程和关键环节、深谙财政管理的重点和难点，在产品开发中始终贯彻科技加管理的产品理念；公司设立不久就抓住财政部 </w:t>
      </w:r>
      <w:r>
        <w:rPr>
          <w:color w:val="000000"/>
          <w:spacing w:val="0"/>
          <w:w w:val="100"/>
          <w:position w:val="0"/>
        </w:rPr>
        <w:t>门加强非税收入管理的契机，迅速开发出功能齐全、适应性强、具有前瞻性和良好兼容性的非税收入管理软件产品；并在建 立先发优势基础上，不断打破自我束缚，推陈出新，自主对产品更新换代，引领行业应用模式。</w:t>
      </w:r>
    </w:p>
    <w:p>
      <w:pPr>
        <w:pStyle w:val="Style31"/>
        <w:keepNext w:val="0"/>
        <w:keepLines w:val="0"/>
        <w:widowControl w:val="0"/>
        <w:shd w:val="clear" w:color="auto" w:fill="auto"/>
        <w:tabs>
          <w:tab w:pos="654" w:val="left"/>
        </w:tabs>
        <w:bidi w:val="0"/>
        <w:spacing w:before="0" w:after="0"/>
        <w:ind w:left="0" w:right="0" w:firstLine="360"/>
        <w:jc w:val="both"/>
      </w:pPr>
      <w:bookmarkStart w:id="97" w:name="bookmark97"/>
      <w:r>
        <w:rPr>
          <w:rFonts w:ascii="Times New Roman" w:eastAsia="Times New Roman" w:hAnsi="Times New Roman" w:cs="Times New Roman"/>
          <w:color w:val="000000"/>
          <w:spacing w:val="0"/>
          <w:w w:val="100"/>
          <w:position w:val="0"/>
        </w:rPr>
        <w:t>4</w:t>
      </w:r>
      <w:bookmarkEnd w:id="97"/>
      <w:r>
        <w:rPr>
          <w:color w:val="000000"/>
          <w:spacing w:val="0"/>
          <w:w w:val="100"/>
          <w:position w:val="0"/>
        </w:rPr>
        <w:t>、</w:t>
        <w:tab/>
        <w:t>核心技术优势</w:t>
      </w:r>
    </w:p>
    <w:p>
      <w:pPr>
        <w:pStyle w:val="Style31"/>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 xml:space="preserve">公司自成立以来，不断完善创新机制，培育创新文化和技术优势，构建创新型企业。公司通过持续的投入和研发，形成 了一批关键核心技术，包括博思 </w:t>
      </w:r>
      <w:r>
        <w:rPr>
          <w:rFonts w:ascii="Times New Roman" w:eastAsia="Times New Roman" w:hAnsi="Times New Roman" w:cs="Times New Roman"/>
          <w:color w:val="000000"/>
          <w:spacing w:val="0"/>
          <w:w w:val="100"/>
          <w:position w:val="0"/>
        </w:rPr>
        <w:t xml:space="preserve">RIA </w:t>
      </w:r>
      <w:r>
        <w:rPr>
          <w:color w:val="000000"/>
          <w:spacing w:val="0"/>
          <w:w w:val="100"/>
          <w:position w:val="0"/>
        </w:rPr>
        <w:t>(</w:t>
      </w:r>
      <w:r>
        <w:rPr>
          <w:rFonts w:ascii="Times New Roman" w:eastAsia="Times New Roman" w:hAnsi="Times New Roman" w:cs="Times New Roman"/>
          <w:color w:val="000000"/>
          <w:spacing w:val="0"/>
          <w:w w:val="100"/>
          <w:position w:val="0"/>
        </w:rPr>
        <w:t>Rich Internet Applications</w:t>
      </w:r>
      <w:r>
        <w:rPr>
          <w:color w:val="000000"/>
          <w:spacing w:val="0"/>
          <w:w w:val="100"/>
          <w:position w:val="0"/>
        </w:rPr>
        <w:t>)架构、</w:t>
      </w:r>
      <w:r>
        <w:rPr>
          <w:rFonts w:ascii="Times New Roman" w:eastAsia="Times New Roman" w:hAnsi="Times New Roman" w:cs="Times New Roman"/>
          <w:color w:val="000000"/>
          <w:spacing w:val="0"/>
          <w:w w:val="100"/>
          <w:position w:val="0"/>
        </w:rPr>
        <w:t xml:space="preserve">REST </w:t>
      </w:r>
      <w:r>
        <w:rPr>
          <w:color w:val="000000"/>
          <w:spacing w:val="0"/>
          <w:w w:val="100"/>
          <w:position w:val="0"/>
        </w:rPr>
        <w:t>(</w:t>
      </w:r>
      <w:r>
        <w:rPr>
          <w:rFonts w:ascii="Times New Roman" w:eastAsia="Times New Roman" w:hAnsi="Times New Roman" w:cs="Times New Roman"/>
          <w:color w:val="000000"/>
          <w:spacing w:val="0"/>
          <w:w w:val="100"/>
          <w:position w:val="0"/>
        </w:rPr>
        <w:t xml:space="preserve">Representational State Transfe r </w:t>
      </w:r>
      <w:r>
        <w:rPr>
          <w:color w:val="000000"/>
          <w:spacing w:val="0"/>
          <w:w w:val="100"/>
          <w:position w:val="0"/>
        </w:rPr>
        <w:t>表述性状态转 移)架构、财政电子票据云存储、异步调用服务中间件、超大规模数据应用技术、票据表单自定义系统、加密卡微型数据库、 智能移动开票技术、便捷型多层分布式架构、通用业务报文服务中间件</w:t>
      </w:r>
      <w:r>
        <w:rPr>
          <w:color w:val="000000"/>
          <w:spacing w:val="0"/>
          <w:w w:val="100"/>
          <w:position w:val="0"/>
        </w:rPr>
        <w:t>(</w:t>
      </w:r>
      <w:r>
        <w:rPr>
          <w:rFonts w:ascii="Times New Roman" w:eastAsia="Times New Roman" w:hAnsi="Times New Roman" w:cs="Times New Roman"/>
          <w:color w:val="000000"/>
          <w:spacing w:val="0"/>
          <w:w w:val="100"/>
          <w:position w:val="0"/>
        </w:rPr>
        <w:t>DGWare</w:t>
      </w:r>
      <w:r>
        <w:rPr>
          <w:color w:val="000000"/>
          <w:spacing w:val="0"/>
          <w:w w:val="100"/>
          <w:position w:val="0"/>
        </w:rPr>
        <w:t>)</w:t>
      </w:r>
      <w:r>
        <w:rPr>
          <w:color w:val="000000"/>
          <w:spacing w:val="0"/>
          <w:w w:val="100"/>
          <w:position w:val="0"/>
        </w:rPr>
        <w:t>与网关中介</w:t>
      </w:r>
      <w:r>
        <w:rPr>
          <w:color w:val="000000"/>
          <w:spacing w:val="0"/>
          <w:w w:val="100"/>
          <w:position w:val="0"/>
        </w:rPr>
        <w:t>(</w:t>
      </w:r>
      <w:r>
        <w:rPr>
          <w:rFonts w:ascii="Times New Roman" w:eastAsia="Times New Roman" w:hAnsi="Times New Roman" w:cs="Times New Roman"/>
          <w:color w:val="000000"/>
          <w:spacing w:val="0"/>
          <w:w w:val="100"/>
          <w:position w:val="0"/>
        </w:rPr>
        <w:t>DG Proxy Ware</w:t>
      </w:r>
      <w:r>
        <w:rPr>
          <w:color w:val="000000"/>
          <w:spacing w:val="0"/>
          <w:w w:val="100"/>
          <w:position w:val="0"/>
        </w:rPr>
        <w:t>)</w:t>
      </w:r>
      <w:r>
        <w:rPr>
          <w:color w:val="000000"/>
          <w:spacing w:val="0"/>
          <w:w w:val="100"/>
          <w:position w:val="0"/>
        </w:rPr>
        <w:t>等核心 技术。</w:t>
      </w:r>
    </w:p>
    <w:p>
      <w:pPr>
        <w:pStyle w:val="Style31"/>
        <w:keepNext w:val="0"/>
        <w:keepLines w:val="0"/>
        <w:widowControl w:val="0"/>
        <w:shd w:val="clear" w:color="auto" w:fill="auto"/>
        <w:tabs>
          <w:tab w:pos="654" w:val="left"/>
        </w:tabs>
        <w:bidi w:val="0"/>
        <w:spacing w:before="0" w:after="0"/>
        <w:ind w:left="0" w:right="0" w:firstLine="360"/>
        <w:jc w:val="both"/>
      </w:pPr>
      <w:bookmarkStart w:id="98" w:name="bookmark98"/>
      <w:r>
        <w:rPr>
          <w:rFonts w:ascii="Times New Roman" w:eastAsia="Times New Roman" w:hAnsi="Times New Roman" w:cs="Times New Roman"/>
          <w:color w:val="000000"/>
          <w:spacing w:val="0"/>
          <w:w w:val="100"/>
          <w:position w:val="0"/>
        </w:rPr>
        <w:t>5</w:t>
      </w:r>
      <w:bookmarkEnd w:id="98"/>
      <w:r>
        <w:rPr>
          <w:color w:val="000000"/>
          <w:spacing w:val="0"/>
          <w:w w:val="100"/>
          <w:position w:val="0"/>
        </w:rPr>
        <w:t>、</w:t>
        <w:tab/>
        <w:t>团队与人才优势</w:t>
      </w:r>
    </w:p>
    <w:p>
      <w:pPr>
        <w:pStyle w:val="Style31"/>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公司经过</w:t>
      </w:r>
      <w:r>
        <w:rPr>
          <w:rFonts w:ascii="Times New Roman" w:eastAsia="Times New Roman" w:hAnsi="Times New Roman" w:cs="Times New Roman"/>
          <w:color w:val="000000"/>
          <w:spacing w:val="0"/>
          <w:w w:val="100"/>
          <w:position w:val="0"/>
        </w:rPr>
        <w:t>10</w:t>
      </w:r>
      <w:r>
        <w:rPr>
          <w:color w:val="000000"/>
          <w:spacing w:val="0"/>
          <w:w w:val="100"/>
          <w:position w:val="0"/>
        </w:rPr>
        <w:t>多年的发展和积累，已形成了富有行业经验、凝聚力强且分工合理的核心管理团队及拥有较高技术水平的优 秀研发与技术团队。公司核心团队是国内最早进入财政票据电子化和非税收入管理信息化应用软件领域的专业团队之一，战 略目标一致，凝聚力强，行业理解深刻，专业优势互补。核心团队成员均具有</w:t>
      </w:r>
      <w:r>
        <w:rPr>
          <w:rFonts w:ascii="Times New Roman" w:eastAsia="Times New Roman" w:hAnsi="Times New Roman" w:cs="Times New Roman"/>
          <w:color w:val="000000"/>
          <w:spacing w:val="0"/>
          <w:w w:val="100"/>
          <w:position w:val="0"/>
        </w:rPr>
        <w:t>10</w:t>
      </w:r>
      <w:r>
        <w:rPr>
          <w:color w:val="000000"/>
          <w:spacing w:val="0"/>
          <w:w w:val="100"/>
          <w:position w:val="0"/>
        </w:rPr>
        <w:t>年以上的行业经验，分别在研发、销售和运 营等重要管理岗位担任领导职务，分工明确，结构合理。同时，公司聚集了一批具有丰富经验的行业解决方案专家、软件工 程技术人员以及具有较高技术水平的工程实施队伍，在北京拥有福州和北京两个研发中心，为公司的研发和技术服务提供有 力的支撑。雄厚的技术人才资源是公司快速发展的基础。</w:t>
      </w:r>
    </w:p>
    <w:p>
      <w:pPr>
        <w:pStyle w:val="Style31"/>
        <w:keepNext w:val="0"/>
        <w:keepLines w:val="0"/>
        <w:widowControl w:val="0"/>
        <w:shd w:val="clear" w:color="auto" w:fill="auto"/>
        <w:tabs>
          <w:tab w:pos="654" w:val="left"/>
        </w:tabs>
        <w:bidi w:val="0"/>
        <w:spacing w:before="0" w:after="0"/>
        <w:ind w:left="0" w:right="0" w:firstLine="360"/>
        <w:jc w:val="both"/>
      </w:pPr>
      <w:bookmarkStart w:id="99" w:name="bookmark99"/>
      <w:r>
        <w:rPr>
          <w:rFonts w:ascii="Times New Roman" w:eastAsia="Times New Roman" w:hAnsi="Times New Roman" w:cs="Times New Roman"/>
          <w:color w:val="000000"/>
          <w:spacing w:val="0"/>
          <w:w w:val="100"/>
          <w:position w:val="0"/>
        </w:rPr>
        <w:t>6</w:t>
      </w:r>
      <w:bookmarkEnd w:id="99"/>
      <w:r>
        <w:rPr>
          <w:color w:val="000000"/>
          <w:spacing w:val="0"/>
          <w:w w:val="100"/>
          <w:position w:val="0"/>
        </w:rPr>
        <w:t>、</w:t>
        <w:tab/>
        <w:t>营销和服务网络优势</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目前，公司在福建、黑龙江、北京、云南、广西、重庆等</w:t>
      </w:r>
      <w:r>
        <w:rPr>
          <w:rFonts w:ascii="Times New Roman" w:eastAsia="Times New Roman" w:hAnsi="Times New Roman" w:cs="Times New Roman"/>
          <w:color w:val="000000"/>
          <w:spacing w:val="0"/>
          <w:w w:val="100"/>
          <w:position w:val="0"/>
        </w:rPr>
        <w:t>17</w:t>
      </w:r>
      <w:r>
        <w:rPr>
          <w:color w:val="000000"/>
          <w:spacing w:val="0"/>
          <w:w w:val="100"/>
          <w:position w:val="0"/>
        </w:rPr>
        <w:t>个省、自治区、直辖市建立了营销网络，配备了销售人员， 与客户保持持续、经常性的联系，能及时、有效地对客户的需求及采购信息做出反应，把握产品营销机会。</w:t>
      </w:r>
    </w:p>
    <w:p>
      <w:pPr>
        <w:pStyle w:val="Style31"/>
        <w:keepNext w:val="0"/>
        <w:keepLines w:val="0"/>
        <w:widowControl w:val="0"/>
        <w:shd w:val="clear" w:color="auto" w:fill="auto"/>
        <w:bidi w:val="0"/>
        <w:spacing w:before="0" w:after="80" w:line="313" w:lineRule="exact"/>
        <w:ind w:left="0" w:right="0" w:firstLine="360"/>
        <w:jc w:val="both"/>
        <w:sectPr>
          <w:footnotePr>
            <w:pos w:val="pageBottom"/>
            <w:numFmt w:val="decimal"/>
            <w:numRestart w:val="continuous"/>
          </w:footnotePr>
          <w:pgSz w:w="11900" w:h="16840"/>
          <w:pgMar w:top="1388" w:right="1054" w:bottom="1542" w:left="1073" w:header="0" w:footer="3" w:gutter="0"/>
          <w:cols w:space="720"/>
          <w:noEndnote/>
          <w:rtlGutter w:val="0"/>
          <w:docGrid w:linePitch="360"/>
        </w:sectPr>
      </w:pPr>
      <w:r>
        <w:rPr>
          <w:color w:val="000000"/>
          <w:spacing w:val="0"/>
          <w:w w:val="100"/>
          <w:position w:val="0"/>
        </w:rPr>
        <w:t>对于软件企业来说，服务在软件产品的销售链条上有着更重要的作用，软件企业提供的服务实际上是产品的一部分，服 务的质量直接影响到客户对产品的体验。目前，公司已初步建立了以全国运维中心、区域中心、市级运维网点构成的三级服 务架构，能够为全国用户提供持续、及时、高效的售前咨询、实施和售后运维服务。反应灵敏的营销机制和完善的服务网络， 为公司业务发展提供有力的竞争优势。</w:t>
      </w:r>
    </w:p>
    <w:p>
      <w:pPr>
        <w:pStyle w:val="Style14"/>
        <w:keepNext/>
        <w:keepLines/>
        <w:widowControl w:val="0"/>
        <w:shd w:val="clear" w:color="auto" w:fill="auto"/>
        <w:bidi w:val="0"/>
        <w:spacing w:before="580" w:line="240" w:lineRule="auto"/>
        <w:ind w:left="0" w:right="0" w:firstLine="0"/>
        <w:jc w:val="center"/>
      </w:pPr>
      <w:bookmarkStart w:id="100" w:name="bookmark100"/>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bookmarkEnd w:id="100"/>
    </w:p>
    <w:p>
      <w:pPr>
        <w:pStyle w:val="Style27"/>
        <w:keepNext/>
        <w:keepLines/>
        <w:widowControl w:val="0"/>
        <w:shd w:val="clear" w:color="auto" w:fill="auto"/>
        <w:bidi w:val="0"/>
        <w:spacing w:before="0" w:after="26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、概述</w:t>
      </w:r>
      <w:bookmarkEnd w:id="104"/>
      <w:bookmarkEnd w:id="105"/>
      <w:bookmarkEnd w:id="107"/>
    </w:p>
    <w:p>
      <w:pPr>
        <w:pStyle w:val="Style31"/>
        <w:keepNext w:val="0"/>
        <w:keepLines w:val="0"/>
        <w:widowControl w:val="0"/>
        <w:shd w:val="clear" w:color="auto" w:fill="auto"/>
        <w:bidi w:val="0"/>
        <w:spacing w:before="0" w:after="80" w:line="314" w:lineRule="exact"/>
        <w:ind w:left="0" w:right="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17,125.13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11.78%</w:t>
      </w:r>
      <w:r>
        <w:rPr>
          <w:color w:val="000000"/>
          <w:spacing w:val="0"/>
          <w:w w:val="100"/>
          <w:position w:val="0"/>
        </w:rPr>
        <w:t>；归属于上市公司普通股股东的净利润</w:t>
      </w:r>
      <w:r>
        <w:rPr>
          <w:rFonts w:ascii="Times New Roman" w:eastAsia="Times New Roman" w:hAnsi="Times New Roman" w:cs="Times New Roman"/>
          <w:color w:val="000000"/>
          <w:spacing w:val="0"/>
          <w:w w:val="100"/>
          <w:position w:val="0"/>
        </w:rPr>
        <w:t>3,830.16</w:t>
      </w:r>
      <w:r>
        <w:rPr>
          <w:color w:val="000000"/>
          <w:spacing w:val="0"/>
          <w:w w:val="100"/>
          <w:position w:val="0"/>
        </w:rPr>
        <w:t>万 元，同比增长</w:t>
      </w:r>
      <w:r>
        <w:rPr>
          <w:rFonts w:ascii="Times New Roman" w:eastAsia="Times New Roman" w:hAnsi="Times New Roman" w:cs="Times New Roman"/>
          <w:color w:val="000000"/>
          <w:spacing w:val="0"/>
          <w:w w:val="100"/>
          <w:position w:val="0"/>
        </w:rPr>
        <w:t>4.27%</w:t>
      </w:r>
      <w:r>
        <w:rPr>
          <w:color w:val="000000"/>
          <w:spacing w:val="0"/>
          <w:w w:val="100"/>
          <w:position w:val="0"/>
        </w:rPr>
        <w:t>。截至报告期末，公司总资产为</w:t>
      </w:r>
      <w:r>
        <w:rPr>
          <w:rFonts w:ascii="Times New Roman" w:eastAsia="Times New Roman" w:hAnsi="Times New Roman" w:cs="Times New Roman"/>
          <w:color w:val="000000"/>
          <w:spacing w:val="0"/>
          <w:w w:val="100"/>
          <w:position w:val="0"/>
        </w:rPr>
        <w:t>48,044.21</w:t>
      </w:r>
      <w:r>
        <w:rPr>
          <w:color w:val="000000"/>
          <w:spacing w:val="0"/>
          <w:w w:val="100"/>
          <w:position w:val="0"/>
        </w:rPr>
        <w:t>万元，较报告期初增长</w:t>
      </w:r>
      <w:r>
        <w:rPr>
          <w:rFonts w:ascii="Times New Roman" w:eastAsia="Times New Roman" w:hAnsi="Times New Roman" w:cs="Times New Roman"/>
          <w:color w:val="000000"/>
          <w:spacing w:val="0"/>
          <w:w w:val="100"/>
          <w:position w:val="0"/>
        </w:rPr>
        <w:t>72.35%</w:t>
      </w:r>
      <w:r>
        <w:rPr>
          <w:color w:val="000000"/>
          <w:spacing w:val="0"/>
          <w:w w:val="100"/>
          <w:position w:val="0"/>
        </w:rPr>
        <w:t>；归属于上市公司股东的所有者 权益为</w:t>
      </w:r>
      <w:r>
        <w:rPr>
          <w:rFonts w:ascii="Times New Roman" w:eastAsia="Times New Roman" w:hAnsi="Times New Roman" w:cs="Times New Roman"/>
          <w:color w:val="000000"/>
          <w:spacing w:val="0"/>
          <w:w w:val="100"/>
          <w:position w:val="0"/>
        </w:rPr>
        <w:t>42,222.54</w:t>
      </w:r>
      <w:r>
        <w:rPr>
          <w:color w:val="000000"/>
          <w:spacing w:val="0"/>
          <w:w w:val="100"/>
          <w:position w:val="0"/>
        </w:rPr>
        <w:t>万元，较报告期初增长</w:t>
      </w:r>
      <w:r>
        <w:rPr>
          <w:rFonts w:ascii="Times New Roman" w:eastAsia="Times New Roman" w:hAnsi="Times New Roman" w:cs="Times New Roman"/>
          <w:color w:val="000000"/>
          <w:spacing w:val="0"/>
          <w:w w:val="100"/>
          <w:position w:val="0"/>
        </w:rPr>
        <w:t>86.06%</w:t>
      </w:r>
      <w:r>
        <w:rPr>
          <w:color w:val="000000"/>
          <w:spacing w:val="0"/>
          <w:w w:val="100"/>
          <w:position w:val="0"/>
        </w:rPr>
        <w:t>。</w:t>
      </w:r>
    </w:p>
    <w:p>
      <w:pPr>
        <w:pStyle w:val="Style31"/>
        <w:keepNext w:val="0"/>
        <w:keepLines w:val="0"/>
        <w:widowControl w:val="0"/>
        <w:shd w:val="clear" w:color="auto" w:fill="auto"/>
        <w:tabs>
          <w:tab w:pos="720" w:val="left"/>
        </w:tabs>
        <w:bidi w:val="0"/>
        <w:spacing w:before="0" w:after="0"/>
        <w:ind w:left="0" w:right="0"/>
        <w:jc w:val="left"/>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业绩增长的主要原因</w:t>
      </w:r>
    </w:p>
    <w:p>
      <w:pPr>
        <w:pStyle w:val="Style31"/>
        <w:keepNext w:val="0"/>
        <w:keepLines w:val="0"/>
        <w:widowControl w:val="0"/>
        <w:shd w:val="clear" w:color="auto" w:fill="auto"/>
        <w:tabs>
          <w:tab w:pos="820" w:val="left"/>
        </w:tabs>
        <w:bidi w:val="0"/>
        <w:spacing w:before="0" w:after="0" w:line="314" w:lineRule="exact"/>
        <w:ind w:left="0" w:right="0"/>
        <w:jc w:val="left"/>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w:t>
        <w:tab/>
        <w:t>软件开发与销售业务持续增长</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报告期内，软件开发与销售业务销售收入与去年同期相比增加</w:t>
      </w:r>
      <w:r>
        <w:rPr>
          <w:rFonts w:ascii="Times New Roman" w:eastAsia="Times New Roman" w:hAnsi="Times New Roman" w:cs="Times New Roman"/>
          <w:color w:val="000000"/>
          <w:spacing w:val="0"/>
          <w:w w:val="100"/>
          <w:position w:val="0"/>
        </w:rPr>
        <w:t>1,195.97</w:t>
      </w:r>
      <w:r>
        <w:rPr>
          <w:color w:val="000000"/>
          <w:spacing w:val="0"/>
          <w:w w:val="100"/>
          <w:position w:val="0"/>
        </w:rPr>
        <w:t>万元，主要原因是报告期内产品化软件在辽宁、 山西等区域推广，收入增加；此外报告期内定制软件收入与去年同期相比也较大幅度增加。</w:t>
      </w:r>
    </w:p>
    <w:p>
      <w:pPr>
        <w:pStyle w:val="Style31"/>
        <w:keepNext w:val="0"/>
        <w:keepLines w:val="0"/>
        <w:widowControl w:val="0"/>
        <w:shd w:val="clear" w:color="auto" w:fill="auto"/>
        <w:tabs>
          <w:tab w:pos="820" w:val="left"/>
        </w:tabs>
        <w:bidi w:val="0"/>
        <w:spacing w:before="0" w:after="0" w:line="314" w:lineRule="exact"/>
        <w:ind w:left="0" w:right="0"/>
        <w:jc w:val="left"/>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w:t>
        <w:tab/>
        <w:t>技术服务收入持续增长</w:t>
      </w:r>
    </w:p>
    <w:p>
      <w:pPr>
        <w:pStyle w:val="Style31"/>
        <w:keepNext w:val="0"/>
        <w:keepLines w:val="0"/>
        <w:widowControl w:val="0"/>
        <w:shd w:val="clear" w:color="auto" w:fill="auto"/>
        <w:bidi w:val="0"/>
        <w:spacing w:before="0" w:after="80" w:line="314" w:lineRule="exact"/>
        <w:ind w:left="0" w:right="0"/>
        <w:jc w:val="left"/>
      </w:pPr>
      <w:r>
        <w:rPr>
          <w:color w:val="000000"/>
          <w:spacing w:val="0"/>
          <w:w w:val="100"/>
          <w:position w:val="0"/>
        </w:rPr>
        <w:t>报告期内，技术服务销售收入与去年同期相比增加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,951.14</w:t>
      </w:r>
      <w:r>
        <w:rPr>
          <w:color w:val="000000"/>
          <w:spacing w:val="0"/>
          <w:w w:val="100"/>
          <w:position w:val="0"/>
        </w:rPr>
        <w:t>万元，主要原因是公司的客户以各类行政事业单位为主，这 些客户对信息系统运行的稳定性及安全性要求极高，公司软件产品销售免费运维服务期结束后，仍需要公司持续为其提供运 维服务，从而不断地积累客户，运维服务收入也逐年增加；从区域上看，随着西北区域前期软件销售的拓展，本报告期内， 西北区域技术服务收入增长较大。</w:t>
      </w:r>
    </w:p>
    <w:p>
      <w:pPr>
        <w:pStyle w:val="Style31"/>
        <w:keepNext w:val="0"/>
        <w:keepLines w:val="0"/>
        <w:widowControl w:val="0"/>
        <w:shd w:val="clear" w:color="auto" w:fill="auto"/>
        <w:tabs>
          <w:tab w:pos="734" w:val="left"/>
        </w:tabs>
        <w:bidi w:val="0"/>
        <w:spacing w:before="0" w:after="0"/>
        <w:ind w:left="0" w:right="0"/>
        <w:jc w:val="both"/>
      </w:pPr>
      <w:bookmarkStart w:id="111" w:name="bookmark111"/>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报告期内的主要工作</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报告期内，在完成经营目标的同时，公司在业务开拓、资本运营、研发投入、人力资源和公司治理等方面，也取得了较 大的进步：</w:t>
      </w:r>
    </w:p>
    <w:p>
      <w:pPr>
        <w:pStyle w:val="Style31"/>
        <w:keepNext w:val="0"/>
        <w:keepLines w:val="0"/>
        <w:widowControl w:val="0"/>
        <w:shd w:val="clear" w:color="auto" w:fill="auto"/>
        <w:tabs>
          <w:tab w:pos="820" w:val="left"/>
        </w:tabs>
        <w:bidi w:val="0"/>
        <w:spacing w:before="0" w:after="0" w:line="314" w:lineRule="exact"/>
        <w:ind w:left="0" w:right="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w:t>
        <w:tab/>
        <w:t>持续业务开拓，保持业绩增长</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报告期内，公司财政票据电子化软件成功进入山西、内蒙古等新区域市场，同时公司中标福建省政府采购网上公开信息 系统项目，收购支点国际积极布局政府采购业务，努力拓展从</w:t>
      </w:r>
      <w:r>
        <w:rPr>
          <w:rFonts w:ascii="Times New Roman" w:eastAsia="Times New Roman" w:hAnsi="Times New Roman" w:cs="Times New Roman"/>
          <w:color w:val="000000"/>
          <w:spacing w:val="0"/>
          <w:w w:val="100"/>
          <w:position w:val="0"/>
        </w:rPr>
        <w:t>G</w:t>
      </w:r>
      <w:r>
        <w:rPr>
          <w:color w:val="000000"/>
          <w:spacing w:val="0"/>
          <w:w w:val="100"/>
          <w:position w:val="0"/>
        </w:rPr>
        <w:t>端到</w:t>
      </w:r>
      <w:r>
        <w:rPr>
          <w:rFonts w:ascii="Times New Roman" w:eastAsia="Times New Roman" w:hAnsi="Times New Roman" w:cs="Times New Roman"/>
          <w:color w:val="000000"/>
          <w:spacing w:val="0"/>
          <w:w w:val="100"/>
          <w:position w:val="0"/>
        </w:rPr>
        <w:t>B</w:t>
      </w:r>
      <w:r>
        <w:rPr>
          <w:color w:val="000000"/>
          <w:spacing w:val="0"/>
          <w:w w:val="100"/>
          <w:position w:val="0"/>
        </w:rPr>
        <w:t>端的业务，为公司未来业绩奠定新的增长点。</w:t>
      </w:r>
    </w:p>
    <w:p>
      <w:pPr>
        <w:pStyle w:val="Style31"/>
        <w:keepNext w:val="0"/>
        <w:keepLines w:val="0"/>
        <w:widowControl w:val="0"/>
        <w:shd w:val="clear" w:color="auto" w:fill="auto"/>
        <w:tabs>
          <w:tab w:pos="820" w:val="left"/>
        </w:tabs>
        <w:bidi w:val="0"/>
        <w:spacing w:before="0" w:after="0" w:line="314" w:lineRule="exact"/>
        <w:ind w:left="0" w:right="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w:t>
        <w:tab/>
        <w:t>公司成功上市，登上资本市场平台</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报告期内，公司在做好经营的同时，持续推进上市工作。经中国证监会核准，深圳证券交易所同意，公司于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日成功在创业板上市。公司将以此次成功登陆资本市场为新的发展契机，不断巩固现有主营业务，同时将积极利用资本市 场探索外延式发展。</w:t>
      </w:r>
    </w:p>
    <w:p>
      <w:pPr>
        <w:pStyle w:val="Style31"/>
        <w:keepNext w:val="0"/>
        <w:keepLines w:val="0"/>
        <w:widowControl w:val="0"/>
        <w:shd w:val="clear" w:color="auto" w:fill="auto"/>
        <w:tabs>
          <w:tab w:pos="820" w:val="left"/>
        </w:tabs>
        <w:bidi w:val="0"/>
        <w:spacing w:before="0" w:after="0" w:line="314" w:lineRule="exact"/>
        <w:ind w:left="0" w:right="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w:t>
        <w:tab/>
        <w:t>持续研发投入，进行软件</w:t>
      </w:r>
      <w:r>
        <w:rPr>
          <w:rFonts w:ascii="Times New Roman" w:eastAsia="Times New Roman" w:hAnsi="Times New Roman" w:cs="Times New Roman"/>
          <w:color w:val="000000"/>
          <w:spacing w:val="0"/>
          <w:w w:val="100"/>
          <w:position w:val="0"/>
        </w:rPr>
        <w:t>+</w:t>
      </w:r>
      <w:r>
        <w:rPr>
          <w:color w:val="000000"/>
          <w:spacing w:val="0"/>
          <w:w w:val="100"/>
          <w:position w:val="0"/>
        </w:rPr>
        <w:t>互联网产品研发</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为了提高公司产品核心竞争力，加强软件</w:t>
      </w:r>
      <w:r>
        <w:rPr>
          <w:rFonts w:ascii="Times New Roman" w:eastAsia="Times New Roman" w:hAnsi="Times New Roman" w:cs="Times New Roman"/>
          <w:color w:val="000000"/>
          <w:spacing w:val="0"/>
          <w:w w:val="100"/>
          <w:position w:val="0"/>
        </w:rPr>
        <w:t>+</w:t>
      </w:r>
      <w:r>
        <w:rPr>
          <w:color w:val="000000"/>
          <w:spacing w:val="0"/>
          <w:w w:val="100"/>
          <w:position w:val="0"/>
        </w:rPr>
        <w:t>互联网服务的产品体系建设，报告期内公司继续推进财政票据电子化改革有 关的产品研发，参与制定财政部全国电子缴标准及建设全国统一的缴费通道，扩充互联网</w:t>
      </w:r>
      <w:r>
        <w:rPr>
          <w:rFonts w:ascii="Times New Roman" w:eastAsia="Times New Roman" w:hAnsi="Times New Roman" w:cs="Times New Roman"/>
          <w:color w:val="000000"/>
          <w:spacing w:val="0"/>
          <w:w w:val="100"/>
          <w:position w:val="0"/>
        </w:rPr>
        <w:t>+</w:t>
      </w:r>
      <w:r>
        <w:rPr>
          <w:color w:val="000000"/>
          <w:spacing w:val="0"/>
          <w:w w:val="100"/>
          <w:position w:val="0"/>
        </w:rPr>
        <w:t>电子政务服务领域产品的研发。</w:t>
      </w:r>
    </w:p>
    <w:p>
      <w:pPr>
        <w:pStyle w:val="Style31"/>
        <w:keepNext w:val="0"/>
        <w:keepLines w:val="0"/>
        <w:widowControl w:val="0"/>
        <w:shd w:val="clear" w:color="auto" w:fill="auto"/>
        <w:tabs>
          <w:tab w:pos="820" w:val="left"/>
        </w:tabs>
        <w:bidi w:val="0"/>
        <w:spacing w:before="0" w:after="0" w:line="314" w:lineRule="exact"/>
        <w:ind w:left="0" w:right="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大力引进人才，为公司持续发展奠定基础</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公司上市后，为了进一步提升公司的管理能力，不断引入高端人才，为公司后续发展奠定人才基础。</w:t>
      </w:r>
    </w:p>
    <w:p>
      <w:pPr>
        <w:pStyle w:val="Style31"/>
        <w:keepNext w:val="0"/>
        <w:keepLines w:val="0"/>
        <w:widowControl w:val="0"/>
        <w:shd w:val="clear" w:color="auto" w:fill="auto"/>
        <w:tabs>
          <w:tab w:pos="820" w:val="left"/>
        </w:tabs>
        <w:bidi w:val="0"/>
        <w:spacing w:before="0" w:after="0" w:line="314" w:lineRule="exact"/>
        <w:ind w:left="0" w:right="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w:t>
        <w:tab/>
        <w:t>完善公司治理，促进规范运作</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报告期内，公司按照上市公司监管要求积极推进完善内控建设、信息披露、投资者关系和三会运作等工作，逐步完善公 司治理。通过现场调研、互动易平台、投资者关系电话等线下线上多渠道常态互动，畅通投资者与上市公司交流的渠道，充 分保护中小投资者利益，增强了公司运作透明度，维护了上市公司良好市场形象。</w:t>
      </w:r>
    </w:p>
    <w:p>
      <w:pPr>
        <w:pStyle w:val="Style31"/>
        <w:keepNext w:val="0"/>
        <w:keepLines w:val="0"/>
        <w:widowControl w:val="0"/>
        <w:shd w:val="clear" w:color="auto" w:fill="auto"/>
        <w:tabs>
          <w:tab w:pos="820" w:val="left"/>
        </w:tabs>
        <w:bidi w:val="0"/>
        <w:spacing w:before="0" w:after="0" w:line="314" w:lineRule="exact"/>
        <w:ind w:left="0" w:right="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w:t>
        <w:tab/>
        <w:t>梳理中长期战略规划，奠定新一轮发展基石</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报告期内，公司启动了企业文化梳理、中长期的战略规划工作。公司上市是公司发展重要里程碑，借此时机，公司重新 梳理了企业文化，明确公司核心价值观，同时公司结合自身优势和行业发展特点，梳理了公司现有业务和未来业务的战略目 标，明确了战略发展路径，并着手设计确保满足发展的管理架构和体系。</w:t>
      </w:r>
    </w:p>
    <w:p>
      <w:pPr>
        <w:pStyle w:val="Style27"/>
        <w:keepNext/>
        <w:keepLines/>
        <w:widowControl w:val="0"/>
        <w:shd w:val="clear" w:color="auto" w:fill="auto"/>
        <w:bidi w:val="0"/>
        <w:spacing w:before="0" w:after="32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sz w:val="24"/>
          <w:szCs w:val="24"/>
        </w:rPr>
        <w:t>二</w:t>
      </w:r>
      <w:bookmarkEnd w:id="120"/>
      <w:r>
        <w:rPr>
          <w:color w:val="000000"/>
          <w:spacing w:val="0"/>
          <w:w w:val="100"/>
          <w:position w:val="0"/>
          <w:sz w:val="24"/>
          <w:szCs w:val="24"/>
        </w:rPr>
        <w:t>、主营业务分析</w:t>
      </w:r>
      <w:bookmarkEnd w:id="118"/>
      <w:bookmarkEnd w:id="119"/>
      <w:bookmarkEnd w:id="121"/>
    </w:p>
    <w:p>
      <w:pPr>
        <w:pStyle w:val="Style35"/>
        <w:keepNext/>
        <w:keepLines/>
        <w:widowControl w:val="0"/>
        <w:shd w:val="clear" w:color="auto" w:fill="auto"/>
        <w:tabs>
          <w:tab w:pos="368" w:val="left"/>
        </w:tabs>
        <w:bidi w:val="0"/>
        <w:spacing w:before="0" w:after="32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w:t>
        <w:tab/>
        <w:t>概述</w:t>
      </w:r>
      <w:bookmarkEnd w:id="122"/>
      <w:bookmarkEnd w:id="123"/>
      <w:bookmarkEnd w:id="125"/>
    </w:p>
    <w:p>
      <w:pPr>
        <w:pStyle w:val="Style31"/>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378" w:val="left"/>
        </w:tabs>
        <w:bidi w:val="0"/>
        <w:spacing w:before="0" w:after="32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收入与成本</w:t>
      </w:r>
      <w:bookmarkEnd w:id="126"/>
      <w:bookmarkEnd w:id="127"/>
      <w:bookmarkEnd w:id="129"/>
    </w:p>
    <w:p>
      <w:pPr>
        <w:pStyle w:val="Style35"/>
        <w:keepNext/>
        <w:keepLines/>
        <w:widowControl w:val="0"/>
        <w:numPr>
          <w:ilvl w:val="0"/>
          <w:numId w:val="5"/>
        </w:numPr>
        <w:shd w:val="clear" w:color="auto" w:fill="auto"/>
        <w:bidi w:val="0"/>
        <w:spacing w:before="0" w:after="320" w:line="240" w:lineRule="auto"/>
        <w:ind w:left="0" w:right="0" w:firstLine="0"/>
        <w:jc w:val="left"/>
      </w:pPr>
      <w:bookmarkStart w:id="126" w:name="bookmark126"/>
      <w:bookmarkStart w:id="127" w:name="bookmark127"/>
      <w:bookmarkStart w:id="130" w:name="bookmark130"/>
      <w:bookmarkStart w:id="131" w:name="bookmark131"/>
      <w:bookmarkEnd w:id="130"/>
      <w:r>
        <w:rPr>
          <w:color w:val="000000"/>
          <w:spacing w:val="0"/>
          <w:w w:val="100"/>
          <w:position w:val="0"/>
        </w:rPr>
        <w:t>营业收入构成</w:t>
      </w:r>
      <w:bookmarkEnd w:id="126"/>
      <w:bookmarkEnd w:id="127"/>
      <w:bookmarkEnd w:id="131"/>
    </w:p>
    <w:p>
      <w:pPr>
        <w:pStyle w:val="Style31"/>
        <w:keepNext w:val="0"/>
        <w:keepLines w:val="0"/>
        <w:widowControl w:val="0"/>
        <w:shd w:val="clear" w:color="auto" w:fill="auto"/>
        <w:bidi w:val="0"/>
        <w:spacing w:before="0" w:after="80" w:line="283" w:lineRule="exact"/>
        <w:ind w:left="0" w:right="0" w:firstLine="0"/>
        <w:jc w:val="left"/>
      </w:pPr>
      <w:r>
        <w:rPr>
          <w:color w:val="000000"/>
          <w:spacing w:val="0"/>
          <w:w w:val="100"/>
          <w:position w:val="0"/>
        </w:rPr>
        <w:t>公司是否需要遵守光伏产业链相关业的披露要求</w:t>
      </w:r>
    </w:p>
    <w:p>
      <w:pPr>
        <w:pStyle w:val="Style31"/>
        <w:keepNext w:val="0"/>
        <w:keepLines w:val="0"/>
        <w:widowControl w:val="0"/>
        <w:shd w:val="clear" w:color="auto" w:fill="auto"/>
        <w:bidi w:val="0"/>
        <w:spacing w:before="0" w:after="80" w:line="283"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40" w:line="28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9"/>
        <w:keepNext w:val="0"/>
        <w:keepLines w:val="0"/>
        <w:widowControl w:val="0"/>
        <w:shd w:val="clear" w:color="auto" w:fill="auto"/>
        <w:bidi w:val="0"/>
        <w:spacing w:before="0" w:after="14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1"/>
        <w:keepNext w:val="0"/>
        <w:keepLines w:val="0"/>
        <w:widowControl w:val="0"/>
        <w:shd w:val="clear" w:color="auto" w:fill="auto"/>
        <w:bidi w:val="0"/>
        <w:spacing w:before="0" w:after="140" w:line="28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19"/>
        <w:keepNext w:val="0"/>
        <w:keepLines w:val="0"/>
        <w:widowControl w:val="0"/>
        <w:shd w:val="clear" w:color="auto" w:fill="auto"/>
        <w:bidi w:val="0"/>
        <w:spacing w:before="0" w:after="14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1"/>
        <w:keepNext w:val="0"/>
        <w:keepLines w:val="0"/>
        <w:widowControl w:val="0"/>
        <w:shd w:val="clear" w:color="auto" w:fill="auto"/>
        <w:bidi w:val="0"/>
        <w:spacing w:before="0" w:after="140" w:line="283" w:lineRule="exact"/>
        <w:ind w:left="0" w:right="0" w:firstLine="0"/>
        <w:jc w:val="left"/>
      </w:pPr>
      <w:r>
        <w:rPr>
          <w:color w:val="000000"/>
          <w:spacing w:val="0"/>
          <w:w w:val="100"/>
          <w:position w:val="0"/>
          <w:shd w:val="clear" w:color="auto" w:fill="FFFFFF"/>
        </w:rPr>
        <w:t>公司是否需遵守《深圳证券交易所创业板行业信息披露指引第</w:t>
      </w:r>
      <w:r>
        <w:rPr>
          <w:rFonts w:ascii="Times New Roman" w:eastAsia="Times New Roman" w:hAnsi="Times New Roman" w:cs="Times New Roman"/>
          <w:color w:val="000000"/>
          <w:spacing w:val="0"/>
          <w:w w:val="100"/>
          <w:position w:val="0"/>
          <w:shd w:val="clear" w:color="auto" w:fill="FFFFFF"/>
        </w:rPr>
        <w:t>9</w:t>
      </w:r>
      <w:r>
        <w:rPr>
          <w:color w:val="000000"/>
          <w:spacing w:val="0"/>
          <w:w w:val="100"/>
          <w:position w:val="0"/>
          <w:shd w:val="clear" w:color="auto" w:fill="FFFFFF"/>
        </w:rPr>
        <w:t>号——上市公司从事</w:t>
      </w:r>
      <w:r>
        <w:rPr>
          <w:rFonts w:ascii="Times New Roman" w:eastAsia="Times New Roman" w:hAnsi="Times New Roman" w:cs="Times New Roman"/>
          <w:color w:val="000000"/>
          <w:spacing w:val="0"/>
          <w:w w:val="100"/>
          <w:position w:val="0"/>
          <w:shd w:val="clear" w:color="auto" w:fill="FFFFFF"/>
        </w:rPr>
        <w:t>LED</w:t>
      </w:r>
      <w:r>
        <w:rPr>
          <w:color w:val="000000"/>
          <w:spacing w:val="0"/>
          <w:w w:val="100"/>
          <w:position w:val="0"/>
          <w:shd w:val="clear" w:color="auto" w:fill="FFFFFF"/>
        </w:rPr>
        <w:t>产业链相关业务》的披露要求:</w:t>
      </w:r>
    </w:p>
    <w:p>
      <w:pPr>
        <w:pStyle w:val="Style19"/>
        <w:keepNext w:val="0"/>
        <w:keepLines w:val="0"/>
        <w:widowControl w:val="0"/>
        <w:shd w:val="clear" w:color="auto" w:fill="auto"/>
        <w:bidi w:val="0"/>
        <w:spacing w:before="0" w:after="140" w:line="283"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31"/>
        <w:keepNext w:val="0"/>
        <w:keepLines w:val="0"/>
        <w:widowControl w:val="0"/>
        <w:shd w:val="clear" w:color="auto" w:fill="auto"/>
        <w:bidi w:val="0"/>
        <w:spacing w:before="0" w:after="140" w:line="28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号——上市公司从事医疗器械业务》的披露要求：</w:t>
      </w:r>
    </w:p>
    <w:p>
      <w:pPr>
        <w:pStyle w:val="Style19"/>
        <w:keepNext w:val="0"/>
        <w:keepLines w:val="0"/>
        <w:widowControl w:val="0"/>
        <w:shd w:val="clear" w:color="auto" w:fill="auto"/>
        <w:bidi w:val="0"/>
        <w:spacing w:before="0" w:after="24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171,251,296.12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153,197,534.27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171,251,296.12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153,197,534.27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59,423,694.56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47,464,040.90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107,266,425.38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87,755,046.73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3,249,089.55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17,054,185.80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1,312,086.63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924,260.84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72,973,803.72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71,213,678.57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37,133,587.59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27,661,700.42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27,004,041.34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27,311,417.86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6,825,717.34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8,712,142.93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14,485,464.53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13,852,944.62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12,828,681.60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4,445,649.87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188.57%</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2"/>
      <w:bookmarkEnd w:id="133"/>
      <w:bookmarkEnd w:id="135"/>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171,251,296.12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52,686,548.51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59,423,694.56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9,575,053.35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107,266,425.38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40,579,347.16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72,973,803.72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23,568,539.87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37,133,587.59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8,822,414.58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27,004,041.34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6,346,322.06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6"/>
      <w:bookmarkEnd w:id="137"/>
      <w:bookmarkEnd w:id="139"/>
    </w:p>
    <w:p>
      <w:pPr>
        <w:pStyle w:val="Style31"/>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0"/>
      <w:bookmarkEnd w:id="141"/>
      <w:bookmarkEnd w:id="143"/>
    </w:p>
    <w:p>
      <w:pPr>
        <w:pStyle w:val="Style31"/>
        <w:keepNext w:val="0"/>
        <w:keepLines w:val="0"/>
        <w:widowControl w:val="0"/>
        <w:shd w:val="clear" w:color="auto" w:fill="auto"/>
        <w:bidi w:val="0"/>
        <w:spacing w:before="0" w:after="220" w:line="40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26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4"/>
      <w:bookmarkEnd w:id="145"/>
      <w:bookmarkEnd w:id="147"/>
    </w:p>
    <w:p>
      <w:pPr>
        <w:pStyle w:val="Style31"/>
        <w:keepNext w:val="0"/>
        <w:keepLines w:val="0"/>
        <w:widowControl w:val="0"/>
        <w:shd w:val="clear" w:color="auto" w:fill="auto"/>
        <w:bidi w:val="0"/>
        <w:spacing w:before="0" w:after="0" w:line="346" w:lineRule="exact"/>
        <w:ind w:left="0" w:right="0" w:firstLine="0"/>
        <w:jc w:val="both"/>
      </w:pPr>
      <w:r>
        <w:rPr>
          <w:color w:val="000000"/>
          <w:spacing w:val="0"/>
          <w:w w:val="100"/>
          <w:position w:val="0"/>
        </w:rPr>
        <w:t>产品分类</w:t>
      </w:r>
    </w:p>
    <w:p>
      <w:pPr>
        <w:pStyle w:val="Style31"/>
        <w:keepNext w:val="0"/>
        <w:keepLines w:val="0"/>
        <w:widowControl w:val="0"/>
        <w:shd w:val="clear" w:color="auto" w:fill="auto"/>
        <w:bidi w:val="0"/>
        <w:spacing w:before="0" w:after="120" w:line="346" w:lineRule="exact"/>
        <w:ind w:left="0" w:right="0" w:firstLine="0"/>
        <w:jc w:val="both"/>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4,839,421.02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284,364.75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580,223.64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358,284.00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61.95%</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原材料一软件载 体等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1,212,689.94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1,136,147.70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软件实施费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2,942,718.75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2,218,101.20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21,963,846.47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18,385,815.70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2,747,664.08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3,005,830.99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3,946,635.98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5,089,701.37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土地确权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5,543,769.15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591,477.36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5,521,430.19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3,389,714.82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库存商品一硬件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及耗材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1,942,030.95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13,476,009.23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182,538.45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915,003.10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856,001.29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1,343,084.86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407,578.60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214,232.71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90.25%</w:t>
            </w:r>
          </w:p>
        </w:tc>
      </w:tr>
    </w:tbl>
    <w:p>
      <w:pPr>
        <w:widowControl w:val="0"/>
        <w:spacing w:after="5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8"/>
      <w:bookmarkEnd w:id="149"/>
      <w:bookmarkEnd w:id="151"/>
    </w:p>
    <w:p>
      <w:pPr>
        <w:pStyle w:val="Style31"/>
        <w:keepNext w:val="0"/>
        <w:keepLines w:val="0"/>
        <w:widowControl w:val="0"/>
        <w:shd w:val="clear" w:color="auto" w:fill="auto"/>
        <w:bidi w:val="0"/>
        <w:spacing w:before="0" w:after="6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本年公司投资设立子公司而增加并表单位如下：福州博思兴创信息科技有限公司；北京博思致新互联网科技有限责任公 司。同时，非同一控制下企业合并形成的控股子公司而增加的并表单位为：北京支点国际资讯投资有限公司。</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2"/>
      <w:bookmarkEnd w:id="153"/>
      <w:bookmarkEnd w:id="155"/>
    </w:p>
    <w:p>
      <w:pPr>
        <w:pStyle w:val="Style31"/>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6"/>
      <w:bookmarkEnd w:id="157"/>
      <w:bookmarkEnd w:id="15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32,692,922.28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19,418,262.11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4,035,059.26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3,712,981.14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2,987,641.51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2,538,978.26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32,692,922.28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9,063,709.39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2,373,349.44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11.79%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2,103,808.20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1,566,361.34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1,526,190.41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1,494,000.00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7.42%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9,063,709.39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45.03%</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、费用</w:t>
      </w:r>
      <w:bookmarkEnd w:id="160"/>
      <w:bookmarkEnd w:id="161"/>
      <w:bookmarkEnd w:id="1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27,822,307.75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23,922,683.60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50,892,384.84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40,302,935.73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-741,678.62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-289,149.63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上市募集资金产生利息收入</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4</w:t>
      </w:r>
      <w:bookmarkEnd w:id="166"/>
      <w:r>
        <w:rPr>
          <w:color w:val="000000"/>
          <w:spacing w:val="0"/>
          <w:w w:val="100"/>
          <w:position w:val="0"/>
        </w:rPr>
        <w:t>、研发投入</w:t>
      </w:r>
      <w:bookmarkEnd w:id="164"/>
      <w:bookmarkEnd w:id="165"/>
      <w:bookmarkEnd w:id="167"/>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300"/>
        <w:jc w:val="left"/>
      </w:pPr>
      <w:r>
        <w:rPr>
          <w:color w:val="000000"/>
          <w:spacing w:val="0"/>
          <w:w w:val="100"/>
          <w:position w:val="0"/>
        </w:rPr>
        <w:t>为了提高公司产品核心竞争力，加强软件</w:t>
      </w:r>
      <w:r>
        <w:rPr>
          <w:rFonts w:ascii="Times New Roman" w:eastAsia="Times New Roman" w:hAnsi="Times New Roman" w:cs="Times New Roman"/>
          <w:color w:val="000000"/>
          <w:spacing w:val="0"/>
          <w:w w:val="100"/>
          <w:position w:val="0"/>
        </w:rPr>
        <w:t>+</w:t>
      </w:r>
      <w:r>
        <w:rPr>
          <w:color w:val="000000"/>
          <w:spacing w:val="0"/>
          <w:w w:val="100"/>
          <w:position w:val="0"/>
        </w:rPr>
        <w:t>互联网服务的产品体系建设，除了继续公司传统软件产品的研发外，报告期 内公司继续推进财政票据电子化改革有关的产品研发，参与制定财政部全国电子缴费标准及建设全国统一的缴费通道，扩充 互联网</w:t>
      </w:r>
      <w:r>
        <w:rPr>
          <w:rFonts w:ascii="Times New Roman" w:eastAsia="Times New Roman" w:hAnsi="Times New Roman" w:cs="Times New Roman"/>
          <w:color w:val="000000"/>
          <w:spacing w:val="0"/>
          <w:w w:val="100"/>
          <w:position w:val="0"/>
        </w:rPr>
        <w:t>+</w:t>
      </w:r>
      <w:r>
        <w:rPr>
          <w:color w:val="000000"/>
          <w:spacing w:val="0"/>
          <w:w w:val="100"/>
          <w:position w:val="0"/>
        </w:rPr>
        <w:t>电子政务服务领域产品的研发。</w:t>
      </w:r>
    </w:p>
    <w:p>
      <w:pPr>
        <w:pStyle w:val="Style31"/>
        <w:keepNext w:val="0"/>
        <w:keepLines w:val="0"/>
        <w:widowControl w:val="0"/>
        <w:shd w:val="clear" w:color="auto" w:fill="auto"/>
        <w:tabs>
          <w:tab w:pos="838" w:val="left"/>
        </w:tabs>
        <w:bidi w:val="0"/>
        <w:spacing w:before="0" w:after="0" w:line="314" w:lineRule="exact"/>
        <w:ind w:left="0" w:right="0" w:firstLine="30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报告期内，公司在财政票据电子化改革领域继续深入发展，从提供纸质财政票据电子化管理扩展到财政电子票据 管理，在财政票据电子化系统基础上扩充电子票据服务功能，为财政部门及开票单位缴提供财政电子票据全生命周期管理， 包含电子票据制样、赋码、开具、存档、送达和入账及第三方接口等功能，满足财政部门从财政纸质票据过渡到财政电子票 据的业务管理需求。电子票据管理系统大大提升财政票据管理较率，方便缴款人取票，并为大数据分析业务打下基础。</w:t>
      </w:r>
    </w:p>
    <w:p>
      <w:pPr>
        <w:pStyle w:val="Style31"/>
        <w:keepNext w:val="0"/>
        <w:keepLines w:val="0"/>
        <w:widowControl w:val="0"/>
        <w:shd w:val="clear" w:color="auto" w:fill="auto"/>
        <w:tabs>
          <w:tab w:pos="838" w:val="left"/>
        </w:tabs>
        <w:bidi w:val="0"/>
        <w:spacing w:before="0" w:after="0" w:line="314" w:lineRule="exact"/>
        <w:ind w:left="0" w:right="0" w:firstLine="30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报告期内，公司在非税收缴电子化改革领域，按照全国一盘棋建设思路，参于编制财政部全国电子缴款标准，建 立省级集中及统一的金融服务渠道，贯通财政、执收单位、代理银行及第三方支付机构，打造高效、便民的非税收入缴款服 务系统。研发全国通用的财政电子缴款产品，提供标准化全渠道缴款接口服务，实现与地方非税系统、代理银行业务系统实</w:t>
        <w:br w:type="page"/>
      </w:r>
      <w:r>
        <w:rPr>
          <w:color w:val="000000"/>
          <w:spacing w:val="0"/>
          <w:w w:val="100"/>
          <w:position w:val="0"/>
        </w:rPr>
        <w:t>时信息交换。</w:t>
      </w:r>
    </w:p>
    <w:p>
      <w:pPr>
        <w:pStyle w:val="Style31"/>
        <w:keepNext w:val="0"/>
        <w:keepLines w:val="0"/>
        <w:widowControl w:val="0"/>
        <w:shd w:val="clear" w:color="auto" w:fill="auto"/>
        <w:bidi w:val="0"/>
        <w:spacing w:before="0" w:after="0" w:line="317" w:lineRule="exact"/>
        <w:ind w:left="0" w:right="0" w:firstLine="280"/>
        <w:jc w:val="left"/>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3</w:t>
      </w:r>
      <w:r>
        <w:rPr>
          <w:color w:val="000000"/>
          <w:spacing w:val="0"/>
          <w:w w:val="100"/>
          <w:position w:val="0"/>
        </w:rPr>
        <w:t>）报告期内，公司在电子缴费公共服务领域，为实现集政务办理、缴费、电子取票</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的城市智能服务解决办法, 推出以财政非税收入电子化管理为基础，以财政票据电子化网络管理平台为抓手，建设电子缴费公共服务平台，提供一站式 网上业务办理服务，支持在线缴交网上政务业务费用，让民众享受高效、便捷、低碳的公共便民服务。</w:t>
      </w:r>
    </w:p>
    <w:p>
      <w:pPr>
        <w:pStyle w:val="Style31"/>
        <w:keepNext w:val="0"/>
        <w:keepLines w:val="0"/>
        <w:widowControl w:val="0"/>
        <w:shd w:val="clear" w:color="auto" w:fill="auto"/>
        <w:bidi w:val="0"/>
        <w:spacing w:before="0" w:after="80" w:line="360" w:lineRule="exact"/>
        <w:ind w:left="0" w:right="0" w:firstLine="280"/>
        <w:jc w:val="left"/>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4</w:t>
      </w:r>
      <w:r>
        <w:rPr>
          <w:color w:val="000000"/>
          <w:spacing w:val="0"/>
          <w:w w:val="100"/>
          <w:position w:val="0"/>
        </w:rPr>
        <w:t>）报告期内，在财政相关业务领域，不断深入挖掘行业机会，大力研发政府采购系统和政府资产综合管理平台等。 近三年公司研发投入金额及占营业收入的比例</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24,446,038.31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19,579,033.46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16,851,682.09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、现金流</w:t>
      </w:r>
      <w:bookmarkEnd w:id="172"/>
      <w:bookmarkEnd w:id="173"/>
      <w:bookmarkEnd w:id="1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180,694,179.90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187,434,929.46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147,697,087.35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138,597,946.64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32,997,092.55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48,836,982.82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19,575,015.59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23,033,393.46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-19,565,015.59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-23,022,893.46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182,198,000.00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5,973.27%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24,304,322.71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35,863.70%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157,893,677.29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2,932,419.84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5,284.42%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171,325,754.25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28,746,509.20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495.99%</w:t>
            </w:r>
          </w:p>
        </w:tc>
      </w:tr>
    </w:tbl>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322" w:lineRule="exact"/>
        <w:ind w:left="0" w:right="0" w:firstLine="0"/>
        <w:jc w:val="left"/>
      </w:pPr>
      <w:bookmarkStart w:id="176" w:name="bookmark176"/>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经营活动产生的现金流量净额较上年下降</w:t>
      </w:r>
      <w:r>
        <w:rPr>
          <w:rFonts w:ascii="Times New Roman" w:eastAsia="Times New Roman" w:hAnsi="Times New Roman" w:cs="Times New Roman"/>
          <w:color w:val="000000"/>
          <w:spacing w:val="0"/>
          <w:w w:val="100"/>
          <w:position w:val="0"/>
        </w:rPr>
        <w:t>32.43%</w:t>
      </w:r>
      <w:r>
        <w:rPr>
          <w:color w:val="000000"/>
          <w:spacing w:val="0"/>
          <w:w w:val="100"/>
          <w:position w:val="0"/>
        </w:rPr>
        <w:t>,主要是在经营活动现金流入基本持平的情况下，因支付给职工的工资 及各项费用增幅较大，使得经营活动现金流出较上年上涨，综合影响经营活动现金流量净额下降。</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177" w:name="bookmark177"/>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筹资活动现金流入小计较上年增长</w:t>
      </w:r>
      <w:r>
        <w:rPr>
          <w:rFonts w:ascii="Times New Roman" w:eastAsia="Times New Roman" w:hAnsi="Times New Roman" w:cs="Times New Roman"/>
          <w:color w:val="000000"/>
          <w:spacing w:val="0"/>
          <w:w w:val="100"/>
          <w:position w:val="0"/>
        </w:rPr>
        <w:t>5,973.27%</w:t>
      </w:r>
      <w:r>
        <w:rPr>
          <w:color w:val="000000"/>
          <w:spacing w:val="0"/>
          <w:w w:val="100"/>
          <w:position w:val="0"/>
        </w:rPr>
        <w:t>，</w:t>
      </w:r>
      <w:r>
        <w:rPr>
          <w:color w:val="000000"/>
          <w:spacing w:val="0"/>
          <w:w w:val="100"/>
          <w:position w:val="0"/>
        </w:rPr>
        <w:t>主要是报告期内发行新股募集资金到账所致。</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178" w:name="bookmark178"/>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筹资活动现金流出小计较上年增长</w:t>
      </w:r>
      <w:r>
        <w:rPr>
          <w:rFonts w:ascii="Times New Roman" w:eastAsia="Times New Roman" w:hAnsi="Times New Roman" w:cs="Times New Roman"/>
          <w:color w:val="000000"/>
          <w:spacing w:val="0"/>
          <w:w w:val="100"/>
          <w:position w:val="0"/>
        </w:rPr>
        <w:t>35,863.70%</w:t>
      </w:r>
      <w:r>
        <w:rPr>
          <w:color w:val="000000"/>
          <w:spacing w:val="0"/>
          <w:w w:val="100"/>
          <w:position w:val="0"/>
        </w:rPr>
        <w:t>，主要是报告期内募集资金支付发行费用，及向股东支付现金股利所致。</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179" w:name="bookmark179"/>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筹资活动产生的现金流量净额较上年增长</w:t>
      </w:r>
      <w:r>
        <w:rPr>
          <w:rFonts w:ascii="Times New Roman" w:eastAsia="Times New Roman" w:hAnsi="Times New Roman" w:cs="Times New Roman"/>
          <w:color w:val="000000"/>
          <w:spacing w:val="0"/>
          <w:w w:val="100"/>
          <w:position w:val="0"/>
        </w:rPr>
        <w:t>5,284.42%</w:t>
      </w:r>
      <w:r>
        <w:rPr>
          <w:color w:val="000000"/>
          <w:spacing w:val="0"/>
          <w:w w:val="100"/>
          <w:position w:val="0"/>
        </w:rPr>
        <w:t>，主要是筹资活动产生的现金流入与现金流出共同影响的结果。</w:t>
      </w:r>
    </w:p>
    <w:p>
      <w:pPr>
        <w:pStyle w:val="Style31"/>
        <w:keepNext w:val="0"/>
        <w:keepLines w:val="0"/>
        <w:widowControl w:val="0"/>
        <w:shd w:val="clear" w:color="auto" w:fill="auto"/>
        <w:tabs>
          <w:tab w:pos="354" w:val="left"/>
        </w:tabs>
        <w:bidi w:val="0"/>
        <w:spacing w:before="0" w:after="340" w:line="322" w:lineRule="exact"/>
        <w:ind w:left="0" w:right="0" w:firstLine="0"/>
        <w:jc w:val="left"/>
      </w:pPr>
      <w:bookmarkStart w:id="180" w:name="bookmark180"/>
      <w:r>
        <w:rPr>
          <w:rFonts w:ascii="Times New Roman" w:eastAsia="Times New Roman" w:hAnsi="Times New Roman" w:cs="Times New Roman"/>
          <w:color w:val="000000"/>
          <w:spacing w:val="0"/>
          <w:w w:val="100"/>
          <w:position w:val="0"/>
        </w:rPr>
        <w:t>5</w:t>
      </w:r>
      <w:bookmarkEnd w:id="180"/>
      <w:r>
        <w:rPr>
          <w:color w:val="000000"/>
          <w:spacing w:val="0"/>
          <w:w w:val="100"/>
          <w:position w:val="0"/>
        </w:rPr>
        <w:t>、</w:t>
        <w:tab/>
        <w:t>现金及现金等价物净增加额较上年增长</w:t>
      </w:r>
      <w:r>
        <w:rPr>
          <w:rFonts w:ascii="Times New Roman" w:eastAsia="Times New Roman" w:hAnsi="Times New Roman" w:cs="Times New Roman"/>
          <w:color w:val="000000"/>
          <w:spacing w:val="0"/>
          <w:w w:val="100"/>
          <w:position w:val="0"/>
        </w:rPr>
        <w:t>495.99%</w:t>
      </w:r>
      <w:r>
        <w:rPr>
          <w:color w:val="000000"/>
          <w:spacing w:val="0"/>
          <w:w w:val="100"/>
          <w:position w:val="0"/>
        </w:rPr>
        <w:t>，主要是筹资活动现金流量影响现金及现金等价物净增加额大幅上涨。</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、非主营业务情况</w:t>
      </w:r>
      <w:bookmarkEnd w:id="181"/>
      <w:bookmarkEnd w:id="182"/>
      <w:bookmarkEnd w:id="184"/>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278,087.07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权益法核算的长期股权投 资收益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、资产及负债状况</w:t>
      </w:r>
      <w:bookmarkEnd w:id="185"/>
      <w:bookmarkEnd w:id="186"/>
      <w:bookmarkEnd w:id="188"/>
    </w:p>
    <w:p>
      <w:pPr>
        <w:pStyle w:val="Style35"/>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259,634,866.0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89,773,751.79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主要是发行新股募集资金到账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47,674,161.56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32,748,709.56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7,079,537.78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9,280,268.81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12,340,722.32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7,904,062.16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2,206,533.72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1,918,262.88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120,993,234.9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118,320,695.24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主要是发行新股募集资金到账总资 产增加，导致固定资产占总资产比例 下降</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以公允价值计量的资产和负债</w:t>
      </w:r>
      <w:bookmarkEnd w:id="193"/>
      <w:bookmarkEnd w:id="194"/>
      <w:bookmarkEnd w:id="19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截至报告期末的资产权利受限情况</w:t>
      </w:r>
      <w:bookmarkEnd w:id="197"/>
      <w:bookmarkEnd w:id="198"/>
      <w:bookmarkEnd w:id="20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截至报告期末，其他货币资金因办理保函而受限的金额</w:t>
      </w:r>
      <w:r>
        <w:rPr>
          <w:rFonts w:ascii="Times New Roman" w:eastAsia="Times New Roman" w:hAnsi="Times New Roman" w:cs="Times New Roman"/>
          <w:color w:val="000000"/>
          <w:spacing w:val="0"/>
          <w:w w:val="100"/>
          <w:position w:val="0"/>
        </w:rPr>
        <w:t>207,860.00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五</w:t>
      </w:r>
      <w:bookmarkEnd w:id="203"/>
      <w:r>
        <w:rPr>
          <w:color w:val="000000"/>
          <w:spacing w:val="0"/>
          <w:w w:val="100"/>
          <w:position w:val="0"/>
          <w:sz w:val="24"/>
          <w:szCs w:val="24"/>
        </w:rPr>
        <w:t>、投资状况分析</w:t>
      </w:r>
      <w:bookmarkEnd w:id="201"/>
      <w:bookmarkEnd w:id="202"/>
      <w:bookmarkEnd w:id="204"/>
    </w:p>
    <w:p>
      <w:pPr>
        <w:pStyle w:val="Style35"/>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19,875,500.00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报告期内获取的重大的股权投资情况</w:t>
      </w:r>
      <w:bookmarkEnd w:id="209"/>
      <w:bookmarkEnd w:id="210"/>
      <w:bookmarkEnd w:id="21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w:t>
        <w:tab/>
        <w:t>募集资金使用情况</w:t>
      </w:r>
      <w:bookmarkEnd w:id="221"/>
      <w:bookmarkEnd w:id="222"/>
      <w:bookmarkEnd w:id="22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5"/>
      <w:bookmarkEnd w:id="226"/>
      <w:bookmarkEnd w:id="22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1,805.15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5,359.57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16,311.14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存放于公 司募集资 金专户中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1,805.15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16,311.14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9"/>
        <w:keepNext w:val="0"/>
        <w:keepLines w:val="0"/>
        <w:widowControl w:val="0"/>
        <w:shd w:val="clear" w:color="auto" w:fill="auto"/>
        <w:bidi w:val="0"/>
        <w:spacing w:before="0" w:after="0" w:line="240" w:lineRule="auto"/>
        <w:ind w:left="3682" w:right="0" w:firstLine="0"/>
        <w:jc w:val="left"/>
      </w:pPr>
      <w:r>
        <w:rPr>
          <w:color w:val="000000"/>
          <w:spacing w:val="0"/>
          <w:w w:val="100"/>
          <w:position w:val="0"/>
        </w:rPr>
        <w:t>募集资金总体使用情况说明</w:t>
      </w:r>
    </w:p>
    <w:p>
      <w:pPr>
        <w:widowControl w:val="0"/>
        <w:spacing w:after="79" w:line="1" w:lineRule="exact"/>
      </w:pP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8" w:val="left"/>
        </w:tabs>
        <w:bidi w:val="0"/>
        <w:spacing w:before="0" w:after="0" w:line="311" w:lineRule="exact"/>
        <w:ind w:left="0" w:right="0" w:firstLine="0"/>
        <w:jc w:val="both"/>
      </w:pPr>
      <w:bookmarkStart w:id="229" w:name="bookmark229"/>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实际募集资金金额、资金到位时间</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jc w:val="left"/>
      </w:pPr>
      <w:r>
        <w:rPr>
          <w:color w:val="000000"/>
          <w:spacing w:val="0"/>
          <w:w w:val="100"/>
          <w:position w:val="0"/>
        </w:rPr>
        <w:t>经中国证券监督管理委员会《关于核准福建博思软件股份有限公司首次公开发行股票的批复》（证监许可</w:t>
      </w:r>
      <w:r>
        <w:rPr>
          <w:rFonts w:ascii="Times New Roman" w:eastAsia="Times New Roman" w:hAnsi="Times New Roman" w:cs="Times New Roman"/>
          <w:color w:val="000000"/>
          <w:spacing w:val="0"/>
          <w:w w:val="100"/>
          <w:position w:val="0"/>
        </w:rPr>
        <w:t xml:space="preserve">[2016]1457 </w:t>
      </w:r>
      <w:r>
        <w:rPr>
          <w:color w:val="000000"/>
          <w:spacing w:val="0"/>
          <w:w w:val="100"/>
          <w:position w:val="0"/>
        </w:rPr>
        <w:t>号）核准，并经深圳证券交易所同意，公司向社会公开发行人民币普通股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1,710.00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 格为每股人民币</w:t>
      </w:r>
      <w:r>
        <w:rPr>
          <w:rFonts w:ascii="Times New Roman" w:eastAsia="Times New Roman" w:hAnsi="Times New Roman" w:cs="Times New Roman"/>
          <w:color w:val="000000"/>
          <w:spacing w:val="0"/>
          <w:w w:val="100"/>
          <w:position w:val="0"/>
        </w:rPr>
        <w:t>11.68</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199,728,000.00</w:t>
      </w:r>
      <w:r>
        <w:rPr>
          <w:color w:val="000000"/>
          <w:spacing w:val="0"/>
          <w:w w:val="100"/>
          <w:position w:val="0"/>
        </w:rPr>
        <w:t>元，扣除证券承销费及保荐费合计</w:t>
      </w:r>
      <w:r>
        <w:rPr>
          <w:rFonts w:ascii="Times New Roman" w:eastAsia="Times New Roman" w:hAnsi="Times New Roman" w:cs="Times New Roman"/>
          <w:color w:val="000000"/>
          <w:spacing w:val="0"/>
          <w:w w:val="100"/>
          <w:position w:val="0"/>
        </w:rPr>
        <w:t>19,000,000.00</w:t>
      </w:r>
      <w:r>
        <w:rPr>
          <w:color w:val="000000"/>
          <w:spacing w:val="0"/>
          <w:w w:val="100"/>
          <w:position w:val="0"/>
        </w:rPr>
        <w:t>元后，汇入公 司验资专户的资金净额为人民币</w:t>
      </w:r>
      <w:r>
        <w:rPr>
          <w:rFonts w:ascii="Times New Roman" w:eastAsia="Times New Roman" w:hAnsi="Times New Roman" w:cs="Times New Roman"/>
          <w:color w:val="000000"/>
          <w:spacing w:val="0"/>
          <w:w w:val="100"/>
          <w:position w:val="0"/>
        </w:rPr>
        <w:t>180,728,000.00</w:t>
      </w:r>
      <w:r>
        <w:rPr>
          <w:color w:val="000000"/>
          <w:spacing w:val="0"/>
          <w:w w:val="100"/>
          <w:position w:val="0"/>
        </w:rPr>
        <w:t>元。发行新股募集资金净额</w:t>
      </w:r>
      <w:r>
        <w:rPr>
          <w:rFonts w:ascii="Times New Roman" w:eastAsia="Times New Roman" w:hAnsi="Times New Roman" w:cs="Times New Roman"/>
          <w:color w:val="000000"/>
          <w:spacing w:val="0"/>
          <w:w w:val="100"/>
          <w:position w:val="0"/>
        </w:rPr>
        <w:t>180,728,000.00</w:t>
      </w:r>
      <w:r>
        <w:rPr>
          <w:color w:val="000000"/>
          <w:spacing w:val="0"/>
          <w:w w:val="100"/>
          <w:position w:val="0"/>
        </w:rPr>
        <w:t>元经扣除公司自行支付的中介 机构费和其他发行费用人民币</w:t>
      </w:r>
      <w:r>
        <w:rPr>
          <w:rFonts w:ascii="Times New Roman" w:eastAsia="Times New Roman" w:hAnsi="Times New Roman" w:cs="Times New Roman"/>
          <w:color w:val="000000"/>
          <w:spacing w:val="0"/>
          <w:w w:val="100"/>
          <w:position w:val="0"/>
        </w:rPr>
        <w:t>11,810,000.00</w:t>
      </w:r>
      <w:r>
        <w:rPr>
          <w:color w:val="000000"/>
          <w:spacing w:val="0"/>
          <w:w w:val="100"/>
          <w:position w:val="0"/>
        </w:rPr>
        <w:t>元后，实际募集资金净额人民币</w:t>
      </w:r>
      <w:r>
        <w:rPr>
          <w:rFonts w:ascii="Times New Roman" w:eastAsia="Times New Roman" w:hAnsi="Times New Roman" w:cs="Times New Roman"/>
          <w:color w:val="000000"/>
          <w:spacing w:val="0"/>
          <w:w w:val="100"/>
          <w:position w:val="0"/>
        </w:rPr>
        <w:t>168,918,000.00</w:t>
      </w:r>
      <w:r>
        <w:rPr>
          <w:color w:val="000000"/>
          <w:spacing w:val="0"/>
          <w:w w:val="100"/>
          <w:position w:val="0"/>
        </w:rPr>
        <w:t>元。福建华兴会计师事务所（特 殊普通合伙）已于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日对公司首次公开发行股票的资金到位情况进行了审验，出具了</w:t>
      </w:r>
      <w:r>
        <w:rPr>
          <w:rFonts w:ascii="Times New Roman" w:eastAsia="Times New Roman" w:hAnsi="Times New Roman" w:cs="Times New Roman"/>
          <w:color w:val="000000"/>
          <w:spacing w:val="0"/>
          <w:w w:val="100"/>
          <w:position w:val="0"/>
        </w:rPr>
        <w:t>“</w:t>
      </w:r>
      <w:r>
        <w:rPr>
          <w:color w:val="000000"/>
          <w:spacing w:val="0"/>
          <w:w w:val="100"/>
          <w:position w:val="0"/>
        </w:rPr>
        <w:t>闽华兴所（</w:t>
      </w:r>
      <w:r>
        <w:rPr>
          <w:rFonts w:ascii="Times New Roman" w:eastAsia="Times New Roman" w:hAnsi="Times New Roman" w:cs="Times New Roman"/>
          <w:color w:val="000000"/>
          <w:spacing w:val="0"/>
          <w:w w:val="100"/>
          <w:position w:val="0"/>
        </w:rPr>
        <w:t>2016</w:t>
      </w:r>
      <w:r>
        <w:rPr>
          <w:color w:val="000000"/>
          <w:spacing w:val="0"/>
          <w:w w:val="100"/>
          <w:position w:val="0"/>
        </w:rPr>
        <w:t>）验 字</w:t>
      </w:r>
      <w:r>
        <w:rPr>
          <w:rFonts w:ascii="Times New Roman" w:eastAsia="Times New Roman" w:hAnsi="Times New Roman" w:cs="Times New Roman"/>
          <w:color w:val="000000"/>
          <w:spacing w:val="0"/>
          <w:w w:val="100"/>
          <w:position w:val="0"/>
        </w:rPr>
        <w:t>N-002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8" w:val="left"/>
        </w:tabs>
        <w:bidi w:val="0"/>
        <w:spacing w:before="0" w:after="0" w:line="311" w:lineRule="exact"/>
        <w:ind w:left="0" w:right="0" w:firstLine="0"/>
        <w:jc w:val="both"/>
      </w:pPr>
      <w:bookmarkStart w:id="230" w:name="bookmark230"/>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年度募集资金使用金额及余额</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年度公司募集资金产生的利息收入</w:t>
      </w:r>
      <w:r>
        <w:rPr>
          <w:rFonts w:ascii="Times New Roman" w:eastAsia="Times New Roman" w:hAnsi="Times New Roman" w:cs="Times New Roman"/>
          <w:color w:val="000000"/>
          <w:spacing w:val="0"/>
          <w:w w:val="100"/>
          <w:position w:val="0"/>
        </w:rPr>
        <w:t>224,087.30</w:t>
      </w:r>
      <w:r>
        <w:rPr>
          <w:color w:val="000000"/>
          <w:spacing w:val="0"/>
          <w:w w:val="100"/>
          <w:position w:val="0"/>
        </w:rPr>
        <w:t>元；公司实际使用募集资金</w:t>
      </w:r>
      <w:r>
        <w:rPr>
          <w:rFonts w:ascii="Times New Roman" w:eastAsia="Times New Roman" w:hAnsi="Times New Roman" w:cs="Times New Roman"/>
          <w:color w:val="000000"/>
          <w:spacing w:val="0"/>
          <w:w w:val="100"/>
          <w:position w:val="0"/>
        </w:rPr>
        <w:t>18,051,530.00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443.73</w:t>
      </w:r>
      <w:r>
        <w:rPr>
          <w:color w:val="000000"/>
          <w:spacing w:val="0"/>
          <w:w w:val="100"/>
          <w:position w:val="0"/>
        </w:rPr>
        <w:t>元的银行手 续费支出</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日，公司募集资金专户余额为</w:t>
      </w:r>
      <w:r>
        <w:rPr>
          <w:rFonts w:ascii="Times New Roman" w:eastAsia="Times New Roman" w:hAnsi="Times New Roman" w:cs="Times New Roman"/>
          <w:color w:val="000000"/>
          <w:spacing w:val="0"/>
          <w:w w:val="100"/>
          <w:position w:val="0"/>
        </w:rPr>
        <w:t>163,111,445.27</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1"/>
      <w:bookmarkEnd w:id="232"/>
      <w:bookmarkEnd w:id="234"/>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98" w:lineRule="exact"/>
              <w:ind w:left="0" w:right="0" w:firstLine="0"/>
              <w:jc w:val="center"/>
            </w:pPr>
            <w:r>
              <w:rPr>
                <w:color w:val="000000"/>
                <w:spacing w:val="0"/>
                <w:w w:val="100"/>
                <w:position w:val="0"/>
              </w:rPr>
              <w:t>调整后投 资总额</w:t>
            </w:r>
          </w:p>
          <w:p>
            <w:pPr>
              <w:pStyle w:val="Style24"/>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 性是否发 生重大变 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、非税收入管理及公 共缴费服务平台项目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8,322.94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、运维服务体系建设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、技术研究中心建设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、补充流动资金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5,359.57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2,540.25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5,359.57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2,540.25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不适应</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日，公司以自筹资金预先投入募集资金投资项目款项合计</w:t>
            </w:r>
            <w:r>
              <w:rPr>
                <w:rFonts w:ascii="Times New Roman" w:eastAsia="Times New Roman" w:hAnsi="Times New Roman" w:cs="Times New Roman"/>
                <w:color w:val="000000"/>
                <w:spacing w:val="0"/>
                <w:w w:val="100"/>
                <w:position w:val="0"/>
              </w:rPr>
              <w:t>43,623,104.00</w:t>
            </w:r>
            <w:r>
              <w:rPr>
                <w:color w:val="000000"/>
                <w:spacing w:val="0"/>
                <w:w w:val="100"/>
                <w:position w:val="0"/>
              </w:rPr>
              <w:t>元。其 中非税收入管理及公共缴费服务平台项目</w:t>
            </w:r>
            <w:r>
              <w:rPr>
                <w:rFonts w:ascii="Times New Roman" w:eastAsia="Times New Roman" w:hAnsi="Times New Roman" w:cs="Times New Roman"/>
                <w:color w:val="000000"/>
                <w:spacing w:val="0"/>
                <w:w w:val="100"/>
                <w:position w:val="0"/>
              </w:rPr>
              <w:t>20,629,295.85</w:t>
            </w:r>
            <w:r>
              <w:rPr>
                <w:color w:val="000000"/>
                <w:spacing w:val="0"/>
                <w:w w:val="100"/>
                <w:position w:val="0"/>
              </w:rPr>
              <w:t>元；运维服务体系建设项目</w:t>
            </w:r>
            <w:r>
              <w:rPr>
                <w:rFonts w:ascii="Times New Roman" w:eastAsia="Times New Roman" w:hAnsi="Times New Roman" w:cs="Times New Roman"/>
                <w:color w:val="000000"/>
                <w:spacing w:val="0"/>
                <w:w w:val="100"/>
                <w:position w:val="0"/>
              </w:rPr>
              <w:t xml:space="preserve">14,825,754.20 </w:t>
            </w:r>
            <w:r>
              <w:rPr>
                <w:color w:val="000000"/>
                <w:spacing w:val="0"/>
                <w:w w:val="100"/>
                <w:position w:val="0"/>
              </w:rPr>
              <w:t>元；技术研究中心建设项目</w:t>
            </w:r>
            <w:r>
              <w:rPr>
                <w:rFonts w:ascii="Times New Roman" w:eastAsia="Times New Roman" w:hAnsi="Times New Roman" w:cs="Times New Roman"/>
                <w:color w:val="000000"/>
                <w:spacing w:val="0"/>
                <w:w w:val="100"/>
                <w:position w:val="0"/>
              </w:rPr>
              <w:t>8,168,053.94</w:t>
            </w:r>
            <w:r>
              <w:rPr>
                <w:color w:val="000000"/>
                <w:spacing w:val="0"/>
                <w:w w:val="100"/>
                <w:position w:val="0"/>
              </w:rPr>
              <w:t>元。公司第二届第十次董事会、第二届第七次监事会审议 并通过了以募集资金置换预先投入的自筹资金的议案；独立董事发表了独立意见；福建华兴会计师 事务所出具了《鉴证报告》；国金证券出具了《核查意见》。本公司尚未使用募集资金置换已投入资 金。</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尚未使用的募集资金目前存放于公司银行募集资金专户中，将全部用于主营业务，并根据公司的发 展规划及实际生产经营需求，妥善安排使用计划。公司实际使用募集资金前，将履行相应的董事会 或股东大会审议程序，并及时披露。</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公司募集资金在存放、使用、管理及披露方面不存在违规情形，公司已披露的相关信息不存在未及 时、真实、准确、完整披露的情况。</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5"/>
      <w:bookmarkEnd w:id="236"/>
      <w:bookmarkEnd w:id="23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、重大资产和股权出售</w:t>
      </w:r>
      <w:bookmarkEnd w:id="239"/>
      <w:bookmarkEnd w:id="240"/>
      <w:bookmarkEnd w:id="242"/>
    </w:p>
    <w:p>
      <w:pPr>
        <w:pStyle w:val="Style35"/>
        <w:keepNext/>
        <w:keepLines/>
        <w:widowControl w:val="0"/>
        <w:shd w:val="clear" w:color="auto" w:fill="auto"/>
        <w:bidi w:val="0"/>
        <w:spacing w:before="0" w:after="34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、出售重大资产情况</w:t>
      </w:r>
      <w:bookmarkEnd w:id="243"/>
      <w:bookmarkEnd w:id="244"/>
      <w:bookmarkEnd w:id="24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、出售重大股权情况</w:t>
      </w:r>
      <w:bookmarkEnd w:id="247"/>
      <w:bookmarkEnd w:id="248"/>
      <w:bookmarkEnd w:id="25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七</w:t>
      </w:r>
      <w:bookmarkEnd w:id="253"/>
      <w:r>
        <w:rPr>
          <w:color w:val="000000"/>
          <w:spacing w:val="0"/>
          <w:w w:val="100"/>
          <w:position w:val="0"/>
          <w:sz w:val="24"/>
          <w:szCs w:val="24"/>
        </w:rPr>
        <w:t>、主要控股参股公司分析</w:t>
      </w:r>
      <w:bookmarkEnd w:id="251"/>
      <w:bookmarkEnd w:id="252"/>
      <w:bookmarkEnd w:id="254"/>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福建华兴科 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 件、硬件、 通信及电子 产品的研 究、开发、 销售、服务、 培训、技术 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28,741,365.4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24,776,948.1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22,016,117.8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10,186,804.4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9,312,957.17</w:t>
            </w:r>
          </w:p>
        </w:tc>
      </w:tr>
      <w:tr>
        <w:trPr>
          <w:trHeight w:val="22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哈尔滨博思 伟业科技发 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计算机软硬 件的技术开 发及销售； 计算机网络 工程的技术 咨询、技术 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17,176,461.2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13,341,215.5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15,838,342.6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7,434,908.54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7,093,682.28</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股权收购及增资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对整体生产经营和业绩无重大影响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7"/>
        <w:keepNext/>
        <w:keepLines/>
        <w:widowControl w:val="0"/>
        <w:shd w:val="clear" w:color="auto" w:fill="auto"/>
        <w:tabs>
          <w:tab w:pos="517"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八</w:t>
      </w:r>
      <w:bookmarkEnd w:id="257"/>
      <w:r>
        <w:rPr>
          <w:color w:val="000000"/>
          <w:spacing w:val="0"/>
          <w:w w:val="100"/>
          <w:position w:val="0"/>
          <w:sz w:val="24"/>
          <w:szCs w:val="24"/>
        </w:rPr>
        <w:t>、</w:t>
        <w:tab/>
        <w:t>公司控制的结构化主体情况</w:t>
      </w:r>
      <w:bookmarkEnd w:id="255"/>
      <w:bookmarkEnd w:id="256"/>
      <w:bookmarkEnd w:id="25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九</w:t>
      </w:r>
      <w:bookmarkEnd w:id="261"/>
      <w:r>
        <w:rPr>
          <w:color w:val="000000"/>
          <w:spacing w:val="0"/>
          <w:w w:val="100"/>
          <w:position w:val="0"/>
          <w:sz w:val="24"/>
          <w:szCs w:val="24"/>
        </w:rPr>
        <w:t>、</w:t>
        <w:tab/>
        <w:t>公司未来发展的展望</w:t>
      </w:r>
      <w:bookmarkEnd w:id="259"/>
      <w:bookmarkEnd w:id="260"/>
      <w:bookmarkEnd w:id="262"/>
    </w:p>
    <w:p>
      <w:pPr>
        <w:pStyle w:val="Style31"/>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、行业发展情况</w:t>
      </w:r>
    </w:p>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根据《国民经济行业分类》，公司属于软件和信息技术服务业。国家工信部《软件和信息技术服务业发展规划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2016-2020 </w:t>
      </w:r>
      <w:r>
        <w:rPr>
          <w:color w:val="000000"/>
          <w:spacing w:val="0"/>
          <w:w w:val="100"/>
          <w:position w:val="0"/>
        </w:rPr>
        <w:t>年）》提出，到</w:t>
      </w:r>
      <w:r>
        <w:rPr>
          <w:rFonts w:ascii="Times New Roman" w:eastAsia="Times New Roman" w:hAnsi="Times New Roman" w:cs="Times New Roman"/>
          <w:color w:val="000000"/>
          <w:spacing w:val="0"/>
          <w:w w:val="100"/>
          <w:position w:val="0"/>
        </w:rPr>
        <w:t>2020</w:t>
      </w:r>
      <w:r>
        <w:rPr>
          <w:color w:val="000000"/>
          <w:spacing w:val="0"/>
          <w:w w:val="100"/>
          <w:position w:val="0"/>
        </w:rPr>
        <w:t>年，软件和信息技术服务业业务收入突破</w:t>
      </w:r>
      <w:r>
        <w:rPr>
          <w:rFonts w:ascii="Times New Roman" w:eastAsia="Times New Roman" w:hAnsi="Times New Roman" w:cs="Times New Roman"/>
          <w:color w:val="000000"/>
          <w:spacing w:val="0"/>
          <w:w w:val="100"/>
          <w:position w:val="0"/>
        </w:rPr>
        <w:t>8</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13%</w:t>
      </w:r>
      <w:r>
        <w:rPr>
          <w:color w:val="000000"/>
          <w:spacing w:val="0"/>
          <w:w w:val="100"/>
          <w:position w:val="0"/>
        </w:rPr>
        <w:t>以上。信息安全产品收入达到</w:t>
      </w:r>
      <w:r>
        <w:rPr>
          <w:rFonts w:ascii="Times New Roman" w:eastAsia="Times New Roman" w:hAnsi="Times New Roman" w:cs="Times New Roman"/>
          <w:color w:val="000000"/>
          <w:spacing w:val="0"/>
          <w:w w:val="100"/>
          <w:position w:val="0"/>
        </w:rPr>
        <w:t>2000</w:t>
      </w:r>
      <w:r>
        <w:rPr>
          <w:color w:val="000000"/>
          <w:spacing w:val="0"/>
          <w:w w:val="100"/>
          <w:position w:val="0"/>
        </w:rPr>
        <w:t>亿 元，年均增长</w:t>
      </w:r>
      <w:r>
        <w:rPr>
          <w:rFonts w:ascii="Times New Roman" w:eastAsia="Times New Roman" w:hAnsi="Times New Roman" w:cs="Times New Roman"/>
          <w:color w:val="000000"/>
          <w:spacing w:val="0"/>
          <w:w w:val="100"/>
          <w:position w:val="0"/>
        </w:rPr>
        <w:t>20%</w:t>
      </w:r>
      <w:r>
        <w:rPr>
          <w:color w:val="000000"/>
          <w:spacing w:val="0"/>
          <w:w w:val="100"/>
          <w:position w:val="0"/>
        </w:rPr>
        <w:t>以上。软件出口超过</w:t>
      </w:r>
      <w:r>
        <w:rPr>
          <w:rFonts w:ascii="Times New Roman" w:eastAsia="Times New Roman" w:hAnsi="Times New Roman" w:cs="Times New Roman"/>
          <w:color w:val="000000"/>
          <w:spacing w:val="0"/>
          <w:w w:val="100"/>
          <w:position w:val="0"/>
        </w:rPr>
        <w:t>680</w:t>
      </w:r>
      <w:r>
        <w:rPr>
          <w:color w:val="000000"/>
          <w:spacing w:val="0"/>
          <w:w w:val="100"/>
          <w:position w:val="0"/>
        </w:rPr>
        <w:t>亿美元。软件从业人员达到</w:t>
      </w:r>
      <w:r>
        <w:rPr>
          <w:rFonts w:ascii="Times New Roman" w:eastAsia="Times New Roman" w:hAnsi="Times New Roman" w:cs="Times New Roman"/>
          <w:color w:val="000000"/>
          <w:spacing w:val="0"/>
          <w:w w:val="100"/>
          <w:position w:val="0"/>
        </w:rPr>
        <w:t>900</w:t>
      </w:r>
      <w:r>
        <w:rPr>
          <w:color w:val="000000"/>
          <w:spacing w:val="0"/>
          <w:w w:val="100"/>
          <w:position w:val="0"/>
        </w:rPr>
        <w:t>万人。在</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时期，以数据为驱动的</w:t>
      </w:r>
      <w:r>
        <w:rPr>
          <w:rFonts w:ascii="Times New Roman" w:eastAsia="Times New Roman" w:hAnsi="Times New Roman" w:cs="Times New Roman"/>
          <w:color w:val="000000"/>
          <w:spacing w:val="0"/>
          <w:w w:val="100"/>
          <w:position w:val="0"/>
        </w:rPr>
        <w:t>“</w:t>
      </w:r>
      <w:r>
        <w:rPr>
          <w:color w:val="000000"/>
          <w:spacing w:val="0"/>
          <w:w w:val="100"/>
          <w:position w:val="0"/>
        </w:rPr>
        <w:t>软件定 义</w:t>
      </w:r>
      <w:r>
        <w:rPr>
          <w:rFonts w:ascii="Times New Roman" w:eastAsia="Times New Roman" w:hAnsi="Times New Roman" w:cs="Times New Roman"/>
          <w:color w:val="000000"/>
          <w:spacing w:val="0"/>
          <w:w w:val="100"/>
          <w:position w:val="0"/>
        </w:rPr>
        <w:t>”</w:t>
      </w:r>
      <w:r>
        <w:rPr>
          <w:color w:val="000000"/>
          <w:spacing w:val="0"/>
          <w:w w:val="100"/>
          <w:position w:val="0"/>
        </w:rPr>
        <w:t>成为软件和信息技术服务业发展的突出特征。软件和信息技术服务业加快向网络化、平台化、服务化、智能化、生态化 演进。</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年，国内经济增长进入新常态，《关于积极推进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行动的指导意见》、《促进大数据发展行动纲要》等一 系列政策效应将持续释放，国内软件行业面临更广阔的发展空间，并继续保持平稳较快发展的良好势头。在财政信息化领域, 财政信息化发展趋势是以平台</w:t>
      </w:r>
      <w:r>
        <w:rPr>
          <w:rFonts w:ascii="Times New Roman" w:eastAsia="Times New Roman" w:hAnsi="Times New Roman" w:cs="Times New Roman"/>
          <w:color w:val="000000"/>
          <w:spacing w:val="0"/>
          <w:w w:val="100"/>
          <w:position w:val="0"/>
        </w:rPr>
        <w:t xml:space="preserve">2.0 </w:t>
      </w:r>
      <w:r>
        <w:rPr>
          <w:color w:val="000000"/>
          <w:spacing w:val="0"/>
          <w:w w:val="100"/>
          <w:position w:val="0"/>
        </w:rPr>
        <w:t>（规范、标准）为支撑，以全面预算管理为业务龙头，通过收付电子化和现金管理实现国 库业务的规范、效率和增值，结合互联网技术手段，实现业务和数据深度融合和相互支撑。目前，新一轮的财税体制改革已 经围绕新预算法、收付电子化、大数据应用开展，财政客户围绕新改革会提出新理念，创造出新的信息化市场机会；同时财 政</w:t>
      </w:r>
      <w:r>
        <w:rPr>
          <w:rFonts w:ascii="Times New Roman" w:eastAsia="Times New Roman" w:hAnsi="Times New Roman" w:cs="Times New Roman"/>
          <w:color w:val="000000"/>
          <w:spacing w:val="0"/>
          <w:w w:val="100"/>
          <w:position w:val="0"/>
        </w:rPr>
        <w:t>+</w:t>
      </w:r>
      <w:r>
        <w:rPr>
          <w:color w:val="000000"/>
          <w:spacing w:val="0"/>
          <w:w w:val="100"/>
          <w:position w:val="0"/>
        </w:rPr>
        <w:t>互联网管理思维深入人心，财政客户在积极优化业务管理流程和技术支撑手段，提高对预算单位和社会公众的服务水平, 在电子票据、在线缴费、政府采购等信息化领域将有更大的业务需求。</w:t>
      </w:r>
    </w:p>
    <w:p>
      <w:pPr>
        <w:pStyle w:val="Style31"/>
        <w:keepNext w:val="0"/>
        <w:keepLines w:val="0"/>
        <w:widowControl w:val="0"/>
        <w:shd w:val="clear" w:color="auto" w:fill="auto"/>
        <w:tabs>
          <w:tab w:pos="712" w:val="left"/>
        </w:tabs>
        <w:bidi w:val="0"/>
        <w:spacing w:before="0" w:after="0" w:line="313" w:lineRule="exact"/>
        <w:ind w:left="0" w:right="0"/>
        <w:jc w:val="both"/>
      </w:pPr>
      <w:bookmarkStart w:id="263" w:name="bookmark263"/>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公司发展战略</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公司现阶段的总体战略是：秉承</w:t>
      </w:r>
      <w:r>
        <w:rPr>
          <w:rFonts w:ascii="Times New Roman" w:eastAsia="Times New Roman" w:hAnsi="Times New Roman" w:cs="Times New Roman"/>
          <w:color w:val="000000"/>
          <w:spacing w:val="0"/>
          <w:w w:val="100"/>
          <w:position w:val="0"/>
        </w:rPr>
        <w:t>“</w:t>
      </w:r>
      <w:r>
        <w:rPr>
          <w:color w:val="000000"/>
          <w:spacing w:val="0"/>
          <w:w w:val="100"/>
          <w:position w:val="0"/>
        </w:rPr>
        <w:t>专注科技与创新，更好服务于社会公众</w:t>
      </w:r>
      <w:r>
        <w:rPr>
          <w:rFonts w:ascii="Times New Roman" w:eastAsia="Times New Roman" w:hAnsi="Times New Roman" w:cs="Times New Roman"/>
          <w:color w:val="000000"/>
          <w:spacing w:val="0"/>
          <w:w w:val="100"/>
          <w:position w:val="0"/>
        </w:rPr>
        <w:t>”</w:t>
      </w:r>
      <w:r>
        <w:rPr>
          <w:color w:val="000000"/>
          <w:spacing w:val="0"/>
          <w:w w:val="100"/>
          <w:position w:val="0"/>
        </w:rPr>
        <w:t>的使命，专注于财政信息化领域，并扩展其他 政务服务领域、行业市场，同时紧紧把握当今技术趋势，不断向互联网、大数据应用和服务转型，成为全国领先的政府</w:t>
      </w:r>
      <w:r>
        <w:rPr>
          <w:rFonts w:ascii="Times New Roman" w:eastAsia="Times New Roman" w:hAnsi="Times New Roman" w:cs="Times New Roman"/>
          <w:color w:val="000000"/>
          <w:spacing w:val="0"/>
          <w:w w:val="100"/>
          <w:position w:val="0"/>
        </w:rPr>
        <w:t>+</w:t>
      </w:r>
      <w:r>
        <w:rPr>
          <w:color w:val="000000"/>
          <w:spacing w:val="0"/>
          <w:w w:val="100"/>
          <w:position w:val="0"/>
        </w:rPr>
        <w:t>互 联网服务提供商，同时大力布局财政电子票据、在线缴费、政府采购、智慧城市等业务，实现公司业务从</w:t>
      </w:r>
      <w:r>
        <w:rPr>
          <w:rFonts w:ascii="Times New Roman" w:eastAsia="Times New Roman" w:hAnsi="Times New Roman" w:cs="Times New Roman"/>
          <w:color w:val="000000"/>
          <w:spacing w:val="0"/>
          <w:w w:val="100"/>
          <w:position w:val="0"/>
        </w:rPr>
        <w:t>G</w:t>
      </w:r>
      <w:r>
        <w:rPr>
          <w:color w:val="000000"/>
          <w:spacing w:val="0"/>
          <w:w w:val="100"/>
          <w:position w:val="0"/>
        </w:rPr>
        <w:t>端向</w:t>
      </w:r>
      <w:r>
        <w:rPr>
          <w:rFonts w:ascii="Times New Roman" w:eastAsia="Times New Roman" w:hAnsi="Times New Roman" w:cs="Times New Roman"/>
          <w:color w:val="000000"/>
          <w:spacing w:val="0"/>
          <w:w w:val="100"/>
          <w:position w:val="0"/>
        </w:rPr>
        <w:t>B</w:t>
      </w:r>
      <w:r>
        <w:rPr>
          <w:color w:val="000000"/>
          <w:spacing w:val="0"/>
          <w:w w:val="100"/>
          <w:position w:val="0"/>
        </w:rPr>
        <w:t>端、</w:t>
      </w:r>
      <w:r>
        <w:rPr>
          <w:rFonts w:ascii="Times New Roman" w:eastAsia="Times New Roman" w:hAnsi="Times New Roman" w:cs="Times New Roman"/>
          <w:color w:val="000000"/>
          <w:spacing w:val="0"/>
          <w:w w:val="100"/>
          <w:position w:val="0"/>
        </w:rPr>
        <w:t>C</w:t>
      </w:r>
      <w:r>
        <w:rPr>
          <w:color w:val="000000"/>
          <w:spacing w:val="0"/>
          <w:w w:val="100"/>
          <w:position w:val="0"/>
        </w:rPr>
        <w:t>端 拓展。</w:t>
      </w:r>
    </w:p>
    <w:p>
      <w:pPr>
        <w:pStyle w:val="Style31"/>
        <w:keepNext w:val="0"/>
        <w:keepLines w:val="0"/>
        <w:widowControl w:val="0"/>
        <w:shd w:val="clear" w:color="auto" w:fill="auto"/>
        <w:tabs>
          <w:tab w:pos="712" w:val="left"/>
        </w:tabs>
        <w:bidi w:val="0"/>
        <w:spacing w:before="0" w:after="0" w:line="313" w:lineRule="exact"/>
        <w:ind w:left="0" w:right="0"/>
        <w:jc w:val="both"/>
      </w:pPr>
      <w:bookmarkStart w:id="264" w:name="bookmark264"/>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年公司经营计划</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年，公司将围绕上述发展战略，继续以客户为中心，以研发为驱动，以人才为根本，开展主要经营管理工作：</w:t>
      </w:r>
    </w:p>
    <w:p>
      <w:pPr>
        <w:pStyle w:val="Style31"/>
        <w:keepNext w:val="0"/>
        <w:keepLines w:val="0"/>
        <w:widowControl w:val="0"/>
        <w:shd w:val="clear" w:color="auto" w:fill="auto"/>
        <w:tabs>
          <w:tab w:pos="784" w:val="left"/>
        </w:tabs>
        <w:bidi w:val="0"/>
        <w:spacing w:before="0" w:after="0" w:line="313" w:lineRule="exact"/>
        <w:ind w:left="0" w:right="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1</w:t>
      </w:r>
      <w:r>
        <w:rPr>
          <w:color w:val="000000"/>
          <w:spacing w:val="0"/>
          <w:w w:val="100"/>
          <w:position w:val="0"/>
        </w:rPr>
        <w:t>）</w:t>
        <w:tab/>
        <w:t>业务开展</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年，公司将持续专注于财政信息化领域，并扩展其他政务服务领域。在财政信息化领域，在保持财政票据电子化管 理软件等产品领先的基础上，积极拓展非税收入收缴电子化、财政电子票据、在线缴费等业务，在其他政务服务领域，公司 将积极探索政府采购、智慧城市建设等业务。</w:t>
      </w:r>
    </w:p>
    <w:p>
      <w:pPr>
        <w:pStyle w:val="Style31"/>
        <w:keepNext w:val="0"/>
        <w:keepLines w:val="0"/>
        <w:widowControl w:val="0"/>
        <w:shd w:val="clear" w:color="auto" w:fill="auto"/>
        <w:tabs>
          <w:tab w:pos="784" w:val="left"/>
        </w:tabs>
        <w:bidi w:val="0"/>
        <w:spacing w:before="0" w:after="0" w:line="313" w:lineRule="exact"/>
        <w:ind w:left="0" w:right="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2</w:t>
      </w:r>
      <w:r>
        <w:rPr>
          <w:color w:val="000000"/>
          <w:spacing w:val="0"/>
          <w:w w:val="100"/>
          <w:position w:val="0"/>
        </w:rPr>
        <w:t>）</w:t>
        <w:tab/>
        <w:t>产品研发</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公司将持续结合行业相关技术的发展动态和趋势，以及客户需求的变化，对公司已有产品进行持续的技术升级和改造， 不断完善产品功能，为客户提供更多增值服务，进一步拓展主营业务行业应用的深度和广度；同时根据当前财政信息化互联 网化的发展趋势，积极研发财政信息化互联网产品。</w:t>
      </w:r>
    </w:p>
    <w:p>
      <w:pPr>
        <w:pStyle w:val="Style31"/>
        <w:keepNext w:val="0"/>
        <w:keepLines w:val="0"/>
        <w:widowControl w:val="0"/>
        <w:shd w:val="clear" w:color="auto" w:fill="auto"/>
        <w:tabs>
          <w:tab w:pos="784" w:val="left"/>
        </w:tabs>
        <w:bidi w:val="0"/>
        <w:spacing w:before="0" w:after="0" w:line="313" w:lineRule="exact"/>
        <w:ind w:left="0" w:right="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3</w:t>
      </w:r>
      <w:r>
        <w:rPr>
          <w:color w:val="000000"/>
          <w:spacing w:val="0"/>
          <w:w w:val="100"/>
          <w:position w:val="0"/>
        </w:rPr>
        <w:t>）</w:t>
        <w:tab/>
        <w:t>人力资源</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加强人力资源管理工作，完善健全公司的人力资源结构。重点引进中高层人员、市场拓展人员；同时加强员工培养力度， 采取多层次的培训方式，提高员工技能水平；在员工数量不断增加的同时，公司将继续完善人才激励和约束机制，稳定核心 骨干人才，优化人才结构。</w:t>
      </w:r>
    </w:p>
    <w:p>
      <w:pPr>
        <w:pStyle w:val="Style31"/>
        <w:keepNext w:val="0"/>
        <w:keepLines w:val="0"/>
        <w:widowControl w:val="0"/>
        <w:shd w:val="clear" w:color="auto" w:fill="auto"/>
        <w:tabs>
          <w:tab w:pos="784" w:val="left"/>
        </w:tabs>
        <w:bidi w:val="0"/>
        <w:spacing w:before="0" w:after="0" w:line="313"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4</w:t>
      </w:r>
      <w:r>
        <w:rPr>
          <w:color w:val="000000"/>
          <w:spacing w:val="0"/>
          <w:w w:val="100"/>
          <w:position w:val="0"/>
        </w:rPr>
        <w:t>）</w:t>
        <w:tab/>
        <w:t>公司治理</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继续按照上市公司要求，建立健全公司法人治理体系，建立健全各项规章制度，提升经营管理效率，有效控制风险，合 理降低成本，确保企业监督控制工作的有效执行，进一步保证企业经营活动的顺利进行。</w:t>
      </w:r>
    </w:p>
    <w:p>
      <w:pPr>
        <w:pStyle w:val="Style31"/>
        <w:keepNext w:val="0"/>
        <w:keepLines w:val="0"/>
        <w:widowControl w:val="0"/>
        <w:shd w:val="clear" w:color="auto" w:fill="auto"/>
        <w:tabs>
          <w:tab w:pos="784" w:val="left"/>
        </w:tabs>
        <w:bidi w:val="0"/>
        <w:spacing w:before="0" w:after="0" w:line="313"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5</w:t>
      </w:r>
      <w:r>
        <w:rPr>
          <w:color w:val="000000"/>
          <w:spacing w:val="0"/>
          <w:w w:val="100"/>
          <w:position w:val="0"/>
        </w:rPr>
        <w:t>）</w:t>
        <w:tab/>
        <w:t>资本运作</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公司根据发展战略，围绕自身核心业务，在时机较为成熟的前提下，公司将充分利用自身优势和资本市场平台，采用兼 并收购等多种方式扩张，并有效整合资源、提高运营效率，增强企业核心竞争力。</w:t>
      </w:r>
    </w:p>
    <w:p>
      <w:pPr>
        <w:pStyle w:val="Style31"/>
        <w:keepNext w:val="0"/>
        <w:keepLines w:val="0"/>
        <w:widowControl w:val="0"/>
        <w:shd w:val="clear" w:color="auto" w:fill="auto"/>
        <w:tabs>
          <w:tab w:pos="712" w:val="left"/>
        </w:tabs>
        <w:bidi w:val="0"/>
        <w:spacing w:before="0" w:after="0" w:line="313" w:lineRule="exact"/>
        <w:ind w:left="0" w:right="0"/>
        <w:jc w:val="both"/>
      </w:pPr>
      <w:bookmarkStart w:id="270" w:name="bookmark270"/>
      <w:r>
        <w:rPr>
          <w:rFonts w:ascii="Times New Roman" w:eastAsia="Times New Roman" w:hAnsi="Times New Roman" w:cs="Times New Roman"/>
          <w:color w:val="000000"/>
          <w:spacing w:val="0"/>
          <w:w w:val="100"/>
          <w:position w:val="0"/>
        </w:rPr>
        <w:t>4</w:t>
      </w:r>
      <w:bookmarkEnd w:id="270"/>
      <w:r>
        <w:rPr>
          <w:color w:val="000000"/>
          <w:spacing w:val="0"/>
          <w:w w:val="100"/>
          <w:position w:val="0"/>
        </w:rPr>
        <w:t>、</w:t>
        <w:tab/>
        <w:t>可能面临的风险</w:t>
      </w:r>
    </w:p>
    <w:p>
      <w:pPr>
        <w:pStyle w:val="Style31"/>
        <w:keepNext w:val="0"/>
        <w:keepLines w:val="0"/>
        <w:widowControl w:val="0"/>
        <w:shd w:val="clear" w:color="auto" w:fill="auto"/>
        <w:tabs>
          <w:tab w:pos="784" w:val="left"/>
        </w:tabs>
        <w:bidi w:val="0"/>
        <w:spacing w:before="0" w:after="0" w:line="313"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w:t>
      </w:r>
      <w:r>
        <w:rPr>
          <w:color w:val="000000"/>
          <w:spacing w:val="0"/>
          <w:w w:val="100"/>
          <w:position w:val="0"/>
        </w:rPr>
        <w:t>）</w:t>
        <w:tab/>
        <w:t>市场竞争风险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凭借对行业发展趋势的深刻理解和多年积累的技术与行业经验，公司抓住国家推动财政票据电子化管理改革及加强非税 收入管理的机会，研发出财政票据电子化管理软件和非税收入收缴管理系统、非税收入政策管理系统等领先产品，并迅速占 领了较大的市场份额，而随着该细分市场领域的市场环境逐步成熟，市场规模不断扩大，将吸引越来越多的软件企业进入， 市场竞争更加激烈。新竞争者的进入，可能带来产品和服务价格的下滑、产品更新换代加快、市场份额难以保持的风险。公 司将面临国内大型软件企业和国外软件企业的竞争，这可能对公司的产品和服务的价格、市场份额等产生不利影响。</w:t>
      </w:r>
    </w:p>
    <w:p>
      <w:pPr>
        <w:pStyle w:val="Style31"/>
        <w:keepNext w:val="0"/>
        <w:keepLines w:val="0"/>
        <w:widowControl w:val="0"/>
        <w:shd w:val="clear" w:color="auto" w:fill="auto"/>
        <w:tabs>
          <w:tab w:pos="784" w:val="left"/>
        </w:tabs>
        <w:bidi w:val="0"/>
        <w:spacing w:before="0" w:after="0" w:line="313" w:lineRule="exact"/>
        <w:ind w:left="0" w:right="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w:t>
        <w:tab/>
        <w:t>技术开发、产品升级风险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软件开发属于技术密集型产业，公司产品技术开发所依赖的操作系统、中间件、开发工具等更新换代速度快。如果相关 技术发生重大变革，将影响公司产品技术开发进程。公司产品主要服务于电子政务领域，该领域对信息安全性、保密性要求 程度较高，日常业务数据处理量大，因而对所应用的软件不断提出更高、更新的要求，如果公司不能准确把握技术、产品及 市场发展的趋势，研发出符合市场需求的新产品；或者公司对产品和市场需求的把握出现偏差、不能及时调整技术和产品方 向，将可能使公司丧失技术和市场的领先地位。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软件产品较为复杂，任何软件公司可能都无法完全杜绝所开发软件的错误和缺陷。如果公司开发的软件存在缺陷或错误， 将导致用户的日常业务开展，甚至非税收入的征收管理受到不利影响。为修正产品已发生的错误或因客户提起的索赔请求而 进行的申辩，将额外增加公司的成本费用、并影响公司的市场信誉及行业地位。</w:t>
      </w:r>
    </w:p>
    <w:p>
      <w:pPr>
        <w:pStyle w:val="Style31"/>
        <w:keepNext w:val="0"/>
        <w:keepLines w:val="0"/>
        <w:widowControl w:val="0"/>
        <w:shd w:val="clear" w:color="auto" w:fill="auto"/>
        <w:tabs>
          <w:tab w:pos="760" w:val="left"/>
        </w:tabs>
        <w:bidi w:val="0"/>
        <w:spacing w:before="0" w:after="0" w:line="313" w:lineRule="exact"/>
        <w:ind w:left="0" w:right="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w:t>
        <w:tab/>
        <w:t>信息安全风险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公司提供软件产品的研发、销售与服务，公司产品的各类应用系统及其赖以运行的基础网络、处理的数据和信息，由于 其可能存在的软硬件缺陷、系统集成缺陷等，以及信息安全管理、人员管理中潜在的薄弱环节，而导致的不同程度的安全风 险。尽管公司历来注重信息安全风险的防范，每年都投入较大金额对信息安全进行研究并实施防范措施，但由于信息系统本 身固有的安全特点，公司产品的应用仍存在不可预测的信息安全风险，一旦发生大的信息安全事故，可能在一定期间导致业 务系统瘫痪，客户数据泄密或资金流向错误，从而对公司的经营造成影响。</w:t>
      </w:r>
    </w:p>
    <w:p>
      <w:pPr>
        <w:pStyle w:val="Style31"/>
        <w:keepNext w:val="0"/>
        <w:keepLines w:val="0"/>
        <w:widowControl w:val="0"/>
        <w:shd w:val="clear" w:color="auto" w:fill="auto"/>
        <w:tabs>
          <w:tab w:pos="760" w:val="left"/>
        </w:tabs>
        <w:bidi w:val="0"/>
        <w:spacing w:before="0" w:after="0" w:line="313" w:lineRule="exact"/>
        <w:ind w:left="0" w:right="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4</w:t>
      </w:r>
      <w:r>
        <w:rPr>
          <w:color w:val="000000"/>
          <w:spacing w:val="0"/>
          <w:w w:val="100"/>
          <w:position w:val="0"/>
        </w:rPr>
        <w:t>）</w:t>
        <w:tab/>
        <w:t>客户和销售区域集中的风险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经过多年的技术研发和经验积累，公司已拥有了成熟的财政票据电子化管理软件及非税收入管理信息化产品，熟悉该等 客户的财政管理业务运行规律及业务管理需求。由于在该领域的先发优势，公司积累了大量客户，特别是在福建省内，公司 产品具有良好的品牌效应和客户基础，来源于福建省的销售收入占比较高，随着本公司业务向全国各地的拓展，福建省收入 占比呈持续下降的趋势，但如果福建区域市场出现重大不利变化，将对本公司经营业绩造成不良影响。</w:t>
      </w:r>
    </w:p>
    <w:p>
      <w:pPr>
        <w:pStyle w:val="Style31"/>
        <w:keepNext w:val="0"/>
        <w:keepLines w:val="0"/>
        <w:widowControl w:val="0"/>
        <w:shd w:val="clear" w:color="auto" w:fill="auto"/>
        <w:tabs>
          <w:tab w:pos="760" w:val="left"/>
        </w:tabs>
        <w:bidi w:val="0"/>
        <w:spacing w:before="0" w:after="0" w:line="313" w:lineRule="exact"/>
        <w:ind w:left="0" w:right="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5</w:t>
      </w:r>
      <w:r>
        <w:rPr>
          <w:color w:val="000000"/>
          <w:spacing w:val="0"/>
          <w:w w:val="100"/>
          <w:position w:val="0"/>
        </w:rPr>
        <w:t>）</w:t>
        <w:tab/>
        <w:t>核心技术泄露、核心技术人员流失的风险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拥有核心技术与核心技术人员是公司在行业中能够保持竞争优势的主要原因之一。目前，公司拥有包括</w:t>
      </w:r>
      <w:r>
        <w:rPr>
          <w:rFonts w:ascii="Times New Roman" w:eastAsia="Times New Roman" w:hAnsi="Times New Roman" w:cs="Times New Roman"/>
          <w:color w:val="000000"/>
          <w:spacing w:val="0"/>
          <w:w w:val="100"/>
          <w:position w:val="0"/>
        </w:rPr>
        <w:t>“</w:t>
      </w:r>
      <w:r>
        <w:rPr>
          <w:color w:val="000000"/>
          <w:spacing w:val="0"/>
          <w:w w:val="100"/>
          <w:position w:val="0"/>
        </w:rPr>
        <w:t>博思财政票据 电子化改革管理系统</w:t>
      </w:r>
      <w:r>
        <w:rPr>
          <w:rFonts w:ascii="Times New Roman" w:eastAsia="Times New Roman" w:hAnsi="Times New Roman" w:cs="Times New Roman"/>
          <w:color w:val="000000"/>
          <w:spacing w:val="0"/>
          <w:w w:val="100"/>
          <w:position w:val="0"/>
        </w:rPr>
        <w:t>V 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博思票据电子化软件</w:t>
      </w:r>
      <w:r>
        <w:rPr>
          <w:rFonts w:ascii="Times New Roman" w:eastAsia="Times New Roman" w:hAnsi="Times New Roman" w:cs="Times New Roman"/>
          <w:color w:val="000000"/>
          <w:spacing w:val="0"/>
          <w:w w:val="100"/>
          <w:position w:val="0"/>
        </w:rPr>
        <w:t>WEB</w:t>
      </w:r>
      <w:r>
        <w:rPr>
          <w:color w:val="000000"/>
          <w:spacing w:val="0"/>
          <w:w w:val="100"/>
          <w:position w:val="0"/>
        </w:rPr>
        <w:t>版</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非税收入收缴管理信息系统</w:t>
      </w:r>
      <w:r>
        <w:rPr>
          <w:rFonts w:ascii="Times New Roman" w:eastAsia="Times New Roman" w:hAnsi="Times New Roman" w:cs="Times New Roman"/>
          <w:color w:val="000000"/>
          <w:spacing w:val="0"/>
          <w:w w:val="100"/>
          <w:position w:val="0"/>
        </w:rPr>
        <w:t>V1.0”</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博思公共缴费平 台管理系统</w:t>
      </w:r>
      <w:r>
        <w:rPr>
          <w:rFonts w:ascii="Times New Roman" w:eastAsia="Times New Roman" w:hAnsi="Times New Roman" w:cs="Times New Roman"/>
          <w:color w:val="000000"/>
          <w:spacing w:val="0"/>
          <w:w w:val="100"/>
          <w:position w:val="0"/>
        </w:rPr>
        <w:t>V2.0”</w:t>
      </w:r>
      <w:r>
        <w:rPr>
          <w:color w:val="000000"/>
          <w:spacing w:val="0"/>
          <w:w w:val="100"/>
          <w:position w:val="0"/>
        </w:rPr>
        <w:t>等多项计算机软件著作权，均属于公司的核心技术。核心技术与核心技术人员是公司发展的基础，因此计 算机软件著作权被侵权、核心技术人员流失都会对公司生产经营造成较大负面影响，故公司存在核心技术泄露以及核心技术 人员流失的风险。</w:t>
      </w:r>
    </w:p>
    <w:p>
      <w:pPr>
        <w:pStyle w:val="Style31"/>
        <w:keepNext w:val="0"/>
        <w:keepLines w:val="0"/>
        <w:widowControl w:val="0"/>
        <w:shd w:val="clear" w:color="auto" w:fill="auto"/>
        <w:tabs>
          <w:tab w:pos="760" w:val="left"/>
        </w:tabs>
        <w:bidi w:val="0"/>
        <w:spacing w:before="0" w:after="0" w:line="313" w:lineRule="exact"/>
        <w:ind w:left="0" w:right="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6</w:t>
      </w:r>
      <w:r>
        <w:rPr>
          <w:color w:val="000000"/>
          <w:spacing w:val="0"/>
          <w:w w:val="100"/>
          <w:position w:val="0"/>
        </w:rPr>
        <w:t>）</w:t>
        <w:tab/>
        <w:t>新业务、新领域开拓风险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公司上市后，在稳定现有主营业务的基础上将充分利用资本市场的优势与资源，通过内部业务创新与外部战略并购的方 式推进公司的业务发展，这是公司迅速发展做大做强的必经之路。但公司可能面临缺乏专业团队、创新工作经验不足、市场 判断失误等问题，公司未来并购项目在与公司原有业务整合上的困难障碍，都对公司未来业务收入持续稳定增长可能产生不 利的影响。</w:t>
      </w:r>
    </w:p>
    <w:p>
      <w:pPr>
        <w:pStyle w:val="Style31"/>
        <w:keepNext w:val="0"/>
        <w:keepLines w:val="0"/>
        <w:widowControl w:val="0"/>
        <w:shd w:val="clear" w:color="auto" w:fill="auto"/>
        <w:tabs>
          <w:tab w:pos="760" w:val="left"/>
        </w:tabs>
        <w:bidi w:val="0"/>
        <w:spacing w:before="0" w:after="0" w:line="313" w:lineRule="exact"/>
        <w:ind w:left="0" w:right="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rPr>
        <w:t>7</w:t>
      </w:r>
      <w:r>
        <w:rPr>
          <w:color w:val="000000"/>
          <w:spacing w:val="0"/>
          <w:w w:val="100"/>
          <w:position w:val="0"/>
        </w:rPr>
        <w:t>）</w:t>
        <w:tab/>
        <w:t>应收账款余额较大风险</w:t>
      </w:r>
    </w:p>
    <w:p>
      <w:pPr>
        <w:pStyle w:val="Style31"/>
        <w:keepNext w:val="0"/>
        <w:keepLines w:val="0"/>
        <w:widowControl w:val="0"/>
        <w:shd w:val="clear" w:color="auto" w:fill="auto"/>
        <w:bidi w:val="0"/>
        <w:spacing w:before="0" w:after="34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日，公司应收账款余额为</w:t>
      </w:r>
      <w:r>
        <w:rPr>
          <w:rFonts w:ascii="Times New Roman" w:eastAsia="Times New Roman" w:hAnsi="Times New Roman" w:cs="Times New Roman"/>
          <w:color w:val="000000"/>
          <w:spacing w:val="0"/>
          <w:w w:val="100"/>
          <w:position w:val="0"/>
        </w:rPr>
        <w:t>4,767.4</w:t>
      </w:r>
      <w:r>
        <w:rPr>
          <w:rFonts w:ascii="Times New Roman" w:eastAsia="Times New Roman" w:hAnsi="Times New Roman" w:cs="Times New Roman"/>
          <w:color w:val="000000"/>
          <w:spacing w:val="0"/>
          <w:w w:val="100"/>
          <w:position w:val="0"/>
        </w:rPr>
        <w:t>2</w:t>
      </w:r>
      <w:r>
        <w:rPr>
          <w:color w:val="000000"/>
          <w:spacing w:val="0"/>
          <w:w w:val="100"/>
          <w:position w:val="0"/>
        </w:rPr>
        <w:t>万元，占流动资产的比例为</w:t>
      </w:r>
      <w:r>
        <w:rPr>
          <w:rFonts w:ascii="Times New Roman" w:eastAsia="Times New Roman" w:hAnsi="Times New Roman" w:cs="Times New Roman"/>
          <w:color w:val="000000"/>
          <w:spacing w:val="0"/>
          <w:w w:val="100"/>
          <w:position w:val="0"/>
        </w:rPr>
        <w:t>14.77%</w:t>
      </w:r>
      <w:r>
        <w:rPr>
          <w:color w:val="000000"/>
          <w:spacing w:val="0"/>
          <w:w w:val="100"/>
          <w:position w:val="0"/>
        </w:rPr>
        <w:t>。公司主营产品的客户主要为行 政事业单位，这些客户通常采取预算管理制度，一般下半年制定次年年度预算和投资计划，审批通常集中在次年的上半年， 采购招标则安排在次年年中或下半年，采购资金的支付也主要集中在第四季度及下一年第一季度。因此，公司每年上半年销 售较少，销售主要集中在下半年尤其是第四季度，公司销售呈现较明显的季节性分布，并由此使得公司营业收入在第四季度 集中实现，年末的应收账款余额较大。随着业务规模的持续扩大和销售收入的增加，公司应收账款余额总体上呈增加趋势， 可能存在部分货款不能及时回收的风险。</w:t>
      </w:r>
    </w:p>
    <w:p>
      <w:pPr>
        <w:pStyle w:val="Style27"/>
        <w:keepNext/>
        <w:keepLines/>
        <w:widowControl w:val="0"/>
        <w:shd w:val="clear" w:color="auto" w:fill="auto"/>
        <w:bidi w:val="0"/>
        <w:spacing w:before="0" w:line="240" w:lineRule="auto"/>
        <w:ind w:left="0" w:right="0" w:firstLine="0"/>
        <w:jc w:val="left"/>
      </w:pPr>
      <w:bookmarkStart w:id="278" w:name="bookmark278"/>
      <w:bookmarkStart w:id="279" w:name="bookmark279"/>
      <w:bookmarkStart w:id="280" w:name="bookmark280"/>
      <w:r>
        <w:rPr>
          <w:color w:val="000000"/>
          <w:spacing w:val="0"/>
          <w:w w:val="100"/>
          <w:position w:val="0"/>
          <w:sz w:val="24"/>
          <w:szCs w:val="24"/>
        </w:rPr>
        <w:t>十、接待调研、沟通、采访等活动登记表</w:t>
      </w:r>
      <w:bookmarkEnd w:id="278"/>
      <w:bookmarkEnd w:id="279"/>
      <w:bookmarkEnd w:id="280"/>
    </w:p>
    <w:p>
      <w:pPr>
        <w:pStyle w:val="Style35"/>
        <w:keepNext/>
        <w:keepLines/>
        <w:widowControl w:val="0"/>
        <w:shd w:val="clear" w:color="auto" w:fill="auto"/>
        <w:bidi w:val="0"/>
        <w:spacing w:before="0" w:after="26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、报告期内接待调研、沟通、采访等活动登记表</w:t>
      </w:r>
      <w:bookmarkEnd w:id="281"/>
      <w:bookmarkEnd w:id="282"/>
      <w:bookmarkEnd w:id="284"/>
    </w:p>
    <w:p>
      <w:pPr>
        <w:pStyle w:val="Style31"/>
        <w:keepNext w:val="0"/>
        <w:keepLines w:val="0"/>
        <w:widowControl w:val="0"/>
        <w:shd w:val="clear" w:color="auto" w:fill="auto"/>
        <w:bidi w:val="0"/>
        <w:spacing w:before="0" w:after="80" w:line="31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2184"/>
        <w:gridCol w:w="2179"/>
        <w:gridCol w:w="2174"/>
        <w:gridCol w:w="3043"/>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巨潮资讯网：博思软件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日投资者关系活动记录表</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巨潮资讯网：博思软件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日投资者关系活动记录表</w:t>
            </w:r>
          </w:p>
        </w:tc>
      </w:tr>
    </w:tbl>
    <w:p>
      <w:pPr>
        <w:sectPr>
          <w:footnotePr>
            <w:pos w:val="pageBottom"/>
            <w:numFmt w:val="decimal"/>
            <w:numRestart w:val="continuous"/>
          </w:footnotePr>
          <w:pgSz w:w="11900" w:h="16840"/>
          <w:pgMar w:top="1378" w:right="1052" w:bottom="1460" w:left="1070" w:header="0" w:footer="3" w:gutter="0"/>
          <w:cols w:space="720"/>
          <w:noEndnote/>
          <w:rtlGutter w:val="0"/>
          <w:docGrid w:linePitch="360"/>
        </w:sectPr>
      </w:pPr>
    </w:p>
    <w:p>
      <w:pPr>
        <w:pStyle w:val="Style14"/>
        <w:keepNext/>
        <w:keepLines/>
        <w:widowControl w:val="0"/>
        <w:shd w:val="clear" w:color="auto" w:fill="auto"/>
        <w:bidi w:val="0"/>
        <w:spacing w:before="780" w:line="240" w:lineRule="auto"/>
        <w:ind w:left="0" w:right="0" w:firstLine="0"/>
        <w:jc w:val="center"/>
      </w:pPr>
      <w:bookmarkStart w:id="285" w:name="bookmark285"/>
      <w:bookmarkStart w:id="286" w:name="bookmark286"/>
      <w:bookmarkStart w:id="287" w:name="bookmark287"/>
      <w:bookmarkStart w:id="288" w:name="bookmark288"/>
      <w:r>
        <w:rPr>
          <w:color w:val="000000"/>
          <w:spacing w:val="0"/>
          <w:w w:val="100"/>
          <w:position w:val="0"/>
        </w:rPr>
        <w:t>第五节重要事项</w:t>
      </w:r>
      <w:bookmarkEnd w:id="286"/>
      <w:bookmarkEnd w:id="287"/>
      <w:bookmarkEnd w:id="288"/>
      <w:bookmarkEnd w:id="285"/>
    </w:p>
    <w:p>
      <w:pPr>
        <w:pStyle w:val="Style27"/>
        <w:keepNext/>
        <w:keepLines/>
        <w:widowControl w:val="0"/>
        <w:shd w:val="clear" w:color="auto" w:fill="auto"/>
        <w:bidi w:val="0"/>
        <w:spacing w:before="0" w:after="22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一</w:t>
      </w:r>
      <w:bookmarkEnd w:id="291"/>
      <w:r>
        <w:rPr>
          <w:color w:val="000000"/>
          <w:spacing w:val="0"/>
          <w:w w:val="100"/>
          <w:position w:val="0"/>
          <w:sz w:val="24"/>
          <w:szCs w:val="24"/>
        </w:rPr>
        <w:t>、公司普通股利润分配及资本公积金转增股本情况</w:t>
      </w:r>
      <w:bookmarkEnd w:id="289"/>
      <w:bookmarkEnd w:id="290"/>
      <w:bookmarkEnd w:id="292"/>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公司严格按照《公司章程》相关利润分配政策和审议程序实施利润分配方案，分红标准和分红比例明确清晰，相关的决 策程序和机制完备。公司利润分配方案须经由董事会、监事会审议通过提交股东大会审议，并由独立董事发表独立意见，审 议通过后在规定时间内进行实施，切实保证了全体股东的利益。</w:t>
      </w:r>
    </w:p>
    <w:p>
      <w:pPr>
        <w:pStyle w:val="Style29"/>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年半年度利润分配预案已经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年第三次临时股东大会审议通过，同意以截至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6,813.9</w:t>
      </w:r>
      <w:r>
        <w:rPr>
          <w:rFonts w:ascii="Times New Roman" w:eastAsia="Times New Roman" w:hAnsi="Times New Roman" w:cs="Times New Roman"/>
          <w:color w:val="000000"/>
          <w:spacing w:val="0"/>
          <w:w w:val="100"/>
          <w:position w:val="0"/>
        </w:rPr>
        <w:t>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元（含税），共派发现金总额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,362.78</w:t>
      </w:r>
      <w:r>
        <w:rPr>
          <w:color w:val="000000"/>
          <w:spacing w:val="0"/>
          <w:w w:val="100"/>
          <w:position w:val="0"/>
        </w:rPr>
        <w:t>万元，不进行公积金 转增股本。上述利润分配预案已于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68,139,000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111,862,764.44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上市公司现金分红》及《公司章程》，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日，经公司第二届董事</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both"/>
      </w:pPr>
      <w:r>
        <w:rPr>
          <w:color w:val="000000"/>
          <w:spacing w:val="0"/>
          <w:w w:val="100"/>
          <w:position w:val="0"/>
        </w:rPr>
        <w:t>会第十二次会议和第二届监事会第九次会议审议通过，公司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年度利润分配预案为：结合公司</w:t>
      </w:r>
      <w:r>
        <w:rPr>
          <w:rFonts w:ascii="Times New Roman" w:eastAsia="Times New Roman" w:hAnsi="Times New Roman" w:cs="Times New Roman"/>
          <w:color w:val="000000"/>
          <w:spacing w:val="0"/>
          <w:w w:val="100"/>
          <w:position w:val="0"/>
        </w:rPr>
        <w:t>2016</w:t>
      </w:r>
      <w:r>
        <w:rPr>
          <w:color w:val="000000"/>
          <w:spacing w:val="0"/>
          <w:w w:val="100"/>
          <w:position w:val="0"/>
        </w:rPr>
        <w:t>年度经营情况＞</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年中期现金分红情况及未来经营发展情况，本期拟不进行利润分配，不送红股，也不进行资本公积转增资本。公司独立董 事对此议案发表了同意意见，具体内容详见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日刊登在中国证监会指定的创业板信息披露网站的相关公告。 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年半年度利润分配预案已经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年第三次临时股东大会审议通过，同意以截至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6,813.90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元（含税），共派发现金总额</w:t>
      </w:r>
      <w:r>
        <w:rPr>
          <w:rFonts w:ascii="Times New Roman" w:eastAsia="Times New Roman" w:hAnsi="Times New Roman" w:cs="Times New Roman"/>
          <w:color w:val="000000"/>
          <w:spacing w:val="0"/>
          <w:w w:val="100"/>
          <w:position w:val="0"/>
        </w:rPr>
        <w:t>1,362.78</w:t>
      </w:r>
      <w:r>
        <w:rPr>
          <w:color w:val="000000"/>
          <w:spacing w:val="0"/>
          <w:w w:val="100"/>
          <w:position w:val="0"/>
        </w:rPr>
        <w:t>万元，不进 行公积金转增股本。上述利润分配预案已于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日实施完毕。根据公司《公司章程》，公司在满足现金分红条 件时，公司原则上每年进行一次现金分红，并且在年度报告期内盈利且累计未分配利润为正的前提下，公司拟分配的现金 红利不低于当年实现的可供分配利润的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。同时根据公司上市后的分红回报规划的相关规定：公司采取现金、现金与股 票结合方式分配股利；公司利润分配不得超过累计可分配利润的范围；如公司当年度实现盈利，在依据本章程提取法定公 积金、任意公积金后进行利润分配的，现金分红金额不少于当年实现的可分配利润（以合并报表为基础）的百分之三十。 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年度利润分配的方案符合中国证监会《上市公司监管指引第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上市公司现金分红》、公司上市后的分红回报 规划、《公司章程》的要求，有利于公司长远发展，符合广大投资者整体利益。</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年利润分配方案：公司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年半年度利润分配预案已经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 同意以截至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6,813.9</w:t>
      </w:r>
      <w:r>
        <w:rPr>
          <w:rFonts w:ascii="Times New Roman" w:eastAsia="Times New Roman" w:hAnsi="Times New Roman" w:cs="Times New Roman"/>
          <w:color w:val="000000"/>
          <w:spacing w:val="0"/>
          <w:w w:val="100"/>
          <w:position w:val="0"/>
        </w:rPr>
        <w:t>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w:t>
      </w:r>
      <w:r>
        <w:rPr>
          <w:color w:val="000000"/>
          <w:spacing w:val="0"/>
          <w:w w:val="100"/>
          <w:position w:val="0"/>
        </w:rPr>
        <w:t>元（含税），共派发现金总额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,362.78 </w:t>
      </w:r>
      <w:r>
        <w:rPr>
          <w:color w:val="000000"/>
          <w:spacing w:val="0"/>
          <w:w w:val="100"/>
          <w:position w:val="0"/>
        </w:rPr>
        <w:t>万元，不进行公积金转增股本。上述利润分配预案已于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日实施完毕。</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13,627,800.00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38,301,620.49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36,731,975.96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31,185,311.69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二</w:t>
      </w:r>
      <w:bookmarkEnd w:id="295"/>
      <w:r>
        <w:rPr>
          <w:color w:val="000000"/>
          <w:spacing w:val="0"/>
          <w:w w:val="100"/>
          <w:position w:val="0"/>
          <w:sz w:val="24"/>
          <w:szCs w:val="24"/>
        </w:rPr>
        <w:t>、承诺事项履行情况</w:t>
      </w:r>
      <w:bookmarkEnd w:id="293"/>
      <w:bookmarkEnd w:id="294"/>
      <w:bookmarkEnd w:id="296"/>
    </w:p>
    <w:p>
      <w:pPr>
        <w:pStyle w:val="Style35"/>
        <w:keepNext/>
        <w:keepLines/>
        <w:widowControl w:val="0"/>
        <w:shd w:val="clear" w:color="auto" w:fill="auto"/>
        <w:bidi w:val="0"/>
        <w:spacing w:before="0" w:line="322" w:lineRule="exact"/>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、公司实际控制人、股东、关联方、收购人以及公司等承诺相关方在报告期内履行完毕及截至报告期末 尚未履行完毕的承诺事项</w:t>
      </w:r>
      <w:bookmarkEnd w:id="297"/>
      <w:bookmarkEnd w:id="298"/>
      <w:bookmarkEnd w:id="30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994"/>
        <w:gridCol w:w="989"/>
        <w:gridCol w:w="4114"/>
        <w:gridCol w:w="850"/>
        <w:gridCol w:w="850"/>
        <w:gridCol w:w="78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94"/>
        <w:gridCol w:w="989"/>
        <w:gridCol w:w="4114"/>
        <w:gridCol w:w="850"/>
        <w:gridCol w:w="850"/>
        <w:gridCol w:w="782"/>
      </w:tblGrid>
      <w:tr>
        <w:trPr>
          <w:trHeight w:val="415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本人所持有的公司股票扣除公开发售后（如有）的部 分自公司股票上市之日起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个月内，不转让或委托 他人管理其发行前所持公司股份，也不由公司回购该 部分股份。所持股票在锁定期后两年内减持的，其减 持价格不低于发行价。公司上市后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 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 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个月期末收盘价低于发行价，本人所持有的公 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个月。所持股票在锁定 期满后两年内减持的，其减持价格不低于发行价；在 公司首次公开发行股票并在创业板上市后</w:t>
            </w:r>
            <w:r>
              <w:rPr>
                <w:rFonts w:ascii="Times New Roman" w:eastAsia="Times New Roman" w:hAnsi="Times New Roman" w:cs="Times New Roman"/>
                <w:color w:val="000000"/>
                <w:spacing w:val="0"/>
                <w:w w:val="100"/>
                <w:position w:val="0"/>
              </w:rPr>
              <w:t>6</w:t>
            </w:r>
            <w:r>
              <w:rPr>
                <w:color w:val="000000"/>
                <w:spacing w:val="0"/>
                <w:w w:val="100"/>
                <w:position w:val="0"/>
              </w:rPr>
              <w:t>个月内， 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 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个月期末收盘价低于发行价，持有 公司股票的锁定期限自动延长至少</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9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北京实地创 业投资有限 公司</w:t>
            </w:r>
            <w:r>
              <w:rPr>
                <w:rFonts w:ascii="Times New Roman" w:eastAsia="Times New Roman" w:hAnsi="Times New Roman" w:cs="Times New Roman"/>
                <w:color w:val="000000"/>
                <w:spacing w:val="0"/>
                <w:w w:val="100"/>
                <w:position w:val="0"/>
              </w:rPr>
              <w:t>;</w:t>
            </w:r>
            <w:r>
              <w:rPr>
                <w:color w:val="000000"/>
                <w:spacing w:val="0"/>
                <w:w w:val="100"/>
                <w:position w:val="0"/>
              </w:rPr>
              <w:t>陈海 量</w:t>
            </w:r>
            <w:r>
              <w:rPr>
                <w:rFonts w:ascii="Times New Roman" w:eastAsia="Times New Roman" w:hAnsi="Times New Roman" w:cs="Times New Roman"/>
                <w:color w:val="000000"/>
                <w:spacing w:val="0"/>
                <w:w w:val="100"/>
                <w:position w:val="0"/>
              </w:rPr>
              <w:t>;</w:t>
            </w:r>
            <w:r>
              <w:rPr>
                <w:color w:val="000000"/>
                <w:spacing w:val="0"/>
                <w:w w:val="100"/>
                <w:position w:val="0"/>
              </w:rPr>
              <w:t>陈晶</w:t>
            </w:r>
            <w:r>
              <w:rPr>
                <w:rFonts w:ascii="Times New Roman" w:eastAsia="Times New Roman" w:hAnsi="Times New Roman" w:cs="Times New Roman"/>
                <w:color w:val="000000"/>
                <w:spacing w:val="0"/>
                <w:w w:val="100"/>
                <w:position w:val="0"/>
              </w:rPr>
              <w:t>;</w:t>
            </w:r>
            <w:r>
              <w:rPr>
                <w:color w:val="000000"/>
                <w:spacing w:val="0"/>
                <w:w w:val="100"/>
                <w:position w:val="0"/>
              </w:rPr>
              <w:t>陈 小雷</w:t>
            </w:r>
            <w:r>
              <w:rPr>
                <w:rFonts w:ascii="Times New Roman" w:eastAsia="Times New Roman" w:hAnsi="Times New Roman" w:cs="Times New Roman"/>
                <w:color w:val="000000"/>
                <w:spacing w:val="0"/>
                <w:w w:val="100"/>
                <w:position w:val="0"/>
              </w:rPr>
              <w:t>;</w:t>
            </w:r>
            <w:r>
              <w:rPr>
                <w:color w:val="000000"/>
                <w:spacing w:val="0"/>
                <w:w w:val="100"/>
                <w:position w:val="0"/>
              </w:rPr>
              <w:t>福建 省财政信息 中心</w:t>
            </w:r>
            <w:r>
              <w:rPr>
                <w:rFonts w:ascii="Times New Roman" w:eastAsia="Times New Roman" w:hAnsi="Times New Roman" w:cs="Times New Roman"/>
                <w:color w:val="000000"/>
                <w:spacing w:val="0"/>
                <w:w w:val="100"/>
                <w:position w:val="0"/>
              </w:rPr>
              <w:t>;</w:t>
            </w:r>
            <w:r>
              <w:rPr>
                <w:color w:val="000000"/>
                <w:spacing w:val="0"/>
                <w:w w:val="100"/>
                <w:position w:val="0"/>
              </w:rPr>
              <w:t>福州 市鼓楼区创 博投资管理 中心（有限 合伙）</w:t>
            </w:r>
            <w:r>
              <w:rPr>
                <w:color w:val="000000"/>
                <w:spacing w:val="0"/>
                <w:w w:val="100"/>
                <w:position w:val="0"/>
              </w:rPr>
              <w:t>；</w:t>
            </w:r>
            <w:r>
              <w:rPr>
                <w:color w:val="000000"/>
                <w:spacing w:val="0"/>
                <w:w w:val="100"/>
                <w:position w:val="0"/>
              </w:rPr>
              <w:t>龚玉 松</w:t>
            </w:r>
            <w:r>
              <w:rPr>
                <w:rFonts w:ascii="Times New Roman" w:eastAsia="Times New Roman" w:hAnsi="Times New Roman" w:cs="Times New Roman"/>
                <w:color w:val="000000"/>
                <w:spacing w:val="0"/>
                <w:w w:val="100"/>
                <w:position w:val="0"/>
              </w:rPr>
              <w:t>;</w:t>
            </w:r>
            <w:r>
              <w:rPr>
                <w:color w:val="000000"/>
                <w:spacing w:val="0"/>
                <w:w w:val="100"/>
                <w:position w:val="0"/>
              </w:rPr>
              <w:t>侯祥钦</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季杰</w:t>
            </w:r>
            <w:r>
              <w:rPr>
                <w:rFonts w:ascii="Times New Roman" w:eastAsia="Times New Roman" w:hAnsi="Times New Roman" w:cs="Times New Roman"/>
                <w:color w:val="000000"/>
                <w:spacing w:val="0"/>
                <w:w w:val="100"/>
                <w:position w:val="0"/>
              </w:rPr>
              <w:t>;</w:t>
            </w:r>
            <w:r>
              <w:rPr>
                <w:color w:val="000000"/>
                <w:spacing w:val="0"/>
                <w:w w:val="100"/>
                <w:position w:val="0"/>
              </w:rPr>
              <w:t>李仰 隆</w:t>
            </w:r>
            <w:r>
              <w:rPr>
                <w:rFonts w:ascii="Times New Roman" w:eastAsia="Times New Roman" w:hAnsi="Times New Roman" w:cs="Times New Roman"/>
                <w:color w:val="000000"/>
                <w:spacing w:val="0"/>
                <w:w w:val="100"/>
                <w:position w:val="0"/>
              </w:rPr>
              <w:t>;</w:t>
            </w:r>
            <w:r>
              <w:rPr>
                <w:color w:val="000000"/>
                <w:spacing w:val="0"/>
                <w:w w:val="100"/>
                <w:position w:val="0"/>
              </w:rPr>
              <w:t>练祺斌</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林珠云</w:t>
            </w:r>
            <w:r>
              <w:rPr>
                <w:rFonts w:ascii="Times New Roman" w:eastAsia="Times New Roman" w:hAnsi="Times New Roman" w:cs="Times New Roman"/>
                <w:color w:val="000000"/>
                <w:spacing w:val="0"/>
                <w:w w:val="100"/>
                <w:position w:val="0"/>
              </w:rPr>
              <w:t>;</w:t>
            </w:r>
            <w:r>
              <w:rPr>
                <w:color w:val="000000"/>
                <w:spacing w:val="0"/>
                <w:w w:val="100"/>
                <w:position w:val="0"/>
              </w:rPr>
              <w:t>刘 元</w:t>
            </w:r>
            <w:r>
              <w:rPr>
                <w:rFonts w:ascii="Times New Roman" w:eastAsia="Times New Roman" w:hAnsi="Times New Roman" w:cs="Times New Roman"/>
                <w:color w:val="000000"/>
                <w:spacing w:val="0"/>
                <w:w w:val="100"/>
                <w:position w:val="0"/>
              </w:rPr>
              <w:t>;</w:t>
            </w:r>
            <w:r>
              <w:rPr>
                <w:color w:val="000000"/>
                <w:spacing w:val="0"/>
                <w:w w:val="100"/>
                <w:position w:val="0"/>
              </w:rPr>
              <w:t>毛时敏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邵志庆</w:t>
            </w:r>
            <w:r>
              <w:rPr>
                <w:rFonts w:ascii="Times New Roman" w:eastAsia="Times New Roman" w:hAnsi="Times New Roman" w:cs="Times New Roman"/>
                <w:color w:val="000000"/>
                <w:spacing w:val="0"/>
                <w:w w:val="100"/>
                <w:position w:val="0"/>
              </w:rPr>
              <w:t>;</w:t>
            </w:r>
            <w:r>
              <w:rPr>
                <w:color w:val="000000"/>
                <w:spacing w:val="0"/>
                <w:w w:val="100"/>
                <w:position w:val="0"/>
              </w:rPr>
              <w:t>苏 孝忠</w:t>
            </w:r>
            <w:r>
              <w:rPr>
                <w:rFonts w:ascii="Times New Roman" w:eastAsia="Times New Roman" w:hAnsi="Times New Roman" w:cs="Times New Roman"/>
                <w:color w:val="000000"/>
                <w:spacing w:val="0"/>
                <w:w w:val="100"/>
                <w:position w:val="0"/>
              </w:rPr>
              <w:t>;</w:t>
            </w:r>
            <w:r>
              <w:rPr>
                <w:color w:val="000000"/>
                <w:spacing w:val="0"/>
                <w:w w:val="100"/>
                <w:position w:val="0"/>
              </w:rPr>
              <w:t>汪彦</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王斌</w:t>
            </w:r>
            <w:r>
              <w:rPr>
                <w:rFonts w:ascii="Times New Roman" w:eastAsia="Times New Roman" w:hAnsi="Times New Roman" w:cs="Times New Roman"/>
                <w:color w:val="000000"/>
                <w:spacing w:val="0"/>
                <w:w w:val="100"/>
                <w:position w:val="0"/>
              </w:rPr>
              <w:t>;</w:t>
            </w:r>
            <w:r>
              <w:rPr>
                <w:color w:val="000000"/>
                <w:spacing w:val="0"/>
                <w:w w:val="100"/>
                <w:position w:val="0"/>
              </w:rPr>
              <w:t>王航 宇</w:t>
            </w:r>
            <w:r>
              <w:rPr>
                <w:rFonts w:ascii="Times New Roman" w:eastAsia="Times New Roman" w:hAnsi="Times New Roman" w:cs="Times New Roman"/>
                <w:color w:val="000000"/>
                <w:spacing w:val="0"/>
                <w:w w:val="100"/>
                <w:position w:val="0"/>
              </w:rPr>
              <w:t>;</w:t>
            </w:r>
            <w:r>
              <w:rPr>
                <w:color w:val="000000"/>
                <w:spacing w:val="0"/>
                <w:w w:val="100"/>
                <w:position w:val="0"/>
              </w:rPr>
              <w:t>王建福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王俊煌</w:t>
            </w:r>
            <w:r>
              <w:rPr>
                <w:rFonts w:ascii="Times New Roman" w:eastAsia="Times New Roman" w:hAnsi="Times New Roman" w:cs="Times New Roman"/>
                <w:color w:val="000000"/>
                <w:spacing w:val="0"/>
                <w:w w:val="100"/>
                <w:position w:val="0"/>
              </w:rPr>
              <w:t>;</w:t>
            </w:r>
            <w:r>
              <w:rPr>
                <w:color w:val="000000"/>
                <w:spacing w:val="0"/>
                <w:w w:val="100"/>
                <w:position w:val="0"/>
              </w:rPr>
              <w:t>许 家晃</w:t>
            </w:r>
            <w:r>
              <w:rPr>
                <w:rFonts w:ascii="Times New Roman" w:eastAsia="Times New Roman" w:hAnsi="Times New Roman" w:cs="Times New Roman"/>
                <w:color w:val="000000"/>
                <w:spacing w:val="0"/>
                <w:w w:val="100"/>
                <w:position w:val="0"/>
              </w:rPr>
              <w:t>;</w:t>
            </w:r>
            <w:r>
              <w:rPr>
                <w:color w:val="000000"/>
                <w:spacing w:val="0"/>
                <w:w w:val="100"/>
                <w:position w:val="0"/>
              </w:rPr>
              <w:t>杨劼</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曾世福</w:t>
            </w:r>
            <w:r>
              <w:rPr>
                <w:rFonts w:ascii="Times New Roman" w:eastAsia="Times New Roman" w:hAnsi="Times New Roman" w:cs="Times New Roman"/>
                <w:color w:val="000000"/>
                <w:spacing w:val="0"/>
                <w:w w:val="100"/>
                <w:position w:val="0"/>
              </w:rPr>
              <w:t>;</w:t>
            </w:r>
            <w:r>
              <w:rPr>
                <w:color w:val="000000"/>
                <w:spacing w:val="0"/>
                <w:w w:val="100"/>
                <w:position w:val="0"/>
              </w:rPr>
              <w:t>张 孝添</w:t>
            </w:r>
            <w:r>
              <w:rPr>
                <w:rFonts w:ascii="Times New Roman" w:eastAsia="Times New Roman" w:hAnsi="Times New Roman" w:cs="Times New Roman"/>
                <w:color w:val="000000"/>
                <w:spacing w:val="0"/>
                <w:w w:val="100"/>
                <w:position w:val="0"/>
              </w:rPr>
              <w:t>;</w:t>
            </w:r>
            <w:r>
              <w:rPr>
                <w:color w:val="000000"/>
                <w:spacing w:val="0"/>
                <w:w w:val="100"/>
                <w:position w:val="0"/>
              </w:rPr>
              <w:t>郑金 春</w:t>
            </w:r>
            <w:r>
              <w:rPr>
                <w:rFonts w:ascii="Times New Roman" w:eastAsia="Times New Roman" w:hAnsi="Times New Roman" w:cs="Times New Roman"/>
                <w:color w:val="000000"/>
                <w:spacing w:val="0"/>
                <w:w w:val="100"/>
                <w:position w:val="0"/>
              </w:rPr>
              <w:t>;</w:t>
            </w:r>
            <w:r>
              <w:rPr>
                <w:color w:val="000000"/>
                <w:spacing w:val="0"/>
                <w:w w:val="100"/>
                <w:position w:val="0"/>
              </w:rPr>
              <w:t>朱国华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朱红玉</w:t>
            </w:r>
            <w:r>
              <w:rPr>
                <w:rFonts w:ascii="Times New Roman" w:eastAsia="Times New Roman" w:hAnsi="Times New Roman" w:cs="Times New Roman"/>
                <w:color w:val="000000"/>
                <w:spacing w:val="0"/>
                <w:w w:val="100"/>
                <w:position w:val="0"/>
              </w:rPr>
              <w:t>;</w:t>
            </w:r>
            <w:r>
              <w:rPr>
                <w:color w:val="000000"/>
                <w:spacing w:val="0"/>
                <w:w w:val="100"/>
                <w:position w:val="0"/>
              </w:rPr>
              <w:t>卓 凯</w:t>
            </w:r>
            <w:r>
              <w:rPr>
                <w:rFonts w:ascii="Times New Roman" w:eastAsia="Times New Roman" w:hAnsi="Times New Roman" w:cs="Times New Roman"/>
                <w:color w:val="000000"/>
                <w:spacing w:val="0"/>
                <w:w w:val="100"/>
                <w:position w:val="0"/>
              </w:rPr>
              <w:t>;</w:t>
            </w:r>
            <w:r>
              <w:rPr>
                <w:color w:val="000000"/>
                <w:spacing w:val="0"/>
                <w:w w:val="100"/>
                <w:position w:val="0"/>
              </w:rPr>
              <w:t>卓勇</w:t>
            </w:r>
            <w:r>
              <w:rPr>
                <w:rFonts w:ascii="Times New Roman" w:eastAsia="Times New Roman" w:hAnsi="Times New Roman" w:cs="Times New Roman"/>
                <w:color w:val="000000"/>
                <w:spacing w:val="0"/>
                <w:w w:val="100"/>
                <w:position w:val="0"/>
              </w:rPr>
              <w:t>;</w:t>
            </w:r>
            <w:r>
              <w:rPr>
                <w:color w:val="000000"/>
                <w:spacing w:val="0"/>
                <w:w w:val="100"/>
                <w:position w:val="0"/>
              </w:rPr>
              <w:t>蔡 敏</w:t>
            </w:r>
            <w:r>
              <w:rPr>
                <w:rFonts w:ascii="Times New Roman" w:eastAsia="Times New Roman" w:hAnsi="Times New Roman" w:cs="Times New Roman"/>
                <w:color w:val="000000"/>
                <w:spacing w:val="0"/>
                <w:w w:val="100"/>
                <w:position w:val="0"/>
              </w:rPr>
              <w:t>;</w:t>
            </w:r>
            <w:r>
              <w:rPr>
                <w:color w:val="000000"/>
                <w:spacing w:val="0"/>
                <w:w w:val="100"/>
                <w:position w:val="0"/>
              </w:rPr>
              <w:t>陈朝阳</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陈昊</w:t>
            </w:r>
            <w:r>
              <w:rPr>
                <w:rFonts w:ascii="Times New Roman" w:eastAsia="Times New Roman" w:hAnsi="Times New Roman" w:cs="Times New Roman"/>
                <w:color w:val="000000"/>
                <w:spacing w:val="0"/>
                <w:w w:val="100"/>
                <w:position w:val="0"/>
              </w:rPr>
              <w:t>;</w:t>
            </w:r>
            <w:r>
              <w:rPr>
                <w:color w:val="000000"/>
                <w:spacing w:val="0"/>
                <w:w w:val="100"/>
                <w:position w:val="0"/>
              </w:rPr>
              <w:t>陈靓</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陈敏华</w:t>
            </w:r>
            <w:r>
              <w:rPr>
                <w:rFonts w:ascii="Times New Roman" w:eastAsia="Times New Roman" w:hAnsi="Times New Roman" w:cs="Times New Roman"/>
                <w:color w:val="000000"/>
                <w:spacing w:val="0"/>
                <w:w w:val="100"/>
                <w:position w:val="0"/>
              </w:rPr>
              <w:t>;</w:t>
            </w:r>
            <w:r>
              <w:rPr>
                <w:color w:val="000000"/>
                <w:spacing w:val="0"/>
                <w:w w:val="100"/>
                <w:position w:val="0"/>
              </w:rPr>
              <w:t>陈 思贤</w:t>
            </w:r>
            <w:r>
              <w:rPr>
                <w:rFonts w:ascii="Times New Roman" w:eastAsia="Times New Roman" w:hAnsi="Times New Roman" w:cs="Times New Roman"/>
                <w:color w:val="000000"/>
                <w:spacing w:val="0"/>
                <w:w w:val="100"/>
                <w:position w:val="0"/>
              </w:rPr>
              <w:t>;</w:t>
            </w:r>
            <w:r>
              <w:rPr>
                <w:color w:val="000000"/>
                <w:spacing w:val="0"/>
                <w:w w:val="100"/>
                <w:position w:val="0"/>
              </w:rPr>
              <w:t>陈永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本人所持有的公司股票扣除公开发售后（如有）的部 分自公司股票上市之日起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个月内，不转让或委托 他人管理其发行前所持公司股份，也不由公司回购该 部分股份。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89"/>
        <w:gridCol w:w="4114"/>
        <w:gridCol w:w="850"/>
        <w:gridCol w:w="850"/>
        <w:gridCol w:w="782"/>
      </w:tblGrid>
      <w:tr>
        <w:trPr>
          <w:trHeight w:val="9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锋</w:t>
            </w:r>
            <w:r>
              <w:rPr>
                <w:rFonts w:ascii="Times New Roman" w:eastAsia="Times New Roman" w:hAnsi="Times New Roman" w:cs="Times New Roman"/>
                <w:color w:val="000000"/>
                <w:spacing w:val="0"/>
                <w:w w:val="100"/>
                <w:position w:val="0"/>
              </w:rPr>
              <w:t>;</w:t>
            </w:r>
            <w:r>
              <w:rPr>
                <w:color w:val="000000"/>
                <w:spacing w:val="0"/>
                <w:w w:val="100"/>
                <w:position w:val="0"/>
              </w:rPr>
              <w:t>褚连闽</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费凌翔</w:t>
            </w:r>
            <w:r>
              <w:rPr>
                <w:rFonts w:ascii="Times New Roman" w:eastAsia="Times New Roman" w:hAnsi="Times New Roman" w:cs="Times New Roman"/>
                <w:color w:val="000000"/>
                <w:spacing w:val="0"/>
                <w:w w:val="100"/>
                <w:position w:val="0"/>
              </w:rPr>
              <w:t>;</w:t>
            </w:r>
            <w:r>
              <w:rPr>
                <w:color w:val="000000"/>
                <w:spacing w:val="0"/>
                <w:w w:val="100"/>
                <w:position w:val="0"/>
              </w:rPr>
              <w:t>高 萍</w:t>
            </w:r>
            <w:r>
              <w:rPr>
                <w:rFonts w:ascii="Times New Roman" w:eastAsia="Times New Roman" w:hAnsi="Times New Roman" w:cs="Times New Roman"/>
                <w:color w:val="000000"/>
                <w:spacing w:val="0"/>
                <w:w w:val="100"/>
                <w:position w:val="0"/>
              </w:rPr>
              <w:t>;</w:t>
            </w:r>
            <w:r>
              <w:rPr>
                <w:color w:val="000000"/>
                <w:spacing w:val="0"/>
                <w:w w:val="100"/>
                <w:position w:val="0"/>
              </w:rPr>
              <w:t>黄荣明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黄森森</w:t>
            </w:r>
            <w:r>
              <w:rPr>
                <w:rFonts w:ascii="Times New Roman" w:eastAsia="Times New Roman" w:hAnsi="Times New Roman" w:cs="Times New Roman"/>
                <w:color w:val="000000"/>
                <w:spacing w:val="0"/>
                <w:w w:val="100"/>
                <w:position w:val="0"/>
              </w:rPr>
              <w:t>;</w:t>
            </w:r>
            <w:r>
              <w:rPr>
                <w:color w:val="000000"/>
                <w:spacing w:val="0"/>
                <w:w w:val="100"/>
                <w:position w:val="0"/>
              </w:rPr>
              <w:t>黄 世国</w:t>
            </w:r>
            <w:r>
              <w:rPr>
                <w:rFonts w:ascii="Times New Roman" w:eastAsia="Times New Roman" w:hAnsi="Times New Roman" w:cs="Times New Roman"/>
                <w:color w:val="000000"/>
                <w:spacing w:val="0"/>
                <w:w w:val="100"/>
                <w:position w:val="0"/>
              </w:rPr>
              <w:t>;</w:t>
            </w:r>
            <w:r>
              <w:rPr>
                <w:color w:val="000000"/>
                <w:spacing w:val="0"/>
                <w:w w:val="100"/>
                <w:position w:val="0"/>
              </w:rPr>
              <w:t>黄忠 城</w:t>
            </w:r>
            <w:r>
              <w:rPr>
                <w:rFonts w:ascii="Times New Roman" w:eastAsia="Times New Roman" w:hAnsi="Times New Roman" w:cs="Times New Roman"/>
                <w:color w:val="000000"/>
                <w:spacing w:val="0"/>
                <w:w w:val="100"/>
                <w:position w:val="0"/>
              </w:rPr>
              <w:t>;</w:t>
            </w:r>
            <w:r>
              <w:rPr>
                <w:color w:val="000000"/>
                <w:spacing w:val="0"/>
                <w:w w:val="100"/>
                <w:position w:val="0"/>
              </w:rPr>
              <w:t>江征</w:t>
            </w:r>
            <w:r>
              <w:rPr>
                <w:rFonts w:ascii="Times New Roman" w:eastAsia="Times New Roman" w:hAnsi="Times New Roman" w:cs="Times New Roman"/>
                <w:color w:val="000000"/>
                <w:spacing w:val="0"/>
                <w:w w:val="100"/>
                <w:position w:val="0"/>
              </w:rPr>
              <w:t>;</w:t>
            </w:r>
            <w:r>
              <w:rPr>
                <w:color w:val="000000"/>
                <w:spacing w:val="0"/>
                <w:w w:val="100"/>
                <w:position w:val="0"/>
              </w:rPr>
              <w:t>蓝 晓斌</w:t>
            </w:r>
            <w:r>
              <w:rPr>
                <w:rFonts w:ascii="Times New Roman" w:eastAsia="Times New Roman" w:hAnsi="Times New Roman" w:cs="Times New Roman"/>
                <w:color w:val="000000"/>
                <w:spacing w:val="0"/>
                <w:w w:val="100"/>
                <w:position w:val="0"/>
              </w:rPr>
              <w:t>;</w:t>
            </w:r>
            <w:r>
              <w:rPr>
                <w:color w:val="000000"/>
                <w:spacing w:val="0"/>
                <w:w w:val="100"/>
                <w:position w:val="0"/>
              </w:rPr>
              <w:t>雷文 进</w:t>
            </w:r>
            <w:r>
              <w:rPr>
                <w:rFonts w:ascii="Times New Roman" w:eastAsia="Times New Roman" w:hAnsi="Times New Roman" w:cs="Times New Roman"/>
                <w:color w:val="000000"/>
                <w:spacing w:val="0"/>
                <w:w w:val="100"/>
                <w:position w:val="0"/>
              </w:rPr>
              <w:t>;</w:t>
            </w:r>
            <w:r>
              <w:rPr>
                <w:color w:val="000000"/>
                <w:spacing w:val="0"/>
                <w:w w:val="100"/>
                <w:position w:val="0"/>
              </w:rPr>
              <w:t>李海胜</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李石松</w:t>
            </w:r>
            <w:r>
              <w:rPr>
                <w:rFonts w:ascii="Times New Roman" w:eastAsia="Times New Roman" w:hAnsi="Times New Roman" w:cs="Times New Roman"/>
                <w:color w:val="000000"/>
                <w:spacing w:val="0"/>
                <w:w w:val="100"/>
                <w:position w:val="0"/>
              </w:rPr>
              <w:t>;</w:t>
            </w:r>
            <w:r>
              <w:rPr>
                <w:color w:val="000000"/>
                <w:spacing w:val="0"/>
                <w:w w:val="100"/>
                <w:position w:val="0"/>
              </w:rPr>
              <w:t>林 光延</w:t>
            </w:r>
            <w:r>
              <w:rPr>
                <w:rFonts w:ascii="Times New Roman" w:eastAsia="Times New Roman" w:hAnsi="Times New Roman" w:cs="Times New Roman"/>
                <w:color w:val="000000"/>
                <w:spacing w:val="0"/>
                <w:w w:val="100"/>
                <w:position w:val="0"/>
              </w:rPr>
              <w:t>;</w:t>
            </w:r>
            <w:r>
              <w:rPr>
                <w:color w:val="000000"/>
                <w:spacing w:val="0"/>
                <w:w w:val="100"/>
                <w:position w:val="0"/>
              </w:rPr>
              <w:t>林文 玮</w:t>
            </w:r>
            <w:r>
              <w:rPr>
                <w:rFonts w:ascii="Times New Roman" w:eastAsia="Times New Roman" w:hAnsi="Times New Roman" w:cs="Times New Roman"/>
                <w:color w:val="000000"/>
                <w:spacing w:val="0"/>
                <w:w w:val="100"/>
                <w:position w:val="0"/>
              </w:rPr>
              <w:t>;</w:t>
            </w:r>
            <w:r>
              <w:rPr>
                <w:color w:val="000000"/>
                <w:spacing w:val="0"/>
                <w:w w:val="100"/>
                <w:position w:val="0"/>
              </w:rPr>
              <w:t>林元佩</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刘福长</w:t>
            </w:r>
            <w:r>
              <w:rPr>
                <w:rFonts w:ascii="Times New Roman" w:eastAsia="Times New Roman" w:hAnsi="Times New Roman" w:cs="Times New Roman"/>
                <w:color w:val="000000"/>
                <w:spacing w:val="0"/>
                <w:w w:val="100"/>
                <w:position w:val="0"/>
              </w:rPr>
              <w:t>;</w:t>
            </w:r>
            <w:r>
              <w:rPr>
                <w:color w:val="000000"/>
                <w:spacing w:val="0"/>
                <w:w w:val="100"/>
                <w:position w:val="0"/>
              </w:rPr>
              <w:t>孙 坦</w:t>
            </w:r>
            <w:r>
              <w:rPr>
                <w:rFonts w:ascii="Times New Roman" w:eastAsia="Times New Roman" w:hAnsi="Times New Roman" w:cs="Times New Roman"/>
                <w:color w:val="000000"/>
                <w:spacing w:val="0"/>
                <w:w w:val="100"/>
                <w:position w:val="0"/>
              </w:rPr>
              <w:t>;</w:t>
            </w:r>
            <w:r>
              <w:rPr>
                <w:color w:val="000000"/>
                <w:spacing w:val="0"/>
                <w:w w:val="100"/>
                <w:position w:val="0"/>
              </w:rPr>
              <w:t>王克峰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吴振斌</w:t>
            </w:r>
            <w:r>
              <w:rPr>
                <w:rFonts w:ascii="Times New Roman" w:eastAsia="Times New Roman" w:hAnsi="Times New Roman" w:cs="Times New Roman"/>
                <w:color w:val="000000"/>
                <w:spacing w:val="0"/>
                <w:w w:val="100"/>
                <w:position w:val="0"/>
              </w:rPr>
              <w:t>;</w:t>
            </w:r>
            <w:r>
              <w:rPr>
                <w:color w:val="000000"/>
                <w:spacing w:val="0"/>
                <w:w w:val="100"/>
                <w:position w:val="0"/>
              </w:rPr>
              <w:t>阴 长涛</w:t>
            </w:r>
            <w:r>
              <w:rPr>
                <w:rFonts w:ascii="Times New Roman" w:eastAsia="Times New Roman" w:hAnsi="Times New Roman" w:cs="Times New Roman"/>
                <w:color w:val="000000"/>
                <w:spacing w:val="0"/>
                <w:w w:val="100"/>
                <w:position w:val="0"/>
              </w:rPr>
              <w:t>;</w:t>
            </w:r>
            <w:r>
              <w:rPr>
                <w:color w:val="000000"/>
                <w:spacing w:val="0"/>
                <w:w w:val="100"/>
                <w:position w:val="0"/>
              </w:rPr>
              <w:t>朱龙 强</w:t>
            </w:r>
            <w:r>
              <w:rPr>
                <w:rFonts w:ascii="Times New Roman" w:eastAsia="Times New Roman" w:hAnsi="Times New Roman" w:cs="Times New Roman"/>
                <w:color w:val="000000"/>
                <w:spacing w:val="0"/>
                <w:w w:val="100"/>
                <w:position w:val="0"/>
              </w:rPr>
              <w:t>;</w:t>
            </w:r>
            <w:r>
              <w:rPr>
                <w:color w:val="000000"/>
                <w:spacing w:val="0"/>
                <w:w w:val="100"/>
                <w:position w:val="0"/>
              </w:rPr>
              <w:t>朱鹏翔</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邹亮亮</w:t>
            </w:r>
            <w:r>
              <w:rPr>
                <w:rFonts w:ascii="Times New Roman" w:eastAsia="Times New Roman" w:hAnsi="Times New Roman" w:cs="Times New Roman"/>
                <w:color w:val="000000"/>
                <w:spacing w:val="0"/>
                <w:w w:val="100"/>
                <w:position w:val="0"/>
              </w:rPr>
              <w:t>;</w:t>
            </w:r>
            <w:r>
              <w:rPr>
                <w:color w:val="000000"/>
                <w:spacing w:val="0"/>
                <w:w w:val="100"/>
                <w:position w:val="0"/>
              </w:rPr>
              <w:t>蔡 定平</w:t>
            </w:r>
            <w:r>
              <w:rPr>
                <w:rFonts w:ascii="Times New Roman" w:eastAsia="Times New Roman" w:hAnsi="Times New Roman" w:cs="Times New Roman"/>
                <w:color w:val="000000"/>
                <w:spacing w:val="0"/>
                <w:w w:val="100"/>
                <w:position w:val="0"/>
              </w:rPr>
              <w:t>;</w:t>
            </w:r>
            <w:r>
              <w:rPr>
                <w:color w:val="000000"/>
                <w:spacing w:val="0"/>
                <w:w w:val="100"/>
                <w:position w:val="0"/>
              </w:rPr>
              <w:t>陈本 宏</w:t>
            </w:r>
            <w:r>
              <w:rPr>
                <w:rFonts w:ascii="Times New Roman" w:eastAsia="Times New Roman" w:hAnsi="Times New Roman" w:cs="Times New Roman"/>
                <w:color w:val="000000"/>
                <w:spacing w:val="0"/>
                <w:w w:val="100"/>
                <w:position w:val="0"/>
              </w:rPr>
              <w:t>;</w:t>
            </w:r>
            <w:r>
              <w:rPr>
                <w:color w:val="000000"/>
                <w:spacing w:val="0"/>
                <w:w w:val="100"/>
                <w:position w:val="0"/>
              </w:rPr>
              <w:t>陈贻章</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陈志雄</w:t>
            </w:r>
            <w:r>
              <w:rPr>
                <w:rFonts w:ascii="Times New Roman" w:eastAsia="Times New Roman" w:hAnsi="Times New Roman" w:cs="Times New Roman"/>
                <w:color w:val="000000"/>
                <w:spacing w:val="0"/>
                <w:w w:val="100"/>
                <w:position w:val="0"/>
              </w:rPr>
              <w:t>;</w:t>
            </w:r>
            <w:r>
              <w:rPr>
                <w:color w:val="000000"/>
                <w:spacing w:val="0"/>
                <w:w w:val="100"/>
                <w:position w:val="0"/>
              </w:rPr>
              <w:t>程 鹏远</w:t>
            </w:r>
            <w:r>
              <w:rPr>
                <w:rFonts w:ascii="Times New Roman" w:eastAsia="Times New Roman" w:hAnsi="Times New Roman" w:cs="Times New Roman"/>
                <w:color w:val="000000"/>
                <w:spacing w:val="0"/>
                <w:w w:val="100"/>
                <w:position w:val="0"/>
              </w:rPr>
              <w:t>;</w:t>
            </w:r>
            <w:r>
              <w:rPr>
                <w:color w:val="000000"/>
                <w:spacing w:val="0"/>
                <w:w w:val="100"/>
                <w:position w:val="0"/>
              </w:rPr>
              <w:t>甘华 堂</w:t>
            </w:r>
            <w:r>
              <w:rPr>
                <w:rFonts w:ascii="Times New Roman" w:eastAsia="Times New Roman" w:hAnsi="Times New Roman" w:cs="Times New Roman"/>
                <w:color w:val="000000"/>
                <w:spacing w:val="0"/>
                <w:w w:val="100"/>
                <w:position w:val="0"/>
              </w:rPr>
              <w:t>;</w:t>
            </w:r>
            <w:r>
              <w:rPr>
                <w:color w:val="000000"/>
                <w:spacing w:val="0"/>
                <w:w w:val="100"/>
                <w:position w:val="0"/>
              </w:rPr>
              <w:t>黄瑛</w:t>
            </w:r>
            <w:r>
              <w:rPr>
                <w:rFonts w:ascii="Times New Roman" w:eastAsia="Times New Roman" w:hAnsi="Times New Roman" w:cs="Times New Roman"/>
                <w:color w:val="000000"/>
                <w:spacing w:val="0"/>
                <w:w w:val="100"/>
                <w:position w:val="0"/>
              </w:rPr>
              <w:t>;</w:t>
            </w:r>
            <w:r>
              <w:rPr>
                <w:color w:val="000000"/>
                <w:spacing w:val="0"/>
                <w:w w:val="100"/>
                <w:position w:val="0"/>
              </w:rPr>
              <w:t>贾 春明</w:t>
            </w:r>
            <w:r>
              <w:rPr>
                <w:rFonts w:ascii="Times New Roman" w:eastAsia="Times New Roman" w:hAnsi="Times New Roman" w:cs="Times New Roman"/>
                <w:color w:val="000000"/>
                <w:spacing w:val="0"/>
                <w:w w:val="100"/>
                <w:position w:val="0"/>
              </w:rPr>
              <w:t>;</w:t>
            </w:r>
            <w:r>
              <w:rPr>
                <w:color w:val="000000"/>
                <w:spacing w:val="0"/>
                <w:w w:val="100"/>
                <w:position w:val="0"/>
              </w:rPr>
              <w:t>黎涛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李中俊</w:t>
            </w:r>
            <w:r>
              <w:rPr>
                <w:rFonts w:ascii="Times New Roman" w:eastAsia="Times New Roman" w:hAnsi="Times New Roman" w:cs="Times New Roman"/>
                <w:color w:val="000000"/>
                <w:spacing w:val="0"/>
                <w:w w:val="100"/>
                <w:position w:val="0"/>
              </w:rPr>
              <w:t>;</w:t>
            </w:r>
            <w:r>
              <w:rPr>
                <w:color w:val="000000"/>
                <w:spacing w:val="0"/>
                <w:w w:val="100"/>
                <w:position w:val="0"/>
              </w:rPr>
              <w:t>廖 宜文</w:t>
            </w:r>
            <w:r>
              <w:rPr>
                <w:rFonts w:ascii="Times New Roman" w:eastAsia="Times New Roman" w:hAnsi="Times New Roman" w:cs="Times New Roman"/>
                <w:color w:val="000000"/>
                <w:spacing w:val="0"/>
                <w:w w:val="100"/>
                <w:position w:val="0"/>
              </w:rPr>
              <w:t>;</w:t>
            </w:r>
            <w:r>
              <w:rPr>
                <w:color w:val="000000"/>
                <w:spacing w:val="0"/>
                <w:w w:val="100"/>
                <w:position w:val="0"/>
              </w:rPr>
              <w:t>林峰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林徽</w:t>
            </w:r>
            <w:r>
              <w:rPr>
                <w:rFonts w:ascii="Times New Roman" w:eastAsia="Times New Roman" w:hAnsi="Times New Roman" w:cs="Times New Roman"/>
                <w:color w:val="000000"/>
                <w:spacing w:val="0"/>
                <w:w w:val="100"/>
                <w:position w:val="0"/>
              </w:rPr>
              <w:t>;</w:t>
            </w:r>
            <w:r>
              <w:rPr>
                <w:color w:val="000000"/>
                <w:spacing w:val="0"/>
                <w:w w:val="100"/>
                <w:position w:val="0"/>
              </w:rPr>
              <w:t>林杰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罗贵林</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邱 晓杰</w:t>
            </w:r>
            <w:r>
              <w:rPr>
                <w:rFonts w:ascii="Times New Roman" w:eastAsia="Times New Roman" w:hAnsi="Times New Roman" w:cs="Times New Roman"/>
                <w:color w:val="000000"/>
                <w:spacing w:val="0"/>
                <w:w w:val="100"/>
                <w:position w:val="0"/>
              </w:rPr>
              <w:t>;</w:t>
            </w:r>
            <w:r>
              <w:rPr>
                <w:color w:val="000000"/>
                <w:spacing w:val="0"/>
                <w:w w:val="100"/>
                <w:position w:val="0"/>
              </w:rPr>
              <w:t>苏隽</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严龙钦</w:t>
            </w:r>
            <w:r>
              <w:rPr>
                <w:rFonts w:ascii="Times New Roman" w:eastAsia="Times New Roman" w:hAnsi="Times New Roman" w:cs="Times New Roman"/>
                <w:color w:val="000000"/>
                <w:spacing w:val="0"/>
                <w:w w:val="100"/>
                <w:position w:val="0"/>
              </w:rPr>
              <w:t>;</w:t>
            </w:r>
            <w:r>
              <w:rPr>
                <w:color w:val="000000"/>
                <w:spacing w:val="0"/>
                <w:w w:val="100"/>
                <w:position w:val="0"/>
              </w:rPr>
              <w:t>余 守林</w:t>
            </w:r>
            <w:r>
              <w:rPr>
                <w:rFonts w:ascii="Times New Roman" w:eastAsia="Times New Roman" w:hAnsi="Times New Roman" w:cs="Times New Roman"/>
                <w:color w:val="000000"/>
                <w:spacing w:val="0"/>
                <w:w w:val="100"/>
                <w:position w:val="0"/>
              </w:rPr>
              <w:t>;</w:t>
            </w:r>
            <w:r>
              <w:rPr>
                <w:color w:val="000000"/>
                <w:spacing w:val="0"/>
                <w:w w:val="100"/>
                <w:position w:val="0"/>
              </w:rPr>
              <w:t>朱武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林初可</w:t>
            </w:r>
            <w:r>
              <w:rPr>
                <w:rFonts w:ascii="Times New Roman" w:eastAsia="Times New Roman" w:hAnsi="Times New Roman" w:cs="Times New Roman"/>
                <w:color w:val="000000"/>
                <w:spacing w:val="0"/>
                <w:w w:val="100"/>
                <w:position w:val="0"/>
              </w:rPr>
              <w:t>;</w:t>
            </w:r>
            <w:r>
              <w:rPr>
                <w:color w:val="000000"/>
                <w:spacing w:val="0"/>
                <w:w w:val="100"/>
                <w:position w:val="0"/>
              </w:rPr>
              <w:t>肖 勇</w:t>
            </w:r>
            <w:r>
              <w:rPr>
                <w:rFonts w:ascii="Times New Roman" w:eastAsia="Times New Roman" w:hAnsi="Times New Roman" w:cs="Times New Roman"/>
                <w:color w:val="000000"/>
                <w:spacing w:val="0"/>
                <w:w w:val="100"/>
                <w:position w:val="0"/>
              </w:rPr>
              <w:t>;</w:t>
            </w:r>
            <w:r>
              <w:rPr>
                <w:color w:val="000000"/>
                <w:spacing w:val="0"/>
                <w:w w:val="100"/>
                <w:position w:val="0"/>
              </w:rPr>
              <w:t>叶章明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余双兴</w:t>
            </w:r>
            <w:r>
              <w:rPr>
                <w:rFonts w:ascii="Times New Roman" w:eastAsia="Times New Roman" w:hAnsi="Times New Roman" w:cs="Times New Roman"/>
                <w:color w:val="000000"/>
                <w:spacing w:val="0"/>
                <w:w w:val="100"/>
                <w:position w:val="0"/>
              </w:rPr>
              <w:t>;</w:t>
            </w:r>
            <w:r>
              <w:rPr>
                <w:color w:val="000000"/>
                <w:spacing w:val="0"/>
                <w:w w:val="100"/>
                <w:position w:val="0"/>
              </w:rPr>
              <w:t>郑 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本人所持有的公司股票扣除公开发售后（如有）的部 分自公司股票上市之日起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个月内，不转让或委托 他人管理其发行前所持公司股份，也不由公司回购该 部分股份。所持股票在锁定期满后两年内减持的，其 减持价格不低于发行价;在公司首次公开发行股票并 在创业板上市后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 收盘价低于发行价，持有公司股票的锁定期限自动延 长至少</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本人在锁定期满，遵守相关法律、法规、规章、规范 性文件及证券交易所交易规则,且不违背本人已作出 承诺的情况下，将根据本人的资金需求、投资安排等 各方面要素确定是否减持发行人股份及减持发行人 股份的数量，在锁定期（包括延长锁定期）满两年内，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4114"/>
        <w:gridCol w:w="850"/>
        <w:gridCol w:w="850"/>
        <w:gridCol w:w="782"/>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每年转让的股票不超过所持股份的</w:t>
            </w:r>
            <w:r>
              <w:rPr>
                <w:rFonts w:ascii="Times New Roman" w:eastAsia="Times New Roman" w:hAnsi="Times New Roman" w:cs="Times New Roman"/>
                <w:color w:val="000000"/>
                <w:spacing w:val="0"/>
                <w:w w:val="100"/>
                <w:position w:val="0"/>
              </w:rPr>
              <w:t>25%</w:t>
            </w:r>
            <w:r>
              <w:rPr>
                <w:color w:val="000000"/>
                <w:spacing w:val="0"/>
                <w:w w:val="100"/>
                <w:position w:val="0"/>
              </w:rPr>
              <w:t>。本人拟减 持发行人股份的，将采取大宗交易、集中竞价或协议 转让等法律允许的方式减持。如本人确定依法减持发 行人股份的，将提前</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个交易日予以公告，减持价格 不低于首次公开发行时的发行价。本人减持发行人股 票后，将按照相关法律、法规、规章、规范性文件及 证券交易所交易规则的规定履行信息披露义务。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福建省财政 信息中心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本机构所持发行人股票在锁定期满后两年内无减持 意向。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北京实地创 业投资有限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本公司在遵守相关法律、法规、规章、规范性文件及 证券交易所交易规则，且不违背法定限售期及本公司 已作出的锁定期承诺的情况下,将根据本公司的资金 需求、投资安排等各方面因素确定是否减持发行人股 份及减持数量，锁定期满后两年内，本公司可能减持 本公司所持有的发行人的全部股份。本公司拟减持发 行人股份将采取大宗交易、集中竞价或协议转让等法 律允许的方式减持。如本公司确定依法减持发行人股 份的，将提前</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个交易日予以公告，减持价格按不低 于发行价及减持公告前</w:t>
            </w:r>
            <w:r>
              <w:rPr>
                <w:rFonts w:ascii="Times New Roman" w:eastAsia="Times New Roman" w:hAnsi="Times New Roman" w:cs="Times New Roman"/>
                <w:color w:val="000000"/>
                <w:spacing w:val="0"/>
                <w:w w:val="100"/>
                <w:position w:val="0"/>
              </w:rPr>
              <w:t>30</w:t>
            </w:r>
            <w:r>
              <w:rPr>
                <w:color w:val="000000"/>
                <w:spacing w:val="0"/>
                <w:w w:val="100"/>
                <w:position w:val="0"/>
              </w:rPr>
              <w:t>个交易日收盘价的算术平 均值的</w:t>
            </w:r>
            <w:r>
              <w:rPr>
                <w:rFonts w:ascii="Times New Roman" w:eastAsia="Times New Roman" w:hAnsi="Times New Roman" w:cs="Times New Roman"/>
                <w:color w:val="000000"/>
                <w:spacing w:val="0"/>
                <w:w w:val="100"/>
                <w:position w:val="0"/>
              </w:rPr>
              <w:t>80%</w:t>
            </w:r>
            <w:r>
              <w:rPr>
                <w:color w:val="000000"/>
                <w:spacing w:val="0"/>
                <w:w w:val="100"/>
                <w:position w:val="0"/>
              </w:rPr>
              <w:t>二者孰低原则确定。本公司减持发行人 股票后，将按照相关法律、法规、规章、规范性文件 及证券交易所交易规则的规定履行信息披露义务。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66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 章明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郑升尉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为了巩固陈航对发行人的控股股东和实际控制人地 位，明确其他董事与高级管理人员与陈航的一致行动 关系，维护公司在创业板上市后股权和法人治理结构 的稳定性，陈航于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日与担任发行人 董事或高级管理人员的所有股东，包括肖勇（发行前 持股比例为</w:t>
            </w:r>
            <w:r>
              <w:rPr>
                <w:rFonts w:ascii="Times New Roman" w:eastAsia="Times New Roman" w:hAnsi="Times New Roman" w:cs="Times New Roman"/>
                <w:color w:val="000000"/>
                <w:spacing w:val="0"/>
                <w:w w:val="100"/>
                <w:position w:val="0"/>
              </w:rPr>
              <w:t>4.86%</w:t>
            </w:r>
            <w:r>
              <w:rPr>
                <w:color w:val="000000"/>
                <w:spacing w:val="0"/>
                <w:w w:val="100"/>
                <w:position w:val="0"/>
              </w:rPr>
              <w:t xml:space="preserve">）、林初可（发行前持股比例为 </w:t>
            </w:r>
            <w:r>
              <w:rPr>
                <w:rFonts w:ascii="Times New Roman" w:eastAsia="Times New Roman" w:hAnsi="Times New Roman" w:cs="Times New Roman"/>
                <w:color w:val="000000"/>
                <w:spacing w:val="0"/>
                <w:w w:val="100"/>
                <w:position w:val="0"/>
              </w:rPr>
              <w:t>4.66%</w:t>
            </w:r>
            <w:r>
              <w:rPr>
                <w:color w:val="000000"/>
                <w:spacing w:val="0"/>
                <w:w w:val="100"/>
                <w:position w:val="0"/>
              </w:rPr>
              <w:t>）、余双兴（发行前持股比例为</w:t>
            </w:r>
            <w:r>
              <w:rPr>
                <w:rFonts w:ascii="Times New Roman" w:eastAsia="Times New Roman" w:hAnsi="Times New Roman" w:cs="Times New Roman"/>
                <w:color w:val="000000"/>
                <w:spacing w:val="0"/>
                <w:w w:val="100"/>
                <w:position w:val="0"/>
              </w:rPr>
              <w:t>4.18%</w:t>
            </w:r>
            <w:r>
              <w:rPr>
                <w:color w:val="000000"/>
                <w:spacing w:val="0"/>
                <w:w w:val="100"/>
                <w:position w:val="0"/>
              </w:rPr>
              <w:t>）、郑升 尉（发行前持股比例为</w:t>
            </w:r>
            <w:r>
              <w:rPr>
                <w:rFonts w:ascii="Times New Roman" w:eastAsia="Times New Roman" w:hAnsi="Times New Roman" w:cs="Times New Roman"/>
                <w:color w:val="000000"/>
                <w:spacing w:val="0"/>
                <w:w w:val="100"/>
                <w:position w:val="0"/>
              </w:rPr>
              <w:t>3.56%</w:t>
            </w:r>
            <w:r>
              <w:rPr>
                <w:color w:val="000000"/>
                <w:spacing w:val="0"/>
                <w:w w:val="100"/>
                <w:position w:val="0"/>
              </w:rPr>
              <w:t>）及叶章明（发行前持 股比例为</w:t>
            </w:r>
            <w:r>
              <w:rPr>
                <w:rFonts w:ascii="Times New Roman" w:eastAsia="Times New Roman" w:hAnsi="Times New Roman" w:cs="Times New Roman"/>
                <w:color w:val="000000"/>
                <w:spacing w:val="0"/>
                <w:w w:val="100"/>
                <w:position w:val="0"/>
              </w:rPr>
              <w:t>3.03%</w:t>
            </w:r>
            <w:r>
              <w:rPr>
                <w:color w:val="000000"/>
                <w:spacing w:val="0"/>
                <w:w w:val="100"/>
                <w:position w:val="0"/>
              </w:rPr>
              <w:t xml:space="preserve">）签署了《一致行动协议》对一致行 动的事项范围和股份限售期安排作出了如下约定： </w:t>
            </w:r>
            <w:r>
              <w:rPr>
                <w:rFonts w:ascii="Times New Roman" w:eastAsia="Times New Roman" w:hAnsi="Times New Roman" w:cs="Times New Roman"/>
                <w:color w:val="000000"/>
                <w:spacing w:val="0"/>
                <w:w w:val="100"/>
                <w:position w:val="0"/>
              </w:rPr>
              <w:t>“</w:t>
            </w:r>
            <w:r>
              <w:rPr>
                <w:color w:val="000000"/>
                <w:spacing w:val="0"/>
                <w:w w:val="100"/>
                <w:position w:val="0"/>
              </w:rPr>
              <w:t>一、甲方（即陈航）、乙方（即肖勇、林初可等五人） 共同确认并承诺：在本协议有效期内，在处理有关需 经发行人董事会、股东大会审议批准的事项时，乙方 应无条件与甲方保持一致行动，甲方、乙方保持一致 行动的具体方式如下：</w:t>
            </w:r>
            <w:r>
              <w:rPr>
                <w:rFonts w:ascii="Times New Roman" w:eastAsia="Times New Roman" w:hAnsi="Times New Roman" w:cs="Times New Roman"/>
                <w:color w:val="000000"/>
                <w:spacing w:val="0"/>
                <w:w w:val="100"/>
                <w:position w:val="0"/>
              </w:rPr>
              <w:t>1.</w:t>
            </w:r>
            <w:r>
              <w:rPr>
                <w:color w:val="000000"/>
                <w:spacing w:val="0"/>
                <w:w w:val="100"/>
                <w:position w:val="0"/>
              </w:rPr>
              <w:t>在行使董事会、股东大会 提案权时保持一致。任何一方拟向发行人董事会、股 东大会提出议案时，须与其他方进行充分沟通协商， 在取得一致意见后，由各方共同向发行人董事会、股 东大会提出议案。如果各方不能取得一致意见，甲方 可以独自或联合其他方向发行人董事会、股东大会提 出议案，乙方不能单独或联合除甲方外的其他方向发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89"/>
        <w:gridCol w:w="4114"/>
        <w:gridCol w:w="850"/>
        <w:gridCol w:w="850"/>
        <w:gridCol w:w="782"/>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行人董事会、股东大会提出议案。</w:t>
            </w:r>
            <w:r>
              <w:rPr>
                <w:rFonts w:ascii="Times New Roman" w:eastAsia="Times New Roman" w:hAnsi="Times New Roman" w:cs="Times New Roman"/>
                <w:color w:val="000000"/>
                <w:spacing w:val="0"/>
                <w:w w:val="100"/>
                <w:position w:val="0"/>
              </w:rPr>
              <w:t>2.</w:t>
            </w:r>
            <w:r>
              <w:rPr>
                <w:color w:val="000000"/>
                <w:spacing w:val="0"/>
                <w:w w:val="100"/>
                <w:position w:val="0"/>
              </w:rPr>
              <w:t>在行使董事会、 股东大会表决权时保持一致。发行人董事会、股东大 会召开前，各方应就董事会、股东大会拟进行表决的 议案进行充分沟通协商,就行使何种表决权达成一致 意见，并按照该一致意见在发行人董事会、股东大会 上对该等议案行使表决权。如果经充分沟通协商，不 能达成一致意见，乙方均应按照甲方意见在发行人董 事会、股东大会上行使表决权。二、各方承诺将严格 遵守中国证券监督管理委员会及证券交易所对其所 持发行人股份的锁定期的相关要求：（</w:t>
            </w:r>
            <w:r>
              <w:rPr>
                <w:rFonts w:ascii="Times New Roman" w:eastAsia="Times New Roman" w:hAnsi="Times New Roman" w:cs="Times New Roman"/>
                <w:color w:val="000000"/>
                <w:spacing w:val="0"/>
                <w:w w:val="100"/>
                <w:position w:val="0"/>
              </w:rPr>
              <w:t>1</w:t>
            </w:r>
            <w:r>
              <w:rPr>
                <w:color w:val="000000"/>
                <w:spacing w:val="0"/>
                <w:w w:val="100"/>
                <w:position w:val="0"/>
              </w:rPr>
              <w:t>）自发行人股 票上市之日起三十六个月内，各方不得转让或者委托 他人管理本人直接或间接持有的发行人公开发行股 票前已发行的股份，也不得由发行人回购本人直接或 间接持有的发行人公开发行股票前已发行的股份。</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）除前述锁定期外，其在发行人任职期间，每年 转让的股份不超过其持有的发行人股份总数的</w:t>
            </w:r>
            <w:r>
              <w:rPr>
                <w:rFonts w:ascii="Times New Roman" w:eastAsia="Times New Roman" w:hAnsi="Times New Roman" w:cs="Times New Roman"/>
                <w:color w:val="000000"/>
                <w:spacing w:val="0"/>
                <w:w w:val="100"/>
                <w:position w:val="0"/>
              </w:rPr>
              <w:t>25%</w:t>
            </w:r>
            <w:r>
              <w:rPr>
                <w:color w:val="000000"/>
                <w:spacing w:val="0"/>
                <w:w w:val="100"/>
                <w:position w:val="0"/>
              </w:rPr>
              <w:t>； 离职后半年内，不转让其持有的发行人股份；在发行 人首次公开发行股票并上市之日起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个月内申报离 职的，自申报离职之日起</w:t>
            </w:r>
            <w:r>
              <w:rPr>
                <w:rFonts w:ascii="Times New Roman" w:eastAsia="Times New Roman" w:hAnsi="Times New Roman" w:cs="Times New Roman"/>
                <w:color w:val="000000"/>
                <w:spacing w:val="0"/>
                <w:w w:val="100"/>
                <w:position w:val="0"/>
              </w:rPr>
              <w:t>18</w:t>
            </w:r>
            <w:r>
              <w:rPr>
                <w:color w:val="000000"/>
                <w:spacing w:val="0"/>
                <w:w w:val="100"/>
                <w:position w:val="0"/>
              </w:rPr>
              <w:t>个月内不转让其持有的 发行人股份；在发行人首次公开发行股票并上市之日 起第</w:t>
            </w:r>
            <w:r>
              <w:rPr>
                <w:rFonts w:ascii="Times New Roman" w:eastAsia="Times New Roman" w:hAnsi="Times New Roman" w:cs="Times New Roman"/>
                <w:color w:val="000000"/>
                <w:spacing w:val="0"/>
                <w:w w:val="100"/>
                <w:position w:val="0"/>
              </w:rPr>
              <w:t>7</w:t>
            </w:r>
            <w:r>
              <w:rPr>
                <w:color w:val="000000"/>
                <w:spacing w:val="0"/>
                <w:w w:val="100"/>
                <w:position w:val="0"/>
              </w:rPr>
              <w:t>个月至第</w:t>
            </w:r>
            <w:r>
              <w:rPr>
                <w:rFonts w:ascii="Times New Roman" w:eastAsia="Times New Roman" w:hAnsi="Times New Roman" w:cs="Times New Roman"/>
                <w:color w:val="000000"/>
                <w:spacing w:val="0"/>
                <w:w w:val="100"/>
                <w:position w:val="0"/>
              </w:rPr>
              <w:t>12</w:t>
            </w:r>
            <w:r>
              <w:rPr>
                <w:color w:val="000000"/>
                <w:spacing w:val="0"/>
                <w:w w:val="100"/>
                <w:position w:val="0"/>
              </w:rPr>
              <w:t>个月之间申报离职的，自申报离 职之日起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个月内不转让其持有的发行人股份。三、 本协议有效期：自各方共同签署本协议之日起至发行 人首次公开发行的股票上市交易满三十六个月之日 止。四、在本协议有效期内，如需对本协议做必要修 改或补充，应经各方共同达成书面协议。未经各方书 面同意，任何一方不得擅自变更或解除本协议。</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福建博思软 件股份有限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 股东大会审议通过《关于调整公司上市后分红回报规 划的议案》，上市后分红回报规划如下：公司采取现 金、现金与股票结合方式分配股利；公司利润分配不 得超过累计可分配利润的范围;如公司当年度实现盈 利，在依据本章程提取法定公积金、任意公积金后进 行利润分配的，现金分红金额不少于当年实现的可分 配利润（以合并报表为基础）的百分之三十。公司在 每个会计年度结束后，由公司董事会提出分红议案， 并交付股东大会进行表决。公司接受所有股东、董事 （含独立董事）、监事对公司分红的建议和监督。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、截至本承诺函出具日，本人除持有博思软件及其 控制企业股份外,不存在直接或间接持有其他企业权 益或控制其他企业的情况，也不存在从事与博思软件 及其控制企业的主营业务存在任何直接或间接竞争 的业务或活动。</w:t>
            </w:r>
            <w:r>
              <w:rPr>
                <w:rFonts w:ascii="Times New Roman" w:eastAsia="Times New Roman" w:hAnsi="Times New Roman" w:cs="Times New Roman"/>
                <w:color w:val="000000"/>
                <w:spacing w:val="0"/>
                <w:w w:val="100"/>
                <w:position w:val="0"/>
              </w:rPr>
              <w:t>2</w:t>
            </w:r>
            <w:r>
              <w:rPr>
                <w:color w:val="000000"/>
                <w:spacing w:val="0"/>
                <w:w w:val="100"/>
                <w:position w:val="0"/>
              </w:rPr>
              <w:t>、博思软件本次发行及上市完成后， 本人将不从事与博思软件及其控制企业的主营业务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89"/>
        <w:gridCol w:w="4114"/>
        <w:gridCol w:w="850"/>
        <w:gridCol w:w="850"/>
        <w:gridCol w:w="782"/>
      </w:tblGrid>
      <w:tr>
        <w:trPr>
          <w:trHeight w:val="9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有任何直接或间接竞争关系的业务或活动，也不会以 任何方式（包括但不限于单独经营、通过合资经营或 拥有另一公司或企业的股份及其他权益）直接或间接 经营与博思软件及其控制企业的主营业务构成同业 竞争的业务或活动。</w:t>
            </w:r>
            <w:r>
              <w:rPr>
                <w:rFonts w:ascii="Times New Roman" w:eastAsia="Times New Roman" w:hAnsi="Times New Roman" w:cs="Times New Roman"/>
                <w:color w:val="000000"/>
                <w:spacing w:val="0"/>
                <w:w w:val="100"/>
                <w:position w:val="0"/>
              </w:rPr>
              <w:t>3</w:t>
            </w:r>
            <w:r>
              <w:rPr>
                <w:color w:val="000000"/>
                <w:spacing w:val="0"/>
                <w:w w:val="100"/>
                <w:position w:val="0"/>
              </w:rPr>
              <w:t>、如未来本人及所控制或参股 的其他企业获得与博思软件及其控制企业主营业务 发生同业竞争或可能发生同业竞争的商业机会，本人 将立即通知博思软件，并尽力将该商业机会按公开合 理的条件优先让予博思软件及</w:t>
            </w:r>
            <w:r>
              <w:rPr>
                <w:rFonts w:ascii="Times New Roman" w:eastAsia="Times New Roman" w:hAnsi="Times New Roman" w:cs="Times New Roman"/>
                <w:color w:val="000000"/>
                <w:spacing w:val="0"/>
                <w:w w:val="100"/>
                <w:position w:val="0"/>
              </w:rPr>
              <w:t>/</w:t>
            </w:r>
            <w:r>
              <w:rPr>
                <w:color w:val="000000"/>
                <w:spacing w:val="0"/>
                <w:w w:val="100"/>
                <w:position w:val="0"/>
              </w:rPr>
              <w:t>或其控制的企业，以 确保博思软件及其全体股东利益不受损害。</w:t>
            </w:r>
            <w:r>
              <w:rPr>
                <w:rFonts w:ascii="Times New Roman" w:eastAsia="Times New Roman" w:hAnsi="Times New Roman" w:cs="Times New Roman"/>
                <w:color w:val="000000"/>
                <w:spacing w:val="0"/>
                <w:w w:val="100"/>
                <w:position w:val="0"/>
              </w:rPr>
              <w:t>4</w:t>
            </w:r>
            <w:r>
              <w:rPr>
                <w:color w:val="000000"/>
                <w:spacing w:val="0"/>
                <w:w w:val="100"/>
                <w:position w:val="0"/>
              </w:rPr>
              <w:t>、如果 违反上述承诺，博思软件依据其董事会所作出的决策 （关联董事应回避表决），有权要求本人及本人所控 制的其他企业或经济组织停止相应的经济活动或行 为，将已经形成的有关权益、或者合同项下的权利义 务转让给独立第三方或者按照公允价值转让给博思 软件或者其指定的第三方，并将可得利益上交博思软 件董事会。本人将促使本人所控制的其他企业或经济 组织（如需）按照博思软件的要求实施相关行为；造 成博思软件经济损失的，本人将赔偿博思软件因此受 到的全部损失。</w:t>
            </w:r>
            <w:r>
              <w:rPr>
                <w:rFonts w:ascii="Times New Roman" w:eastAsia="Times New Roman" w:hAnsi="Times New Roman" w:cs="Times New Roman"/>
                <w:color w:val="000000"/>
                <w:spacing w:val="0"/>
                <w:w w:val="100"/>
                <w:position w:val="0"/>
              </w:rPr>
              <w:t>5</w:t>
            </w:r>
            <w:r>
              <w:rPr>
                <w:color w:val="000000"/>
                <w:spacing w:val="0"/>
                <w:w w:val="100"/>
                <w:position w:val="0"/>
              </w:rPr>
              <w:t>、在触发上述第</w:t>
            </w:r>
            <w:r>
              <w:rPr>
                <w:rFonts w:ascii="Times New Roman" w:eastAsia="Times New Roman" w:hAnsi="Times New Roman" w:cs="Times New Roman"/>
                <w:color w:val="000000"/>
                <w:spacing w:val="0"/>
                <w:w w:val="100"/>
                <w:position w:val="0"/>
              </w:rPr>
              <w:t>4</w:t>
            </w:r>
            <w:r>
              <w:rPr>
                <w:color w:val="000000"/>
                <w:spacing w:val="0"/>
                <w:w w:val="100"/>
                <w:position w:val="0"/>
              </w:rPr>
              <w:t xml:space="preserve">项承诺情况发生 后，本人未能履行相应承诺的，则博思软件有权相应 扣减应付本人的税后薪酬、现金分红。在相应的承诺 履行前，本人亦不转让本人所直接或间接所持的博思 软件的股份，但为履行上述承诺而进行转让的除外。 </w:t>
            </w:r>
            <w:r>
              <w:rPr>
                <w:rFonts w:ascii="Times New Roman" w:eastAsia="Times New Roman" w:hAnsi="Times New Roman" w:cs="Times New Roman"/>
                <w:color w:val="000000"/>
                <w:spacing w:val="0"/>
                <w:w w:val="100"/>
                <w:position w:val="0"/>
              </w:rPr>
              <w:t>6</w:t>
            </w:r>
            <w:r>
              <w:rPr>
                <w:color w:val="000000"/>
                <w:spacing w:val="0"/>
                <w:w w:val="100"/>
                <w:position w:val="0"/>
              </w:rPr>
              <w:t>、本声明与承诺函所述声明及承诺事项已经本人确 认，为本人的真实意思表示，对本人具有法律约束力。 本人自愿接受监管机关、社会公众及投资者的监督， 积极采取合法措施履行本承诺，并依法承担相应责 任。</w:t>
            </w:r>
            <w:r>
              <w:rPr>
                <w:rFonts w:ascii="Times New Roman" w:eastAsia="Times New Roman" w:hAnsi="Times New Roman" w:cs="Times New Roman"/>
                <w:color w:val="000000"/>
                <w:spacing w:val="0"/>
                <w:w w:val="100"/>
                <w:position w:val="0"/>
              </w:rPr>
              <w:t>7</w:t>
            </w:r>
            <w:r>
              <w:rPr>
                <w:color w:val="000000"/>
                <w:spacing w:val="0"/>
                <w:w w:val="100"/>
                <w:position w:val="0"/>
              </w:rPr>
              <w:t>、本承诺在本人控制博思软件或担任博思软件 的董事、监事、高级管理人员期间持续有效。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一、本人及本人所控制的企业不占用、支配公司的资 金或干预公司对货币资金的经营管理,保证不进行包 括但不限于如下非经营性资金往来的关联交易：（</w:t>
            </w:r>
            <w:r>
              <w:rPr>
                <w:rFonts w:ascii="Times New Roman" w:eastAsia="Times New Roman" w:hAnsi="Times New Roman" w:cs="Times New Roman"/>
                <w:color w:val="000000"/>
                <w:spacing w:val="0"/>
                <w:w w:val="100"/>
                <w:position w:val="0"/>
              </w:rPr>
              <w:t>1</w:t>
            </w:r>
            <w:r>
              <w:rPr>
                <w:color w:val="000000"/>
                <w:spacing w:val="0"/>
                <w:w w:val="100"/>
                <w:position w:val="0"/>
              </w:rPr>
              <w:t>） 公司为本人及本人所控制的企业垫支工资、福利、保 险、广告等期间费用及相互代为承担成本和其他支 出；（</w:t>
            </w:r>
            <w:r>
              <w:rPr>
                <w:rFonts w:ascii="Times New Roman" w:eastAsia="Times New Roman" w:hAnsi="Times New Roman" w:cs="Times New Roman"/>
                <w:color w:val="000000"/>
                <w:spacing w:val="0"/>
                <w:w w:val="100"/>
                <w:position w:val="0"/>
              </w:rPr>
              <w:t>2</w:t>
            </w:r>
            <w:r>
              <w:rPr>
                <w:color w:val="000000"/>
                <w:spacing w:val="0"/>
                <w:w w:val="100"/>
                <w:position w:val="0"/>
              </w:rPr>
              <w:t>）公司有偿或无偿地拆借公司的资金给本人及 本人所控制的企业使用；（</w:t>
            </w:r>
            <w:r>
              <w:rPr>
                <w:rFonts w:ascii="Times New Roman" w:eastAsia="Times New Roman" w:hAnsi="Times New Roman" w:cs="Times New Roman"/>
                <w:color w:val="000000"/>
                <w:spacing w:val="0"/>
                <w:w w:val="100"/>
                <w:position w:val="0"/>
              </w:rPr>
              <w:t>3</w:t>
            </w:r>
            <w:r>
              <w:rPr>
                <w:color w:val="000000"/>
                <w:spacing w:val="0"/>
                <w:w w:val="100"/>
                <w:position w:val="0"/>
              </w:rPr>
              <w:t>）公司通过银行或非银行 金融机构向本人及本人所控制的企业提供委托贷款；</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）公司委托本人及本人所控制的企业进行投资活 动；（</w:t>
            </w:r>
            <w:r>
              <w:rPr>
                <w:rFonts w:ascii="Times New Roman" w:eastAsia="Times New Roman" w:hAnsi="Times New Roman" w:cs="Times New Roman"/>
                <w:color w:val="000000"/>
                <w:spacing w:val="0"/>
                <w:w w:val="100"/>
                <w:position w:val="0"/>
              </w:rPr>
              <w:t>5</w:t>
            </w:r>
            <w:r>
              <w:rPr>
                <w:color w:val="000000"/>
                <w:spacing w:val="0"/>
                <w:w w:val="100"/>
                <w:position w:val="0"/>
              </w:rPr>
              <w:t>）公司为本人及本人所控制的企业开具没有真 实交易背景的商业承兑汇票；（</w:t>
            </w:r>
            <w:r>
              <w:rPr>
                <w:rFonts w:ascii="Times New Roman" w:eastAsia="Times New Roman" w:hAnsi="Times New Roman" w:cs="Times New Roman"/>
                <w:color w:val="000000"/>
                <w:spacing w:val="0"/>
                <w:w w:val="100"/>
                <w:position w:val="0"/>
              </w:rPr>
              <w:t>6</w:t>
            </w:r>
            <w:r>
              <w:rPr>
                <w:color w:val="000000"/>
                <w:spacing w:val="0"/>
                <w:w w:val="100"/>
                <w:position w:val="0"/>
              </w:rPr>
              <w:t>）公司代本人及本人 所控制的企业偿还债务。二、本人保证不要求公司为 本人及本人所控制的企业提供担保，也不强制公司为 他人提供担保。三、本人及本人所控制的企业将尽量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89"/>
        <w:gridCol w:w="4114"/>
        <w:gridCol w:w="850"/>
        <w:gridCol w:w="850"/>
        <w:gridCol w:w="782"/>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减少与公司的关联交易。对于无法回避的任何业务往 来或交易均应按照公平、公允和等价有偿的原则进 行，交易价格应按市场公认的合理价格确定，不会要 求公司给予与第三人的条件相比更优惠的条件，并按 规定履行信息披露义务。四、本人保证严格遵守公司 章程的规定，在股东大会对关联交易进行决策时回避 表决，与其他股东一样平等的行使股东权利、履行股 东义务，保障公司独立经营、自主决策。上述承诺自 即日起具有法律效力，对本人及本人所控制的企业具 有法律约束力。如有违反并因此给公司造成损失，本 人及本人所控制的企业愿承担法律责任。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福建 博思软件股 份有限公 司</w:t>
            </w:r>
            <w:r>
              <w:rPr>
                <w:rFonts w:ascii="Times New Roman" w:eastAsia="Times New Roman" w:hAnsi="Times New Roman" w:cs="Times New Roman"/>
                <w:color w:val="000000"/>
                <w:spacing w:val="0"/>
                <w:w w:val="100"/>
                <w:position w:val="0"/>
              </w:rPr>
              <w:t>;</w:t>
            </w:r>
            <w:r>
              <w:rPr>
                <w:color w:val="000000"/>
                <w:spacing w:val="0"/>
                <w:w w:val="100"/>
                <w:position w:val="0"/>
              </w:rPr>
              <w:t>林初可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郑升尉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（一）稳定公司股份预案启动的具体条件。公司上市 之日起三年内公司股票收盘价连续</w:t>
            </w:r>
            <w:r>
              <w:rPr>
                <w:rFonts w:ascii="Times New Roman" w:eastAsia="Times New Roman" w:hAnsi="Times New Roman" w:cs="Times New Roman"/>
                <w:color w:val="000000"/>
                <w:spacing w:val="0"/>
                <w:w w:val="100"/>
                <w:position w:val="0"/>
              </w:rPr>
              <w:t>20</w:t>
            </w:r>
            <w:r>
              <w:rPr>
                <w:color w:val="000000"/>
                <w:spacing w:val="0"/>
                <w:w w:val="100"/>
                <w:position w:val="0"/>
              </w:rPr>
              <w:t>个交易日低于 最近一期已披露的财务报告载列的每股净资产，且届 时情形满足证券监管机构及深圳证券交易所上市规 则关于回购、增持等股本变动行为的规定，则应启动 稳定公司股价措施。（二）责任主体。采取稳定公司 股价措施的责任主体包括控股股东、公司以及公司届 时在任董事（不包括独立董事及在公司无领薪的董 事，下同）和高级管理人员。其中应采取稳定公司股 价措施的董事和高级管理人员既包括在公司上市时 任职的董事和高级管理人员，也包括公司上市后三年 内新任职董事和高级管理人员。（三）具体措施。公 司稳定股价的措施包括：由控股股东增持公司股票； 由公司回购公司股票；由公司董事、高级管理人员增 持公司股票；以及公司董事会、股东大会通过的其他 稳定股价的措施。控股股东、博思软件及其董事及高 级管理人员的股价稳定义务将按上顺序依次产生。采 取增持股票措施应符合相关法律、法规、规章、规范 性文件及证券交易所的相关规定，且增持股票的数量 不会导致公司的股权分布不符合上市条件。（</w:t>
            </w:r>
            <w:r>
              <w:rPr>
                <w:rFonts w:ascii="Times New Roman" w:eastAsia="Times New Roman" w:hAnsi="Times New Roman" w:cs="Times New Roman"/>
                <w:color w:val="000000"/>
                <w:spacing w:val="0"/>
                <w:w w:val="100"/>
                <w:position w:val="0"/>
              </w:rPr>
              <w:t>1</w:t>
            </w:r>
            <w:r>
              <w:rPr>
                <w:color w:val="000000"/>
                <w:spacing w:val="0"/>
                <w:w w:val="100"/>
                <w:position w:val="0"/>
              </w:rPr>
              <w:t>）控股 股东陈航在触发增持义务的</w:t>
            </w:r>
            <w:r>
              <w:rPr>
                <w:rFonts w:ascii="Times New Roman" w:eastAsia="Times New Roman" w:hAnsi="Times New Roman" w:cs="Times New Roman"/>
                <w:color w:val="000000"/>
                <w:spacing w:val="0"/>
                <w:w w:val="100"/>
                <w:position w:val="0"/>
              </w:rPr>
              <w:t>10</w:t>
            </w:r>
            <w:r>
              <w:rPr>
                <w:color w:val="000000"/>
                <w:spacing w:val="0"/>
                <w:w w:val="100"/>
                <w:position w:val="0"/>
              </w:rPr>
              <w:t>个交易日内，应公告 增持博思软件股票的具体计划,披露拟增持股份的数 量范围、价格区间、完成时间等信息，且该计划增持 总金额不得低于</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）如控股股东履行上 述增持义务后仍未达到稳定公司股价的目的,则博思 软件董事会应在控股股东完成增持计划后之日起</w:t>
            </w:r>
            <w:r>
              <w:rPr>
                <w:rFonts w:ascii="Times New Roman" w:eastAsia="Times New Roman" w:hAnsi="Times New Roman" w:cs="Times New Roman"/>
                <w:color w:val="000000"/>
                <w:spacing w:val="0"/>
                <w:w w:val="100"/>
                <w:position w:val="0"/>
              </w:rPr>
              <w:t xml:space="preserve">7 </w:t>
            </w:r>
            <w:r>
              <w:rPr>
                <w:color w:val="000000"/>
                <w:spacing w:val="0"/>
                <w:w w:val="100"/>
                <w:position w:val="0"/>
              </w:rPr>
              <w:t>个交易日内公告具体股份回购方案，披露拟回购股份 的数量范围、价格区间、完成时间等信息，且该计划 回购总金额不得低于</w:t>
            </w:r>
            <w:r>
              <w:rPr>
                <w:rFonts w:ascii="Times New Roman" w:eastAsia="Times New Roman" w:hAnsi="Times New Roman" w:cs="Times New Roman"/>
                <w:color w:val="000000"/>
                <w:spacing w:val="0"/>
                <w:w w:val="100"/>
                <w:position w:val="0"/>
              </w:rPr>
              <w:t>2,000</w:t>
            </w:r>
            <w:r>
              <w:rPr>
                <w:color w:val="000000"/>
                <w:spacing w:val="0"/>
                <w:w w:val="100"/>
                <w:position w:val="0"/>
              </w:rPr>
              <w:t>万元。该股份回购方案须 由出席股东大会的股东所持有表决权股份总数的三 分之二以上通过，且控股股东承诺投赞成票。（</w:t>
            </w:r>
            <w:r>
              <w:rPr>
                <w:rFonts w:ascii="Times New Roman" w:eastAsia="Times New Roman" w:hAnsi="Times New Roman" w:cs="Times New Roman"/>
                <w:color w:val="000000"/>
                <w:spacing w:val="0"/>
                <w:w w:val="100"/>
                <w:position w:val="0"/>
              </w:rPr>
              <w:t>3</w:t>
            </w:r>
            <w:r>
              <w:rPr>
                <w:color w:val="000000"/>
                <w:spacing w:val="0"/>
                <w:w w:val="100"/>
                <w:position w:val="0"/>
              </w:rPr>
              <w:t>）如 公司履行上述股份回购义务后仍未达到稳定公司股 价的目的，则公司董事、高级管理人员应在公司完成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4114"/>
        <w:gridCol w:w="850"/>
        <w:gridCol w:w="850"/>
        <w:gridCol w:w="782"/>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股份回购计划之日起</w:t>
            </w:r>
            <w:r>
              <w:rPr>
                <w:rFonts w:ascii="Times New Roman" w:eastAsia="Times New Roman" w:hAnsi="Times New Roman" w:cs="Times New Roman"/>
                <w:color w:val="000000"/>
                <w:spacing w:val="0"/>
                <w:w w:val="100"/>
                <w:position w:val="0"/>
              </w:rPr>
              <w:t>20</w:t>
            </w:r>
            <w:r>
              <w:rPr>
                <w:color w:val="000000"/>
                <w:spacing w:val="0"/>
                <w:w w:val="100"/>
                <w:position w:val="0"/>
              </w:rPr>
              <w:t>个交易日内（如期间存在</w:t>
            </w:r>
            <w:r>
              <w:rPr>
                <w:rFonts w:ascii="Times New Roman" w:eastAsia="Times New Roman" w:hAnsi="Times New Roman" w:cs="Times New Roman"/>
                <w:color w:val="000000"/>
                <w:spacing w:val="0"/>
                <w:w w:val="100"/>
                <w:position w:val="0"/>
              </w:rPr>
              <w:t xml:space="preserve">N </w:t>
            </w:r>
            <w:r>
              <w:rPr>
                <w:color w:val="000000"/>
                <w:spacing w:val="0"/>
                <w:w w:val="100"/>
                <w:position w:val="0"/>
              </w:rPr>
              <w:t xml:space="preserve">个交易日限制董事、高级管理人员买卖公司股票，则 董事、高级管理人员应在首次满足上述条件之日后的 </w:t>
            </w:r>
            <w:r>
              <w:rPr>
                <w:rFonts w:ascii="Times New Roman" w:eastAsia="Times New Roman" w:hAnsi="Times New Roman" w:cs="Times New Roman"/>
                <w:color w:val="000000"/>
                <w:spacing w:val="0"/>
                <w:w w:val="100"/>
                <w:position w:val="0"/>
              </w:rPr>
              <w:t>20+N</w:t>
            </w:r>
            <w:r>
              <w:rPr>
                <w:color w:val="000000"/>
                <w:spacing w:val="0"/>
                <w:w w:val="100"/>
                <w:position w:val="0"/>
              </w:rPr>
              <w:t>个交易日内）增持博思软件股票，并且各自累 计增持金额不低于其上一年度薪酬总额的</w:t>
            </w:r>
            <w:r>
              <w:rPr>
                <w:rFonts w:ascii="Times New Roman" w:eastAsia="Times New Roman" w:hAnsi="Times New Roman" w:cs="Times New Roman"/>
                <w:color w:val="000000"/>
                <w:spacing w:val="0"/>
                <w:w w:val="100"/>
                <w:position w:val="0"/>
              </w:rPr>
              <w:t>20%</w:t>
            </w:r>
            <w:r>
              <w:rPr>
                <w:color w:val="000000"/>
                <w:spacing w:val="0"/>
                <w:w w:val="100"/>
                <w:position w:val="0"/>
              </w:rPr>
              <w:t>。控 股股东、博思软件、董事及高级管理人员在履行其增 持或回购义务时,应按照深圳证券交易所上市规则及 其他适用的监管规定履行相应的信息披露义务。在履 行完毕前述三项股价稳定措施后</w:t>
            </w:r>
            <w:r>
              <w:rPr>
                <w:rFonts w:ascii="Times New Roman" w:eastAsia="Times New Roman" w:hAnsi="Times New Roman" w:cs="Times New Roman"/>
                <w:color w:val="000000"/>
                <w:spacing w:val="0"/>
                <w:w w:val="100"/>
                <w:position w:val="0"/>
              </w:rPr>
              <w:t>6</w:t>
            </w:r>
            <w:r>
              <w:rPr>
                <w:color w:val="000000"/>
                <w:spacing w:val="0"/>
                <w:w w:val="100"/>
                <w:position w:val="0"/>
              </w:rPr>
              <w:t>个月内，控股股 东、博思软件及其董事及高级管理人员的股价稳定义 务解除。</w:t>
            </w:r>
            <w:r>
              <w:rPr>
                <w:rFonts w:ascii="Times New Roman" w:eastAsia="Times New Roman" w:hAnsi="Times New Roman" w:cs="Times New Roman"/>
                <w:color w:val="000000"/>
                <w:spacing w:val="0"/>
                <w:w w:val="100"/>
                <w:position w:val="0"/>
              </w:rPr>
              <w:t>6</w:t>
            </w:r>
            <w:r>
              <w:rPr>
                <w:color w:val="000000"/>
                <w:spacing w:val="0"/>
                <w:w w:val="100"/>
                <w:position w:val="0"/>
              </w:rPr>
              <w:t>个月期限届满后，如果公司股票收盘价格 连续</w:t>
            </w:r>
            <w:r>
              <w:rPr>
                <w:rFonts w:ascii="Times New Roman" w:eastAsia="Times New Roman" w:hAnsi="Times New Roman" w:cs="Times New Roman"/>
                <w:color w:val="000000"/>
                <w:spacing w:val="0"/>
                <w:w w:val="100"/>
                <w:position w:val="0"/>
              </w:rPr>
              <w:t>20</w:t>
            </w:r>
            <w:r>
              <w:rPr>
                <w:color w:val="000000"/>
                <w:spacing w:val="0"/>
                <w:w w:val="100"/>
                <w:position w:val="0"/>
              </w:rPr>
              <w:t>个交易日仍低于最近一期已披露的财务报告 列示的每股净资产，则控股股东、博思软件及其董事 及高级管理人员应再次启动稳定公司股价的措施。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（四）约束措施。控股股东未履行增持股票义务，公 司有权要求控股股东在限期内履行增持股票义务，控 股股东仍不履行的，公司有权扣减其应向控股股东支 付的分红，直至控股股东履行其增持义务。公司董事、 高级管理人员未履行增持股票义务，公司有权责令董 事、高级管理人员在限期内履行增持股票义务,董事、 高级管理人员仍不履行的，公司有权扣减其应向董 事、高级管理人员支付的扣除当地最低工资水平后的 全年报酬。公司董事、高级管理人员在任职期间连续 两次拒不履行上述增持股票义务，控股股东或董事 会、监事会、半数以上的独立董事有权提请股东大会 同意更换相关董事，公司董事会有权解聘相关高级管 理人员。（五）其他规定。本预案需经公司股东大会 审议通过，公司完成首次公开发行并上市后自动生 效，有效期三年。任何对本预案的修订均需经股东大 会审计通过，并经出席股东大会的股东所持表决权股 份总数的三分之二以上通过。本预案有效期内，公司 新聘任的董事、高级管理人员应在获得提名前书面同 意履行本预案规定的董事、高级管理人员义务。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304" w:lineRule="exact"/>
              <w:ind w:left="0" w:right="0" w:firstLine="0"/>
              <w:jc w:val="both"/>
            </w:pPr>
            <w:r>
              <w:rPr>
                <w:color w:val="000000"/>
                <w:spacing w:val="0"/>
                <w:w w:val="100"/>
                <w:position w:val="0"/>
              </w:rPr>
              <w:t>一、</w:t>
              <w:tab/>
              <w:t>本人将严格遵守执行公司股东大会审议通过的</w:t>
            </w:r>
          </w:p>
          <w:p>
            <w:pPr>
              <w:pStyle w:val="Style24"/>
              <w:keepNext w:val="0"/>
              <w:keepLines w:val="0"/>
              <w:widowControl w:val="0"/>
              <w:shd w:val="clear" w:color="auto" w:fill="auto"/>
              <w:bidi w:val="0"/>
              <w:spacing w:before="0" w:after="0" w:line="304" w:lineRule="exact"/>
              <w:ind w:left="0" w:right="0" w:firstLine="0"/>
              <w:jc w:val="both"/>
            </w:pPr>
            <w:r>
              <w:rPr>
                <w:color w:val="000000"/>
                <w:spacing w:val="0"/>
                <w:w w:val="100"/>
                <w:position w:val="0"/>
              </w:rPr>
              <w:t>《关于公司股票上市后稳定公司股价的预案》，包括 但不限于按照该预案的规定履行稳定公司股价的义 务并接受未能履行稳定股价的义务时的约束措施。</w:t>
            </w:r>
          </w:p>
          <w:p>
            <w:pPr>
              <w:pStyle w:val="Style24"/>
              <w:keepNext w:val="0"/>
              <w:keepLines w:val="0"/>
              <w:widowControl w:val="0"/>
              <w:shd w:val="clear" w:color="auto" w:fill="auto"/>
              <w:tabs>
                <w:tab w:pos="331" w:val="left"/>
              </w:tabs>
              <w:bidi w:val="0"/>
              <w:spacing w:before="0" w:after="0" w:line="304" w:lineRule="exact"/>
              <w:ind w:left="0" w:right="0" w:firstLine="0"/>
              <w:jc w:val="both"/>
              <w:rPr>
                <w:sz w:val="30"/>
                <w:szCs w:val="30"/>
              </w:rPr>
            </w:pPr>
            <w:r>
              <w:rPr>
                <w:color w:val="000000"/>
                <w:spacing w:val="0"/>
                <w:w w:val="100"/>
                <w:position w:val="0"/>
                <w:sz w:val="18"/>
                <w:szCs w:val="18"/>
              </w:rPr>
              <w:t>二、</w:t>
              <w:tab/>
              <w:t xml:space="preserve">在发行人上市后三年内，如公司根据《关于公司 股票上市后稳定公司股价的预案》就公司回购股份事 宜召开股东大会，如不涉及回避表决事项，本人承诺 将在股东大会上对符合有关法律、法规、规范性文件 及《关于公司股票上市后稳定公司股价的预案》规定 的公司回购股票等稳定股价方案的相关决议投赞成 </w:t>
            </w:r>
            <w:r>
              <w:rPr>
                <w:color w:val="000000"/>
                <w:spacing w:val="0"/>
                <w:w w:val="100"/>
                <w:position w:val="0"/>
                <w:sz w:val="30"/>
                <w:szCs w:val="30"/>
                <w:vertAlign w:val="subscript"/>
              </w:rPr>
              <w:t>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4114"/>
        <w:gridCol w:w="850"/>
        <w:gridCol w:w="850"/>
        <w:gridCol w:w="782"/>
      </w:tblGrid>
      <w:tr>
        <w:trPr>
          <w:trHeight w:val="19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郭其 友</w:t>
            </w:r>
            <w:r>
              <w:rPr>
                <w:rFonts w:ascii="Times New Roman" w:eastAsia="Times New Roman" w:hAnsi="Times New Roman" w:cs="Times New Roman"/>
                <w:color w:val="000000"/>
                <w:spacing w:val="0"/>
                <w:w w:val="100"/>
                <w:position w:val="0"/>
              </w:rPr>
              <w:t>;</w:t>
            </w:r>
            <w:r>
              <w:rPr>
                <w:color w:val="000000"/>
                <w:spacing w:val="0"/>
                <w:w w:val="100"/>
                <w:position w:val="0"/>
              </w:rPr>
              <w:t>林初可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欧郁雪</w:t>
            </w:r>
            <w:r>
              <w:rPr>
                <w:rFonts w:ascii="Times New Roman" w:eastAsia="Times New Roman" w:hAnsi="Times New Roman" w:cs="Times New Roman"/>
                <w:color w:val="000000"/>
                <w:spacing w:val="0"/>
                <w:w w:val="100"/>
                <w:position w:val="0"/>
              </w:rPr>
              <w:t>;</w:t>
            </w:r>
            <w:r>
              <w:rPr>
                <w:color w:val="000000"/>
                <w:spacing w:val="0"/>
                <w:w w:val="100"/>
                <w:position w:val="0"/>
              </w:rPr>
              <w:t>陶 翔宇</w:t>
            </w:r>
            <w:r>
              <w:rPr>
                <w:rFonts w:ascii="Times New Roman" w:eastAsia="Times New Roman" w:hAnsi="Times New Roman" w:cs="Times New Roman"/>
                <w:color w:val="000000"/>
                <w:spacing w:val="0"/>
                <w:w w:val="100"/>
                <w:position w:val="0"/>
              </w:rPr>
              <w:t>;</w:t>
            </w:r>
            <w:r>
              <w:rPr>
                <w:color w:val="000000"/>
                <w:spacing w:val="0"/>
                <w:w w:val="100"/>
                <w:position w:val="0"/>
              </w:rPr>
              <w:t>王敏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叶东 毅</w:t>
            </w:r>
            <w:r>
              <w:rPr>
                <w:rFonts w:ascii="Times New Roman" w:eastAsia="Times New Roman" w:hAnsi="Times New Roman" w:cs="Times New Roman"/>
                <w:color w:val="000000"/>
                <w:spacing w:val="0"/>
                <w:w w:val="100"/>
                <w:position w:val="0"/>
              </w:rPr>
              <w:t>;</w:t>
            </w: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本人将严格遵守执行发行人股东大会审议通过的《关 于公司股票上市后稳定公司股价的预案》，包括但不 限于按照该预案的规定履行稳定公司股价的义务并 接受未能履行稳定股价的义务时的约束措施。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林初 可</w:t>
            </w:r>
            <w:r>
              <w:rPr>
                <w:rFonts w:ascii="Times New Roman" w:eastAsia="Times New Roman" w:hAnsi="Times New Roman" w:cs="Times New Roman"/>
                <w:color w:val="000000"/>
                <w:spacing w:val="0"/>
                <w:w w:val="100"/>
                <w:position w:val="0"/>
              </w:rPr>
              <w:t>;</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 章明</w:t>
            </w:r>
            <w:r>
              <w:rPr>
                <w:rFonts w:ascii="Times New Roman" w:eastAsia="Times New Roman" w:hAnsi="Times New Roman" w:cs="Times New Roman"/>
                <w:color w:val="000000"/>
                <w:spacing w:val="0"/>
                <w:w w:val="100"/>
                <w:position w:val="0"/>
              </w:rPr>
              <w:t>;</w:t>
            </w:r>
            <w:r>
              <w:rPr>
                <w:color w:val="000000"/>
                <w:spacing w:val="0"/>
                <w:w w:val="100"/>
                <w:position w:val="0"/>
              </w:rPr>
              <w:t>余双 兴</w:t>
            </w:r>
            <w:r>
              <w:rPr>
                <w:rFonts w:ascii="Times New Roman" w:eastAsia="Times New Roman" w:hAnsi="Times New Roman" w:cs="Times New Roman"/>
                <w:color w:val="000000"/>
                <w:spacing w:val="0"/>
                <w:w w:val="100"/>
                <w:position w:val="0"/>
              </w:rPr>
              <w:t>;</w:t>
            </w: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本人将严格遵守执行公司股东大会审议通过的《关于 公司股票上市后稳定公司股价的预案》，包括但不限 于按照该预案的规定履行稳定公司股价的义务，并接 受未能履行稳定股价的义务时的约束措施。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福建博思软 件股份有限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为维护广大投资者利益，增强投资者信心，公司承诺， 将在首次公开发行股票并上市后采取如下措施填补 被摊薄即期回报：</w:t>
            </w:r>
            <w:r>
              <w:rPr>
                <w:rFonts w:ascii="Times New Roman" w:eastAsia="Times New Roman" w:hAnsi="Times New Roman" w:cs="Times New Roman"/>
                <w:color w:val="000000"/>
                <w:spacing w:val="0"/>
                <w:w w:val="100"/>
                <w:position w:val="0"/>
              </w:rPr>
              <w:t>1</w:t>
            </w:r>
            <w:r>
              <w:rPr>
                <w:color w:val="000000"/>
                <w:spacing w:val="0"/>
                <w:w w:val="100"/>
                <w:position w:val="0"/>
              </w:rPr>
              <w:t>、公司现有业务板块运营状况， 发展态势，面临的主要风险及改进措施。</w:t>
            </w:r>
            <w:r>
              <w:rPr>
                <w:rFonts w:ascii="Times New Roman" w:eastAsia="Times New Roman" w:hAnsi="Times New Roman" w:cs="Times New Roman"/>
                <w:color w:val="000000"/>
                <w:spacing w:val="0"/>
                <w:w w:val="100"/>
                <w:position w:val="0"/>
              </w:rPr>
              <w:t>2</w:t>
            </w:r>
            <w:r>
              <w:rPr>
                <w:color w:val="000000"/>
                <w:spacing w:val="0"/>
                <w:w w:val="100"/>
                <w:position w:val="0"/>
              </w:rPr>
              <w:t>、提高公 司日常运营效率，降低公司运营成本，提升公司经营 业绩的具体措施。（</w:t>
            </w:r>
            <w:r>
              <w:rPr>
                <w:rFonts w:ascii="Times New Roman" w:eastAsia="Times New Roman" w:hAnsi="Times New Roman" w:cs="Times New Roman"/>
                <w:color w:val="000000"/>
                <w:spacing w:val="0"/>
                <w:w w:val="100"/>
                <w:position w:val="0"/>
              </w:rPr>
              <w:t>1</w:t>
            </w:r>
            <w:r>
              <w:rPr>
                <w:color w:val="000000"/>
                <w:spacing w:val="0"/>
                <w:w w:val="100"/>
                <w:position w:val="0"/>
              </w:rPr>
              <w:t>）提高日常运营效率，降低公司 运营成本。（</w:t>
            </w:r>
            <w:r>
              <w:rPr>
                <w:rFonts w:ascii="Times New Roman" w:eastAsia="Times New Roman" w:hAnsi="Times New Roman" w:cs="Times New Roman"/>
                <w:color w:val="000000"/>
                <w:spacing w:val="0"/>
                <w:w w:val="100"/>
                <w:position w:val="0"/>
              </w:rPr>
              <w:t>2</w:t>
            </w:r>
            <w:r>
              <w:rPr>
                <w:color w:val="000000"/>
                <w:spacing w:val="0"/>
                <w:w w:val="100"/>
                <w:position w:val="0"/>
              </w:rPr>
              <w:t>）强化募集资金管理，并加快募投项目 的推进，提高公司的盈利能力。（</w:t>
            </w:r>
            <w:r>
              <w:rPr>
                <w:rFonts w:ascii="Times New Roman" w:eastAsia="Times New Roman" w:hAnsi="Times New Roman" w:cs="Times New Roman"/>
                <w:color w:val="000000"/>
                <w:spacing w:val="0"/>
                <w:w w:val="100"/>
                <w:position w:val="0"/>
              </w:rPr>
              <w:t>3</w:t>
            </w:r>
            <w:r>
              <w:rPr>
                <w:color w:val="000000"/>
                <w:spacing w:val="0"/>
                <w:w w:val="100"/>
                <w:position w:val="0"/>
              </w:rPr>
              <w:t>）稳步实施市场开 拓战略，坚持技术创新，增加公司营业收入。</w:t>
            </w:r>
            <w:r>
              <w:rPr>
                <w:rFonts w:ascii="Times New Roman" w:eastAsia="Times New Roman" w:hAnsi="Times New Roman" w:cs="Times New Roman"/>
                <w:color w:val="000000"/>
                <w:spacing w:val="0"/>
                <w:w w:val="100"/>
                <w:position w:val="0"/>
              </w:rPr>
              <w:t>3</w:t>
            </w:r>
            <w:r>
              <w:rPr>
                <w:color w:val="000000"/>
                <w:spacing w:val="0"/>
                <w:w w:val="100"/>
                <w:position w:val="0"/>
              </w:rPr>
              <w:t>、填 补被摊薄即期回报的其他措施。公司将通过加强公司 治理，优化内部控制机制，提升经营效率，有效控制 成本，来填补被摊薄的及其回报。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郭其 友</w:t>
            </w:r>
            <w:r>
              <w:rPr>
                <w:rFonts w:ascii="Times New Roman" w:eastAsia="Times New Roman" w:hAnsi="Times New Roman" w:cs="Times New Roman"/>
                <w:color w:val="000000"/>
                <w:spacing w:val="0"/>
                <w:w w:val="100"/>
                <w:position w:val="0"/>
              </w:rPr>
              <w:t>;</w:t>
            </w:r>
            <w:r>
              <w:rPr>
                <w:color w:val="000000"/>
                <w:spacing w:val="0"/>
                <w:w w:val="100"/>
                <w:position w:val="0"/>
              </w:rPr>
              <w:t>林初可</w:t>
            </w:r>
            <w:r>
              <w:rPr>
                <w:rFonts w:ascii="Times New Roman" w:eastAsia="Times New Roman" w:hAnsi="Times New Roman" w:cs="Times New Roman"/>
                <w:color w:val="000000"/>
                <w:spacing w:val="0"/>
                <w:w w:val="100"/>
                <w:position w:val="0"/>
              </w:rPr>
              <w:t xml:space="preserve">; </w:t>
            </w:r>
            <w:r>
              <w:rPr>
                <w:color w:val="000000"/>
                <w:spacing w:val="0"/>
                <w:w w:val="100"/>
                <w:position w:val="0"/>
              </w:rPr>
              <w:t>陶翔宇</w:t>
            </w:r>
            <w:r>
              <w:rPr>
                <w:rFonts w:ascii="Times New Roman" w:eastAsia="Times New Roman" w:hAnsi="Times New Roman" w:cs="Times New Roman"/>
                <w:color w:val="000000"/>
                <w:spacing w:val="0"/>
                <w:w w:val="100"/>
                <w:position w:val="0"/>
              </w:rPr>
              <w:t>;</w:t>
            </w:r>
            <w:r>
              <w:rPr>
                <w:color w:val="000000"/>
                <w:spacing w:val="0"/>
                <w:w w:val="100"/>
                <w:position w:val="0"/>
              </w:rPr>
              <w:t>王 敏</w:t>
            </w:r>
            <w:r>
              <w:rPr>
                <w:rFonts w:ascii="Times New Roman" w:eastAsia="Times New Roman" w:hAnsi="Times New Roman" w:cs="Times New Roman"/>
                <w:color w:val="000000"/>
                <w:spacing w:val="0"/>
                <w:w w:val="100"/>
                <w:position w:val="0"/>
              </w:rPr>
              <w:t>;</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 东毅</w:t>
            </w:r>
            <w:r>
              <w:rPr>
                <w:rFonts w:ascii="Times New Roman" w:eastAsia="Times New Roman" w:hAnsi="Times New Roman" w:cs="Times New Roman"/>
                <w:color w:val="000000"/>
                <w:spacing w:val="0"/>
                <w:w w:val="100"/>
                <w:position w:val="0"/>
              </w:rPr>
              <w:t>;</w:t>
            </w:r>
            <w:r>
              <w:rPr>
                <w:color w:val="000000"/>
                <w:spacing w:val="0"/>
                <w:w w:val="100"/>
                <w:position w:val="0"/>
              </w:rPr>
              <w:t>叶章 明</w:t>
            </w:r>
            <w:r>
              <w:rPr>
                <w:rFonts w:ascii="Times New Roman" w:eastAsia="Times New Roman" w:hAnsi="Times New Roman" w:cs="Times New Roman"/>
                <w:color w:val="000000"/>
                <w:spacing w:val="0"/>
                <w:w w:val="100"/>
                <w:position w:val="0"/>
              </w:rPr>
              <w:t>;</w:t>
            </w:r>
            <w:r>
              <w:rPr>
                <w:color w:val="000000"/>
                <w:spacing w:val="0"/>
                <w:w w:val="100"/>
                <w:position w:val="0"/>
              </w:rPr>
              <w:t>余双兴</w:t>
            </w:r>
            <w:r>
              <w:rPr>
                <w:rFonts w:ascii="Times New Roman" w:eastAsia="Times New Roman" w:hAnsi="Times New Roman" w:cs="Times New Roman"/>
                <w:color w:val="000000"/>
                <w:spacing w:val="0"/>
                <w:w w:val="100"/>
                <w:position w:val="0"/>
              </w:rPr>
              <w:t xml:space="preserve">; </w:t>
            </w: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根据中国证监会相关规定以及公司章程的约定，公司 的董事、高级管理人员承诺将忠实、勤勉地履行职责， 维护公司和全体股东的合法权益，并就公司填补被摊 薄即期回报措施能够得到切实履行作出承诺如下：</w:t>
            </w:r>
            <w:r>
              <w:rPr>
                <w:rFonts w:ascii="Times New Roman" w:eastAsia="Times New Roman" w:hAnsi="Times New Roman" w:cs="Times New Roman"/>
                <w:color w:val="000000"/>
                <w:spacing w:val="0"/>
                <w:w w:val="100"/>
                <w:position w:val="0"/>
              </w:rPr>
              <w:t>1</w:t>
            </w:r>
            <w:r>
              <w:rPr>
                <w:color w:val="000000"/>
                <w:spacing w:val="0"/>
                <w:w w:val="100"/>
                <w:position w:val="0"/>
              </w:rPr>
              <w:t>、 承诺不无偿或以不公平条件向其他单位或者个人输 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 对董事和高级管理人员的职务消费行为进行约束。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 承诺不动用公司资产从事与其履行职责无关的投资、 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、承诺由董事会或薪酬委员会制定的薪 酬制度与公司填补被摊薄即期回报措施的执行情况 相挂钩。</w:t>
            </w:r>
            <w:r>
              <w:rPr>
                <w:rFonts w:ascii="Times New Roman" w:eastAsia="Times New Roman" w:hAnsi="Times New Roman" w:cs="Times New Roman"/>
                <w:color w:val="000000"/>
                <w:spacing w:val="0"/>
                <w:w w:val="100"/>
                <w:position w:val="0"/>
              </w:rPr>
              <w:t>5</w:t>
            </w:r>
            <w:r>
              <w:rPr>
                <w:color w:val="000000"/>
                <w:spacing w:val="0"/>
                <w:w w:val="100"/>
                <w:position w:val="0"/>
              </w:rPr>
              <w:t>、如公司未来推出股权激励计划，承诺拟 公布的公司股权激励计划的行权条件与公司填补被 摊薄即期回报措施的执行情况相挂钩。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福建博思软 件股份有限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本公司出具之招股说明书如有虚假记载、误导性陈述 或者重大遗漏，对判断发行人是否符合法律规定的发 行条件构成重大、实质影响的，本公司将依法回购首 次公开发行的全部新股;致使投资者在证券交易中遭 受损失的，将依法赔偿投资者损失。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9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公司出具之招股说明书如有虚假记载、误导性陈述或 者重大遗漏，对判断公司是否符合法律规定的发行条 件构成重大、实质影响的，本人将依法购回已转让的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4114"/>
        <w:gridCol w:w="850"/>
        <w:gridCol w:w="850"/>
        <w:gridCol w:w="782"/>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原限售股份；致使投资者在证券交易中遭受损失的， 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w:t>
            </w:r>
            <w:r>
              <w:rPr>
                <w:rFonts w:ascii="Times New Roman" w:eastAsia="Times New Roman" w:hAnsi="Times New Roman" w:cs="Times New Roman"/>
                <w:color w:val="000000"/>
                <w:spacing w:val="0"/>
                <w:w w:val="100"/>
                <w:position w:val="0"/>
              </w:rPr>
              <w:t>;</w:t>
            </w:r>
            <w:r>
              <w:rPr>
                <w:color w:val="000000"/>
                <w:spacing w:val="0"/>
                <w:w w:val="100"/>
                <w:position w:val="0"/>
              </w:rPr>
              <w:t>陈晶</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郭其友</w:t>
            </w:r>
            <w:r>
              <w:rPr>
                <w:rFonts w:ascii="Times New Roman" w:eastAsia="Times New Roman" w:hAnsi="Times New Roman" w:cs="Times New Roman"/>
                <w:color w:val="000000"/>
                <w:spacing w:val="0"/>
                <w:w w:val="100"/>
                <w:position w:val="0"/>
              </w:rPr>
              <w:t>;</w:t>
            </w:r>
            <w:r>
              <w:rPr>
                <w:color w:val="000000"/>
                <w:spacing w:val="0"/>
                <w:w w:val="100"/>
                <w:position w:val="0"/>
              </w:rPr>
              <w:t>林 初可</w:t>
            </w:r>
            <w:r>
              <w:rPr>
                <w:rFonts w:ascii="Times New Roman" w:eastAsia="Times New Roman" w:hAnsi="Times New Roman" w:cs="Times New Roman"/>
                <w:color w:val="000000"/>
                <w:spacing w:val="0"/>
                <w:w w:val="100"/>
                <w:position w:val="0"/>
              </w:rPr>
              <w:t>;</w:t>
            </w:r>
            <w:r>
              <w:rPr>
                <w:color w:val="000000"/>
                <w:spacing w:val="0"/>
                <w:w w:val="100"/>
                <w:position w:val="0"/>
              </w:rPr>
              <w:t>毛时 敏</w:t>
            </w:r>
            <w:r>
              <w:rPr>
                <w:rFonts w:ascii="Times New Roman" w:eastAsia="Times New Roman" w:hAnsi="Times New Roman" w:cs="Times New Roman"/>
                <w:color w:val="000000"/>
                <w:spacing w:val="0"/>
                <w:w w:val="100"/>
                <w:position w:val="0"/>
              </w:rPr>
              <w:t>;</w:t>
            </w:r>
            <w:r>
              <w:rPr>
                <w:color w:val="000000"/>
                <w:spacing w:val="0"/>
                <w:w w:val="100"/>
                <w:position w:val="0"/>
              </w:rPr>
              <w:t>欧郁雪</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陶翔宇</w:t>
            </w:r>
            <w:r>
              <w:rPr>
                <w:rFonts w:ascii="Times New Roman" w:eastAsia="Times New Roman" w:hAnsi="Times New Roman" w:cs="Times New Roman"/>
                <w:color w:val="000000"/>
                <w:spacing w:val="0"/>
                <w:w w:val="100"/>
                <w:position w:val="0"/>
              </w:rPr>
              <w:t>;</w:t>
            </w:r>
            <w:r>
              <w:rPr>
                <w:color w:val="000000"/>
                <w:spacing w:val="0"/>
                <w:w w:val="100"/>
                <w:position w:val="0"/>
              </w:rPr>
              <w:t>王 敏</w:t>
            </w:r>
            <w:r>
              <w:rPr>
                <w:rFonts w:ascii="Times New Roman" w:eastAsia="Times New Roman" w:hAnsi="Times New Roman" w:cs="Times New Roman"/>
                <w:color w:val="000000"/>
                <w:spacing w:val="0"/>
                <w:w w:val="100"/>
                <w:position w:val="0"/>
              </w:rPr>
              <w:t>;</w:t>
            </w:r>
            <w:r>
              <w:rPr>
                <w:color w:val="000000"/>
                <w:spacing w:val="0"/>
                <w:w w:val="100"/>
                <w:position w:val="0"/>
              </w:rPr>
              <w:t>王素珍</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肖勇</w:t>
            </w:r>
            <w:r>
              <w:rPr>
                <w:rFonts w:ascii="Times New Roman" w:eastAsia="Times New Roman" w:hAnsi="Times New Roman" w:cs="Times New Roman"/>
                <w:color w:val="000000"/>
                <w:spacing w:val="0"/>
                <w:w w:val="100"/>
                <w:position w:val="0"/>
              </w:rPr>
              <w:t>;</w:t>
            </w:r>
            <w:r>
              <w:rPr>
                <w:color w:val="000000"/>
                <w:spacing w:val="0"/>
                <w:w w:val="100"/>
                <w:position w:val="0"/>
              </w:rPr>
              <w:t>叶东 毅</w:t>
            </w:r>
            <w:r>
              <w:rPr>
                <w:rFonts w:ascii="Times New Roman" w:eastAsia="Times New Roman" w:hAnsi="Times New Roman" w:cs="Times New Roman"/>
                <w:color w:val="000000"/>
                <w:spacing w:val="0"/>
                <w:w w:val="100"/>
                <w:position w:val="0"/>
              </w:rPr>
              <w:t>;</w:t>
            </w:r>
            <w:r>
              <w:rPr>
                <w:color w:val="000000"/>
                <w:spacing w:val="0"/>
                <w:w w:val="100"/>
                <w:position w:val="0"/>
              </w:rPr>
              <w:t>叶章明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余双兴</w:t>
            </w:r>
            <w:r>
              <w:rPr>
                <w:rFonts w:ascii="Times New Roman" w:eastAsia="Times New Roman" w:hAnsi="Times New Roman" w:cs="Times New Roman"/>
                <w:color w:val="000000"/>
                <w:spacing w:val="0"/>
                <w:w w:val="100"/>
                <w:position w:val="0"/>
              </w:rPr>
              <w:t>;</w:t>
            </w:r>
            <w:r>
              <w:rPr>
                <w:color w:val="000000"/>
                <w:spacing w:val="0"/>
                <w:w w:val="100"/>
                <w:position w:val="0"/>
              </w:rPr>
              <w:t>郑 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招股说明书如有虚假记载、误导性陈述或者重大遗 漏，致使投资者在证券交易中遭受损失的，将依法赔 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北京实地创 业投资有限 公司</w:t>
            </w:r>
            <w:r>
              <w:rPr>
                <w:rFonts w:ascii="Times New Roman" w:eastAsia="Times New Roman" w:hAnsi="Times New Roman" w:cs="Times New Roman"/>
                <w:color w:val="000000"/>
                <w:spacing w:val="0"/>
                <w:w w:val="100"/>
                <w:position w:val="0"/>
              </w:rPr>
              <w:t>;</w:t>
            </w:r>
            <w:r>
              <w:rPr>
                <w:color w:val="000000"/>
                <w:spacing w:val="0"/>
                <w:w w:val="100"/>
                <w:position w:val="0"/>
              </w:rPr>
              <w:t>福建</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省财政信息 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不以任何方式谋求成为发行人的控股股东或实际控 制人、不以控制为目的而直接或间接增持发行人的股 份并不与除陈航之外的发行人的其他股东或该股东 的关联方签署与控制权有关的任何协议（包括但不限 于一致行动协议、限制行使股东权利协议）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本人承诺将无条件承继林初可先生与陈航先生于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日签署的《一致行动协议》项下关 于一致行动的事项范围和股份限售期安排的如下相 关义务，并按《一致行动协议》中约定的方式与博思 软件实际控制人陈航先生保持一致行动。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承诺是否按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5"/>
        <w:keepNext/>
        <w:keepLines/>
        <w:widowControl w:val="0"/>
        <w:shd w:val="clear" w:color="auto" w:fill="auto"/>
        <w:bidi w:val="0"/>
        <w:spacing w:before="0" w:line="317" w:lineRule="exact"/>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、公司资产或项目存在盈利预测，且报告期仍处在盈利预测期间，公司就资产或项目达到原盈利预测及 其原因做出说明</w:t>
      </w:r>
      <w:bookmarkEnd w:id="301"/>
      <w:bookmarkEnd w:id="302"/>
      <w:bookmarkEnd w:id="304"/>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三</w:t>
      </w:r>
      <w:bookmarkEnd w:id="307"/>
      <w:r>
        <w:rPr>
          <w:color w:val="000000"/>
          <w:spacing w:val="0"/>
          <w:w w:val="100"/>
          <w:position w:val="0"/>
          <w:sz w:val="24"/>
          <w:szCs w:val="24"/>
        </w:rPr>
        <w:t>、</w:t>
        <w:tab/>
        <w:t>控股股东及其关联方对上市公司的非经营性占用资金情况</w:t>
      </w:r>
      <w:bookmarkEnd w:id="305"/>
      <w:bookmarkEnd w:id="306"/>
      <w:bookmarkEnd w:id="308"/>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四</w:t>
      </w:r>
      <w:bookmarkEnd w:id="31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09"/>
      <w:bookmarkEnd w:id="310"/>
      <w:bookmarkEnd w:id="312"/>
    </w:p>
    <w:p>
      <w:pPr>
        <w:pStyle w:val="Style31"/>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五</w:t>
      </w:r>
      <w:bookmarkEnd w:id="31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3"/>
      <w:bookmarkEnd w:id="314"/>
      <w:bookmarkEnd w:id="316"/>
    </w:p>
    <w:p>
      <w:pPr>
        <w:pStyle w:val="Style31"/>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六</w:t>
      </w:r>
      <w:bookmarkEnd w:id="319"/>
      <w:r>
        <w:rPr>
          <w:color w:val="000000"/>
          <w:spacing w:val="0"/>
          <w:w w:val="100"/>
          <w:position w:val="0"/>
          <w:sz w:val="24"/>
          <w:szCs w:val="24"/>
        </w:rPr>
        <w:t>、</w:t>
        <w:tab/>
        <w:t>董事会关于报告期会计政策、会计估计变更或重大会计差错更正的说明</w:t>
      </w:r>
      <w:bookmarkEnd w:id="317"/>
      <w:bookmarkEnd w:id="318"/>
      <w:bookmarkEnd w:id="320"/>
    </w:p>
    <w:p>
      <w:pPr>
        <w:pStyle w:val="Style31"/>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七</w:t>
      </w:r>
      <w:bookmarkEnd w:id="323"/>
      <w:r>
        <w:rPr>
          <w:color w:val="000000"/>
          <w:spacing w:val="0"/>
          <w:w w:val="100"/>
          <w:position w:val="0"/>
          <w:sz w:val="24"/>
          <w:szCs w:val="24"/>
        </w:rPr>
        <w:t>、</w:t>
        <w:tab/>
        <w:t>与上年度财务报告相比，合并报表范围发生变化的情况说明</w:t>
      </w:r>
      <w:bookmarkEnd w:id="321"/>
      <w:bookmarkEnd w:id="322"/>
      <w:bookmarkEnd w:id="324"/>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720" w:line="307" w:lineRule="exact"/>
        <w:ind w:left="0" w:right="0" w:firstLine="480"/>
        <w:jc w:val="left"/>
      </w:pPr>
      <w:r>
        <w:rPr>
          <w:color w:val="000000"/>
          <w:spacing w:val="0"/>
          <w:w w:val="100"/>
          <w:position w:val="0"/>
        </w:rPr>
        <w:t>本年公司投资设立子公司而增加并表单位如下：福州博思兴创信息科技有限公司；北京博思致新互联网科技有限责任公 司。同时，非同一控制下企业合并形成的控股子公司而增加的并表单位为：北京支点国际资讯投资有限公司。</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八</w:t>
      </w:r>
      <w:bookmarkEnd w:id="327"/>
      <w:r>
        <w:rPr>
          <w:color w:val="000000"/>
          <w:spacing w:val="0"/>
          <w:w w:val="100"/>
          <w:position w:val="0"/>
          <w:sz w:val="24"/>
          <w:szCs w:val="24"/>
        </w:rPr>
        <w:t>、</w:t>
        <w:tab/>
        <w:t>聘任、解聘会计师事务所情况</w:t>
      </w:r>
      <w:bookmarkEnd w:id="325"/>
      <w:bookmarkEnd w:id="326"/>
      <w:bookmarkEnd w:id="328"/>
    </w:p>
    <w:p>
      <w:pPr>
        <w:pStyle w:val="Style31"/>
        <w:keepNext w:val="0"/>
        <w:keepLines w:val="0"/>
        <w:widowControl w:val="0"/>
        <w:shd w:val="clear" w:color="auto" w:fill="auto"/>
        <w:bidi w:val="0"/>
        <w:spacing w:before="0" w:after="100" w:line="307" w:lineRule="exact"/>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郑丽惠郭璇</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九</w:t>
      </w:r>
      <w:bookmarkEnd w:id="331"/>
      <w:r>
        <w:rPr>
          <w:color w:val="000000"/>
          <w:spacing w:val="0"/>
          <w:w w:val="100"/>
          <w:position w:val="0"/>
          <w:sz w:val="24"/>
          <w:szCs w:val="24"/>
        </w:rPr>
        <w:t>、年度报告披露后面临暂停上市和终止上市情况</w:t>
      </w:r>
      <w:bookmarkEnd w:id="329"/>
      <w:bookmarkEnd w:id="330"/>
      <w:bookmarkEnd w:id="332"/>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十、破产重整相关事项</w:t>
      </w:r>
      <w:bookmarkEnd w:id="333"/>
      <w:bookmarkEnd w:id="334"/>
      <w:bookmarkEnd w:id="33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both"/>
      </w:pPr>
      <w:bookmarkStart w:id="336" w:name="bookmark336"/>
      <w:bookmarkStart w:id="337" w:name="bookmark337"/>
      <w:bookmarkStart w:id="338" w:name="bookmark338"/>
      <w:r>
        <w:rPr>
          <w:color w:val="000000"/>
          <w:spacing w:val="0"/>
          <w:w w:val="100"/>
          <w:position w:val="0"/>
          <w:sz w:val="24"/>
          <w:szCs w:val="24"/>
        </w:rPr>
        <w:t>十一、重大诉讼、仲裁事项</w:t>
      </w:r>
      <w:bookmarkEnd w:id="336"/>
      <w:bookmarkEnd w:id="337"/>
      <w:bookmarkEnd w:id="338"/>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both"/>
      </w:pPr>
      <w:bookmarkStart w:id="339" w:name="bookmark339"/>
      <w:bookmarkStart w:id="340" w:name="bookmark340"/>
      <w:bookmarkStart w:id="341" w:name="bookmark341"/>
      <w:r>
        <w:rPr>
          <w:color w:val="000000"/>
          <w:spacing w:val="0"/>
          <w:w w:val="100"/>
          <w:position w:val="0"/>
          <w:sz w:val="24"/>
          <w:szCs w:val="24"/>
        </w:rPr>
        <w:t>十二、处罚及整改情况</w:t>
      </w:r>
      <w:bookmarkEnd w:id="339"/>
      <w:bookmarkEnd w:id="340"/>
      <w:bookmarkEnd w:id="341"/>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十三、公司及其控股股东、实际控制人的诚信状况</w:t>
      </w:r>
      <w:bookmarkEnd w:id="342"/>
      <w:bookmarkEnd w:id="343"/>
      <w:bookmarkEnd w:id="344"/>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十四、公司股权激励计划、员工持股计划或其他员工激励措施的实施情况</w:t>
      </w:r>
      <w:bookmarkEnd w:id="345"/>
      <w:bookmarkEnd w:id="346"/>
      <w:bookmarkEnd w:id="347"/>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240" w:lineRule="auto"/>
        <w:ind w:left="0" w:right="0" w:firstLine="0"/>
        <w:jc w:val="both"/>
      </w:pPr>
      <w:bookmarkStart w:id="348" w:name="bookmark348"/>
      <w:bookmarkStart w:id="349" w:name="bookmark349"/>
      <w:bookmarkStart w:id="350" w:name="bookmark350"/>
      <w:r>
        <w:rPr>
          <w:color w:val="000000"/>
          <w:spacing w:val="0"/>
          <w:w w:val="100"/>
          <w:position w:val="0"/>
          <w:sz w:val="24"/>
          <w:szCs w:val="24"/>
        </w:rPr>
        <w:t>十五、重大关联交易</w:t>
      </w:r>
      <w:bookmarkEnd w:id="348"/>
      <w:bookmarkEnd w:id="349"/>
      <w:bookmarkEnd w:id="350"/>
    </w:p>
    <w:p>
      <w:pPr>
        <w:pStyle w:val="Style35"/>
        <w:keepNext/>
        <w:keepLines/>
        <w:widowControl w:val="0"/>
        <w:shd w:val="clear" w:color="auto" w:fill="auto"/>
        <w:bidi w:val="0"/>
        <w:spacing w:before="0" w:line="240"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、与日常经营相关的关联交易</w:t>
      </w:r>
      <w:bookmarkEnd w:id="351"/>
      <w:bookmarkEnd w:id="352"/>
      <w:bookmarkEnd w:id="354"/>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677"/>
        <w:gridCol w:w="677"/>
        <w:gridCol w:w="701"/>
        <w:gridCol w:w="682"/>
        <w:gridCol w:w="672"/>
        <w:gridCol w:w="677"/>
        <w:gridCol w:w="672"/>
        <w:gridCol w:w="677"/>
        <w:gridCol w:w="672"/>
        <w:gridCol w:w="672"/>
        <w:gridCol w:w="677"/>
        <w:gridCol w:w="667"/>
        <w:gridCol w:w="653"/>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易金额</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获批的</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交易额 度（万</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福建省财 政信息中 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 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以上的 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向关联 人销售 产品、 提供劳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 发与销 售、技术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参照市 场价格 公允定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参考同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 xml:space="preserve">巨潮资 讯网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r>
              <w:rPr>
                <w:rFonts w:ascii="Times New Roman" w:eastAsia="Times New Roman" w:hAnsi="Times New Roman" w:cs="Times New Roman"/>
                <w:color w:val="000000"/>
                <w:spacing w:val="0"/>
                <w:w w:val="100"/>
                <w:position w:val="0"/>
              </w:rPr>
              <w:t xml:space="preserve"> ninfo.c om.cn</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p>
          <w:p>
            <w:pPr>
              <w:pStyle w:val="Style24"/>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-012</w:t>
            </w: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1,492.3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4"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日召开的第二届董事会第五次会议审议通过《关于公司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年度日常关联交易额度追溯确认及</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年度日常关联交易额度的议案》，根据公司业 务发展需要，将增加与福建省财政信息中心</w:t>
            </w:r>
            <w:r>
              <w:rPr>
                <w:rFonts w:ascii="Times New Roman" w:eastAsia="Times New Roman" w:hAnsi="Times New Roman" w:cs="Times New Roman"/>
                <w:color w:val="000000"/>
                <w:spacing w:val="0"/>
                <w:w w:val="100"/>
                <w:position w:val="0"/>
              </w:rPr>
              <w:t>2016</w:t>
            </w:r>
            <w:r>
              <w:rPr>
                <w:color w:val="000000"/>
                <w:spacing w:val="0"/>
                <w:w w:val="100"/>
                <w:position w:val="0"/>
              </w:rPr>
              <w:t>年日常关联交易额度预计，</w:t>
            </w:r>
            <w:r>
              <w:rPr>
                <w:rFonts w:ascii="Times New Roman" w:eastAsia="Times New Roman" w:hAnsi="Times New Roman" w:cs="Times New Roman"/>
                <w:color w:val="000000"/>
                <w:spacing w:val="0"/>
                <w:w w:val="100"/>
                <w:position w:val="0"/>
              </w:rPr>
              <w:t>2016</w:t>
            </w:r>
            <w:r>
              <w:rPr>
                <w:color w:val="000000"/>
                <w:spacing w:val="0"/>
                <w:w w:val="100"/>
                <w:position w:val="0"/>
              </w:rPr>
              <w:t>年 度预计与福建省财政信息中心发生的关联交易总金额为不超过</w:t>
            </w:r>
            <w:r>
              <w:rPr>
                <w:rFonts w:ascii="Times New Roman" w:eastAsia="Times New Roman" w:hAnsi="Times New Roman" w:cs="Times New Roman"/>
                <w:color w:val="000000"/>
                <w:spacing w:val="0"/>
                <w:w w:val="100"/>
                <w:position w:val="0"/>
              </w:rPr>
              <w:t>2,000</w:t>
            </w:r>
            <w:r>
              <w:rPr>
                <w:color w:val="000000"/>
                <w:spacing w:val="0"/>
                <w:w w:val="100"/>
                <w:position w:val="0"/>
              </w:rPr>
              <w:t>万元人民币。</w:t>
            </w:r>
          </w:p>
        </w:tc>
      </w:tr>
    </w:tbl>
    <w:tbl>
      <w:tblPr>
        <w:tblOverlap w:val="never"/>
        <w:jc w:val="center"/>
        <w:tblLayout w:type="fixed"/>
      </w:tblPr>
      <w:tblGrid>
        <w:gridCol w:w="2861"/>
        <w:gridCol w:w="6787"/>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t>资产或股权收购、出售发生的关联交易</w:t>
      </w:r>
      <w:bookmarkEnd w:id="355"/>
      <w:bookmarkEnd w:id="356"/>
      <w:bookmarkEnd w:id="35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共同对外投资的关联交易</w:t>
      </w:r>
      <w:bookmarkEnd w:id="359"/>
      <w:bookmarkEnd w:id="360"/>
      <w:bookmarkEnd w:id="36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w:t>
        <w:tab/>
        <w:t>关联债权债务往来</w:t>
      </w:r>
      <w:bookmarkEnd w:id="363"/>
      <w:bookmarkEnd w:id="364"/>
      <w:bookmarkEnd w:id="36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5</w:t>
      </w:r>
      <w:bookmarkEnd w:id="369"/>
      <w:r>
        <w:rPr>
          <w:color w:val="000000"/>
          <w:spacing w:val="0"/>
          <w:w w:val="100"/>
          <w:position w:val="0"/>
        </w:rPr>
        <w:t>、</w:t>
        <w:tab/>
        <w:t>其他重大关联交易</w:t>
      </w:r>
      <w:bookmarkEnd w:id="367"/>
      <w:bookmarkEnd w:id="368"/>
      <w:bookmarkEnd w:id="37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十六、重大合同及其履行情况</w:t>
      </w:r>
      <w:bookmarkEnd w:id="371"/>
      <w:bookmarkEnd w:id="372"/>
      <w:bookmarkEnd w:id="373"/>
    </w:p>
    <w:p>
      <w:pPr>
        <w:pStyle w:val="Style35"/>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、托管、承包、租赁事项情况</w:t>
      </w:r>
      <w:bookmarkEnd w:id="374"/>
      <w:bookmarkEnd w:id="375"/>
      <w:bookmarkEnd w:id="377"/>
    </w:p>
    <w:p>
      <w:pPr>
        <w:pStyle w:val="Style35"/>
        <w:keepNext/>
        <w:keepLines/>
        <w:widowControl w:val="0"/>
        <w:shd w:val="clear" w:color="auto" w:fill="auto"/>
        <w:tabs>
          <w:tab w:pos="488" w:val="left"/>
        </w:tabs>
        <w:bidi w:val="0"/>
        <w:spacing w:before="0" w:line="240" w:lineRule="auto"/>
        <w:ind w:left="0" w:right="0" w:firstLine="0"/>
        <w:jc w:val="left"/>
      </w:pPr>
      <w:bookmarkStart w:id="374" w:name="bookmark374"/>
      <w:bookmarkStart w:id="375" w:name="bookmark375"/>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4"/>
      <w:bookmarkEnd w:id="375"/>
      <w:bookmarkEnd w:id="37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5"/>
        <w:keepNext/>
        <w:keepLines/>
        <w:widowControl w:val="0"/>
        <w:shd w:val="clear" w:color="auto" w:fill="auto"/>
        <w:tabs>
          <w:tab w:pos="48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0"/>
      <w:bookmarkEnd w:id="381"/>
      <w:bookmarkEnd w:id="38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5"/>
        <w:keepNext/>
        <w:keepLines/>
        <w:widowControl w:val="0"/>
        <w:shd w:val="clear" w:color="auto" w:fill="auto"/>
        <w:tabs>
          <w:tab w:pos="488"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4"/>
      <w:bookmarkEnd w:id="385"/>
      <w:bookmarkEnd w:id="38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after="24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31"/>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公司报告期不存在担保情况。</w:t>
      </w:r>
    </w:p>
    <w:p>
      <w:pPr>
        <w:pStyle w:val="Style35"/>
        <w:keepNext/>
        <w:keepLines/>
        <w:widowControl w:val="0"/>
        <w:shd w:val="clear" w:color="auto" w:fill="auto"/>
        <w:tabs>
          <w:tab w:pos="378" w:val="left"/>
        </w:tabs>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委托他人进行现金资产管理情况</w:t>
      </w:r>
      <w:bookmarkEnd w:id="392"/>
      <w:bookmarkEnd w:id="393"/>
      <w:bookmarkEnd w:id="395"/>
    </w:p>
    <w:p>
      <w:pPr>
        <w:pStyle w:val="Style35"/>
        <w:keepNext/>
        <w:keepLines/>
        <w:widowControl w:val="0"/>
        <w:numPr>
          <w:ilvl w:val="0"/>
          <w:numId w:val="7"/>
        </w:numPr>
        <w:shd w:val="clear" w:color="auto" w:fill="auto"/>
        <w:tabs>
          <w:tab w:pos="488" w:val="left"/>
        </w:tabs>
        <w:bidi w:val="0"/>
        <w:spacing w:before="0" w:after="240" w:line="240" w:lineRule="auto"/>
        <w:ind w:left="0" w:right="0" w:firstLine="0"/>
        <w:jc w:val="left"/>
      </w:pPr>
      <w:bookmarkStart w:id="392" w:name="bookmark392"/>
      <w:bookmarkStart w:id="393" w:name="bookmark393"/>
      <w:bookmarkStart w:id="396" w:name="bookmark396"/>
      <w:bookmarkStart w:id="397" w:name="bookmark397"/>
      <w:bookmarkEnd w:id="396"/>
      <w:r>
        <w:rPr>
          <w:color w:val="000000"/>
          <w:spacing w:val="0"/>
          <w:w w:val="100"/>
          <w:position w:val="0"/>
        </w:rPr>
        <w:t>委托理财情况</w:t>
      </w:r>
      <w:bookmarkEnd w:id="392"/>
      <w:bookmarkEnd w:id="393"/>
      <w:bookmarkEnd w:id="397"/>
    </w:p>
    <w:p>
      <w:pPr>
        <w:pStyle w:val="Style31"/>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公司报告期不存在委托理财。</w:t>
      </w:r>
    </w:p>
    <w:p>
      <w:pPr>
        <w:pStyle w:val="Style35"/>
        <w:keepNext/>
        <w:keepLines/>
        <w:widowControl w:val="0"/>
        <w:numPr>
          <w:ilvl w:val="0"/>
          <w:numId w:val="7"/>
        </w:numPr>
        <w:shd w:val="clear" w:color="auto" w:fill="auto"/>
        <w:tabs>
          <w:tab w:pos="488" w:val="left"/>
        </w:tabs>
        <w:bidi w:val="0"/>
        <w:spacing w:before="0" w:after="240" w:line="240" w:lineRule="auto"/>
        <w:ind w:left="0" w:right="0" w:firstLine="0"/>
        <w:jc w:val="left"/>
      </w:pPr>
      <w:bookmarkStart w:id="398" w:name="bookmark398"/>
      <w:bookmarkStart w:id="399" w:name="bookmark399"/>
      <w:bookmarkStart w:id="400" w:name="bookmark400"/>
      <w:bookmarkStart w:id="401" w:name="bookmark401"/>
      <w:bookmarkEnd w:id="400"/>
      <w:r>
        <w:rPr>
          <w:color w:val="000000"/>
          <w:spacing w:val="0"/>
          <w:w w:val="100"/>
          <w:position w:val="0"/>
        </w:rPr>
        <w:t>委托贷款情况</w:t>
      </w:r>
      <w:bookmarkEnd w:id="398"/>
      <w:bookmarkEnd w:id="399"/>
      <w:bookmarkEnd w:id="401"/>
    </w:p>
    <w:p>
      <w:pPr>
        <w:pStyle w:val="Style31"/>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公司报告期不存在委托贷款。</w:t>
      </w:r>
    </w:p>
    <w:p>
      <w:pPr>
        <w:pStyle w:val="Style35"/>
        <w:keepNext/>
        <w:keepLines/>
        <w:widowControl w:val="0"/>
        <w:shd w:val="clear" w:color="auto" w:fill="auto"/>
        <w:tabs>
          <w:tab w:pos="378" w:val="left"/>
        </w:tabs>
        <w:bidi w:val="0"/>
        <w:spacing w:before="0" w:after="24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w:t>
        <w:tab/>
        <w:t>其他重大合同</w:t>
      </w:r>
      <w:bookmarkEnd w:id="402"/>
      <w:bookmarkEnd w:id="403"/>
      <w:bookmarkEnd w:id="405"/>
    </w:p>
    <w:p>
      <w:pPr>
        <w:pStyle w:val="Style31"/>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29"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十七、社会责任情况</w:t>
      </w:r>
      <w:bookmarkEnd w:id="406"/>
      <w:bookmarkEnd w:id="407"/>
      <w:bookmarkEnd w:id="408"/>
    </w:p>
    <w:p>
      <w:pPr>
        <w:pStyle w:val="Style35"/>
        <w:keepNext/>
        <w:keepLines/>
        <w:widowControl w:val="0"/>
        <w:shd w:val="clear" w:color="auto" w:fill="auto"/>
        <w:tabs>
          <w:tab w:pos="368" w:val="left"/>
        </w:tabs>
        <w:bidi w:val="0"/>
        <w:spacing w:before="0" w:after="24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履行精准扶贫社会责任情况</w:t>
      </w:r>
      <w:bookmarkEnd w:id="409"/>
      <w:bookmarkEnd w:id="410"/>
      <w:bookmarkEnd w:id="412"/>
    </w:p>
    <w:p>
      <w:pPr>
        <w:pStyle w:val="Style31"/>
        <w:keepNext w:val="0"/>
        <w:keepLines w:val="0"/>
        <w:widowControl w:val="0"/>
        <w:shd w:val="clear" w:color="auto" w:fill="auto"/>
        <w:bidi w:val="0"/>
        <w:spacing w:before="0" w:after="360" w:line="329" w:lineRule="exact"/>
        <w:ind w:left="0" w:right="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378" w:val="left"/>
        </w:tabs>
        <w:bidi w:val="0"/>
        <w:spacing w:before="0" w:after="24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履行其他社会责任的情况</w:t>
      </w:r>
      <w:bookmarkEnd w:id="413"/>
      <w:bookmarkEnd w:id="414"/>
      <w:bookmarkEnd w:id="416"/>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的要求，及时、准确、真实、完整地进行信息披露，通过投资者电话、电子邮箱、公司网站和投资者关系互动平台等多种方 式与投资者进行沟通交流，提高了公司的透明度和诚信度。公司非常重视对投资者的合理回报，制定了相对稳定的利润分配 政策和分红方案以回报股东。</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公司一直坚持以人为本的人才理念，实施企业人才战略，严格遵守《劳动法》、《劳动合同法》等相关法律法规，尊 重和维护员工的个人权益，切实关注员工健康、安全和满意度；通过知识技能的理论培训及实践操作技能培训等方式使员工 得到切实的提高和发展，维护员工权益。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1"/>
        <w:keepNext w:val="0"/>
        <w:keepLines w:val="0"/>
        <w:widowControl w:val="0"/>
        <w:shd w:val="clear" w:color="auto" w:fill="auto"/>
        <w:bidi w:val="0"/>
        <w:spacing w:before="0" w:after="0" w:line="329"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29"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是否发布社会责任报告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十八、其他重大事项的说明</w:t>
      </w:r>
      <w:bookmarkEnd w:id="417"/>
      <w:bookmarkEnd w:id="418"/>
      <w:bookmarkEnd w:id="419"/>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十九、公司子公司重大事项</w:t>
      </w:r>
      <w:bookmarkEnd w:id="420"/>
      <w:bookmarkEnd w:id="421"/>
      <w:bookmarkEnd w:id="42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23" w:name="bookmark423"/>
      <w:bookmarkStart w:id="424" w:name="bookmark424"/>
      <w:bookmarkStart w:id="425" w:name="bookmark425"/>
      <w:bookmarkStart w:id="426" w:name="bookmark426"/>
      <w:r>
        <w:rPr>
          <w:color w:val="000000"/>
          <w:spacing w:val="0"/>
          <w:w w:val="100"/>
          <w:position w:val="0"/>
        </w:rPr>
        <w:t>第六节股份变动及股东情况</w:t>
      </w:r>
      <w:bookmarkEnd w:id="424"/>
      <w:bookmarkEnd w:id="425"/>
      <w:bookmarkEnd w:id="426"/>
      <w:bookmarkEnd w:id="423"/>
    </w:p>
    <w:p>
      <w:pPr>
        <w:pStyle w:val="Style27"/>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、股份变动情况</w:t>
      </w:r>
      <w:bookmarkEnd w:id="427"/>
      <w:bookmarkEnd w:id="428"/>
      <w:bookmarkEnd w:id="430"/>
    </w:p>
    <w:p>
      <w:pPr>
        <w:pStyle w:val="Style35"/>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、股份变动情况</w:t>
      </w:r>
      <w:bookmarkEnd w:id="431"/>
      <w:bookmarkEnd w:id="432"/>
      <w:bookmarkEnd w:id="4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51,039,00</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51,039,00</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7,290,674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43,748,32</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43,748,32</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3,914,228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3,914,228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39,834,09</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39,834,09</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51,039,00</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17,100,00</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68,139,00</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股份变动的原因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color w:val="000000"/>
          <w:spacing w:val="0"/>
          <w:w w:val="100"/>
          <w:position w:val="0"/>
        </w:rPr>
        <w:t>报告期内，股份变动的原因是公司公开发行人民币普通股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1,710</w:t>
      </w:r>
      <w:r>
        <w:rPr>
          <w:color w:val="000000"/>
          <w:spacing w:val="0"/>
          <w:w w:val="100"/>
          <w:position w:val="0"/>
        </w:rPr>
        <w:t>万股。 股份变动的批准情况</w:t>
      </w:r>
    </w:p>
    <w:p>
      <w:pPr>
        <w:pStyle w:val="Style31"/>
        <w:keepNext w:val="0"/>
        <w:keepLines w:val="0"/>
        <w:widowControl w:val="0"/>
        <w:shd w:val="clear" w:color="auto" w:fill="auto"/>
        <w:bidi w:val="0"/>
        <w:spacing w:before="0" w:after="40" w:line="36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[2016]1457</w:t>
      </w:r>
      <w:r>
        <w:rPr>
          <w:color w:val="000000"/>
          <w:spacing w:val="0"/>
          <w:w w:val="100"/>
          <w:position w:val="0"/>
        </w:rPr>
        <w:t>号文《关于核准福建博思软件股份有限公司首次公开发行股票的批复》的核 准，公司公开发行人民币普通股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1,710</w:t>
      </w:r>
      <w:r>
        <w:rPr>
          <w:color w:val="000000"/>
          <w:spacing w:val="0"/>
          <w:w w:val="100"/>
          <w:position w:val="0"/>
        </w:rPr>
        <w:t>万股，并于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日在深圳证券交易所创业板上市。</w:t>
      </w:r>
    </w:p>
    <w:p>
      <w:pPr>
        <w:pStyle w:val="Style3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7" w:lineRule="exact"/>
        <w:ind w:left="0" w:right="0" w:firstLine="0"/>
        <w:jc w:val="both"/>
      </w:pPr>
      <w:r>
        <w:rPr>
          <w:color w:val="000000"/>
          <w:spacing w:val="0"/>
          <w:w w:val="100"/>
          <w:position w:val="0"/>
        </w:rPr>
        <w:t>报告期内，公司首次公开发行人民币普通股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1,710</w:t>
      </w:r>
      <w:r>
        <w:rPr>
          <w:color w:val="000000"/>
          <w:spacing w:val="0"/>
          <w:w w:val="100"/>
          <w:position w:val="0"/>
        </w:rPr>
        <w:t>万股，新增股份已全部在中国证券登记结算有限责任公司深圳 分公司办理股份登记手续。</w:t>
      </w:r>
    </w:p>
    <w:p>
      <w:pPr>
        <w:pStyle w:val="Style3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日发行新股，总股本由</w:t>
      </w:r>
      <w:r>
        <w:rPr>
          <w:rFonts w:ascii="Times New Roman" w:eastAsia="Times New Roman" w:hAnsi="Times New Roman" w:cs="Times New Roman"/>
          <w:color w:val="000000"/>
          <w:spacing w:val="0"/>
          <w:w w:val="100"/>
          <w:position w:val="0"/>
        </w:rPr>
        <w:t>5,103.90</w:t>
      </w:r>
      <w:r>
        <w:rPr>
          <w:color w:val="000000"/>
          <w:spacing w:val="0"/>
          <w:w w:val="100"/>
          <w:position w:val="0"/>
        </w:rPr>
        <w:t>万股增加至</w:t>
      </w:r>
      <w:r>
        <w:rPr>
          <w:rFonts w:ascii="Times New Roman" w:eastAsia="Times New Roman" w:hAnsi="Times New Roman" w:cs="Times New Roman"/>
          <w:color w:val="000000"/>
          <w:spacing w:val="0"/>
          <w:w w:val="100"/>
          <w:position w:val="0"/>
        </w:rPr>
        <w:t>6,813.90</w:t>
      </w:r>
      <w:r>
        <w:rPr>
          <w:color w:val="000000"/>
          <w:spacing w:val="0"/>
          <w:w w:val="100"/>
          <w:position w:val="0"/>
        </w:rPr>
        <w:t>万股。本次股份变动，对公司最近一期的基本每股收 益、稀释每股收益及归属于公司普通股东的每股净资产等财务指标的影响情况如下：报告期公司基本每股收益、稀释每股收 益均为</w:t>
      </w:r>
      <w:r>
        <w:rPr>
          <w:rFonts w:ascii="Times New Roman" w:eastAsia="Times New Roman" w:hAnsi="Times New Roman" w:cs="Times New Roman"/>
          <w:color w:val="000000"/>
          <w:spacing w:val="0"/>
          <w:w w:val="100"/>
          <w:position w:val="0"/>
        </w:rPr>
        <w:t>0.66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股，比去年同期下降</w:t>
      </w:r>
      <w:r>
        <w:rPr>
          <w:rFonts w:ascii="Times New Roman" w:eastAsia="Times New Roman" w:hAnsi="Times New Roman" w:cs="Times New Roman"/>
          <w:color w:val="000000"/>
          <w:spacing w:val="0"/>
          <w:w w:val="100"/>
          <w:position w:val="0"/>
        </w:rPr>
        <w:t>8.33%</w:t>
      </w:r>
      <w:r>
        <w:rPr>
          <w:color w:val="000000"/>
          <w:spacing w:val="0"/>
          <w:w w:val="100"/>
          <w:position w:val="0"/>
        </w:rPr>
        <w:t>，报告期末归属于公司普通股东的每股净资产为</w:t>
      </w:r>
      <w:r>
        <w:rPr>
          <w:rFonts w:ascii="Times New Roman" w:eastAsia="Times New Roman" w:hAnsi="Times New Roman" w:cs="Times New Roman"/>
          <w:color w:val="000000"/>
          <w:spacing w:val="0"/>
          <w:w w:val="100"/>
          <w:position w:val="0"/>
        </w:rPr>
        <w:t>6.20</w:t>
      </w:r>
      <w:r>
        <w:rPr>
          <w:color w:val="000000"/>
          <w:spacing w:val="0"/>
          <w:w w:val="100"/>
          <w:position w:val="0"/>
        </w:rPr>
        <w:t>元，较上期末增长</w:t>
      </w:r>
      <w:r>
        <w:rPr>
          <w:rFonts w:ascii="Times New Roman" w:eastAsia="Times New Roman" w:hAnsi="Times New Roman" w:cs="Times New Roman"/>
          <w:color w:val="000000"/>
          <w:spacing w:val="0"/>
          <w:w w:val="100"/>
          <w:position w:val="0"/>
        </w:rPr>
        <w:t>39.33%</w:t>
      </w:r>
      <w:r>
        <w:rPr>
          <w:color w:val="000000"/>
          <w:spacing w:val="0"/>
          <w:w w:val="100"/>
          <w:position w:val="0"/>
        </w:rPr>
        <w:t>。</w:t>
      </w:r>
    </w:p>
    <w:p>
      <w:pPr>
        <w:pStyle w:val="Style3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、限售股份变动情况</w:t>
      </w:r>
      <w:bookmarkEnd w:id="435"/>
      <w:bookmarkEnd w:id="436"/>
      <w:bookmarkEnd w:id="438"/>
    </w:p>
    <w:p>
      <w:pPr>
        <w:pStyle w:val="Style31"/>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6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福建省财政信息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5,580,674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北京实地创业投 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2,552,756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2,479,755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2,133,808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全国社会保障基 金理事会转持二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1,641,584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1,547,557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1,422,252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r>
    </w:tbl>
    <w:p>
      <w:pPr>
        <w:spacing w:lineRule="exact" w:line="1"/>
        <w:rPr>
          <w:sz w:val="2"/>
          <w:szCs w:val="2"/>
        </w:rPr>
      </w:pPr>
      <w:r>
        <w:br w:type="page"/>
      </w:r>
    </w:p>
    <w:tbl>
      <w:tblPr>
        <w:tblOverlap w:val="never"/>
        <w:jc w:val="center"/>
        <w:tblLayout w:type="fixed"/>
      </w:tblPr>
      <w:tblGrid>
        <w:gridCol w:w="1368"/>
        <w:gridCol w:w="1368"/>
        <w:gridCol w:w="1368"/>
        <w:gridCol w:w="1373"/>
        <w:gridCol w:w="1368"/>
        <w:gridCol w:w="1368"/>
        <w:gridCol w:w="136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福州市鼓楼区创 博投资管理中心</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12,120,104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12,120,104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51,039,000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sz w:val="24"/>
          <w:szCs w:val="24"/>
        </w:rPr>
        <w:t>二</w:t>
      </w:r>
      <w:bookmarkEnd w:id="441"/>
      <w:r>
        <w:rPr>
          <w:color w:val="000000"/>
          <w:spacing w:val="0"/>
          <w:w w:val="100"/>
          <w:position w:val="0"/>
          <w:sz w:val="24"/>
          <w:szCs w:val="24"/>
        </w:rPr>
        <w:t>、证券发行与上市情况</w:t>
      </w:r>
      <w:bookmarkEnd w:id="439"/>
      <w:bookmarkEnd w:id="440"/>
      <w:bookmarkEnd w:id="442"/>
    </w:p>
    <w:p>
      <w:pPr>
        <w:pStyle w:val="Style35"/>
        <w:keepNext/>
        <w:keepLines/>
        <w:widowControl w:val="0"/>
        <w:shd w:val="clear" w:color="auto" w:fill="auto"/>
        <w:bidi w:val="0"/>
        <w:spacing w:before="0" w:after="34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、报告期内证券发行（不含优先股）情况</w:t>
      </w:r>
      <w:bookmarkEnd w:id="443"/>
      <w:bookmarkEnd w:id="444"/>
      <w:bookmarkEnd w:id="44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报告期内，经中国证券监督管理委员会证监许可</w:t>
      </w:r>
      <w:r>
        <w:rPr>
          <w:rFonts w:ascii="Times New Roman" w:eastAsia="Times New Roman" w:hAnsi="Times New Roman" w:cs="Times New Roman"/>
          <w:color w:val="000000"/>
          <w:spacing w:val="0"/>
          <w:w w:val="100"/>
          <w:position w:val="0"/>
        </w:rPr>
        <w:t>[2016]1457</w:t>
      </w:r>
      <w:r>
        <w:rPr>
          <w:color w:val="000000"/>
          <w:spacing w:val="0"/>
          <w:w w:val="100"/>
          <w:position w:val="0"/>
        </w:rPr>
        <w:t>号文《关于核准福建博思软件股份有限公司首次公开发行股票的 批复》的核准，公司公开发行人民币普通股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1,710</w:t>
      </w:r>
      <w:r>
        <w:rPr>
          <w:color w:val="000000"/>
          <w:spacing w:val="0"/>
          <w:w w:val="100"/>
          <w:position w:val="0"/>
        </w:rPr>
        <w:t>万股，并于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日在深圳证券交易所创业板上市。新增股 份已全部在中国证券登记结算有限责任公司深圳分公司办理股份登记手续。</w:t>
      </w:r>
    </w:p>
    <w:p>
      <w:pPr>
        <w:pStyle w:val="Style35"/>
        <w:keepNext/>
        <w:keepLines/>
        <w:widowControl w:val="0"/>
        <w:shd w:val="clear" w:color="auto" w:fill="auto"/>
        <w:bidi w:val="0"/>
        <w:spacing w:before="0" w:after="340" w:line="240" w:lineRule="auto"/>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、公司股份总数及股东结构的变动、公司资产和负债结构的变动情况说明</w:t>
      </w:r>
      <w:bookmarkEnd w:id="447"/>
      <w:bookmarkEnd w:id="448"/>
      <w:bookmarkEnd w:id="450"/>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40" w:line="310" w:lineRule="exact"/>
        <w:ind w:left="0" w:right="0" w:firstLine="0"/>
        <w:jc w:val="both"/>
      </w:pPr>
      <w:r>
        <w:rPr>
          <w:color w:val="000000"/>
          <w:spacing w:val="0"/>
          <w:w w:val="100"/>
          <w:position w:val="0"/>
        </w:rPr>
        <w:t>报告期内，经中国证券监督管理委员会证监许可</w:t>
      </w:r>
      <w:r>
        <w:rPr>
          <w:rFonts w:ascii="Times New Roman" w:eastAsia="Times New Roman" w:hAnsi="Times New Roman" w:cs="Times New Roman"/>
          <w:color w:val="000000"/>
          <w:spacing w:val="0"/>
          <w:w w:val="100"/>
          <w:position w:val="0"/>
        </w:rPr>
        <w:t>[2016]1457</w:t>
      </w:r>
      <w:r>
        <w:rPr>
          <w:color w:val="000000"/>
          <w:spacing w:val="0"/>
          <w:w w:val="100"/>
          <w:position w:val="0"/>
        </w:rPr>
        <w:t>号文《关于核准福建博思软件股份有限公司首次公开发行股票的 批复》的核准，公司公开发行人民币普通股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1,710</w:t>
      </w:r>
      <w:r>
        <w:rPr>
          <w:color w:val="000000"/>
          <w:spacing w:val="0"/>
          <w:w w:val="100"/>
          <w:position w:val="0"/>
        </w:rPr>
        <w:t>万股，并于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日在深圳证券交易所创业板上市。新股发 行，导致公司股份总数从</w:t>
      </w:r>
      <w:r>
        <w:rPr>
          <w:rFonts w:ascii="Times New Roman" w:eastAsia="Times New Roman" w:hAnsi="Times New Roman" w:cs="Times New Roman"/>
          <w:color w:val="000000"/>
          <w:spacing w:val="0"/>
          <w:w w:val="100"/>
          <w:position w:val="0"/>
        </w:rPr>
        <w:t>5103.9</w:t>
      </w:r>
      <w:r>
        <w:rPr>
          <w:color w:val="000000"/>
          <w:spacing w:val="0"/>
          <w:w w:val="100"/>
          <w:position w:val="0"/>
        </w:rPr>
        <w:t>万股增加至</w:t>
      </w:r>
      <w:r>
        <w:rPr>
          <w:rFonts w:ascii="Times New Roman" w:eastAsia="Times New Roman" w:hAnsi="Times New Roman" w:cs="Times New Roman"/>
          <w:color w:val="000000"/>
          <w:spacing w:val="0"/>
          <w:w w:val="100"/>
          <w:position w:val="0"/>
        </w:rPr>
        <w:t>6813.9</w:t>
      </w:r>
      <w:r>
        <w:rPr>
          <w:color w:val="000000"/>
          <w:spacing w:val="0"/>
          <w:w w:val="100"/>
          <w:position w:val="0"/>
        </w:rPr>
        <w:t>万股，新股发行募集资金净额</w:t>
      </w:r>
      <w:r>
        <w:rPr>
          <w:rFonts w:ascii="Times New Roman" w:eastAsia="Times New Roman" w:hAnsi="Times New Roman" w:cs="Times New Roman"/>
          <w:color w:val="000000"/>
          <w:spacing w:val="0"/>
          <w:w w:val="100"/>
          <w:position w:val="0"/>
        </w:rPr>
        <w:t>16,891.8</w:t>
      </w:r>
      <w:r>
        <w:rPr>
          <w:rFonts w:ascii="Times New Roman" w:eastAsia="Times New Roman" w:hAnsi="Times New Roman" w:cs="Times New Roman"/>
          <w:color w:val="000000"/>
          <w:spacing w:val="0"/>
          <w:w w:val="100"/>
          <w:position w:val="0"/>
        </w:rPr>
        <w:t>0</w:t>
      </w:r>
      <w:r>
        <w:rPr>
          <w:color w:val="000000"/>
          <w:spacing w:val="0"/>
          <w:w w:val="100"/>
          <w:position w:val="0"/>
        </w:rPr>
        <w:t>万元，导致公司资产大幅增加。</w:t>
      </w:r>
      <w:r>
        <w:br w:type="page"/>
      </w:r>
    </w:p>
    <w:p>
      <w:pPr>
        <w:pStyle w:val="Style35"/>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、现存的内部职工股情况</w:t>
      </w:r>
      <w:bookmarkEnd w:id="451"/>
      <w:bookmarkEnd w:id="452"/>
      <w:bookmarkEnd w:id="45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三</w:t>
      </w:r>
      <w:bookmarkEnd w:id="457"/>
      <w:r>
        <w:rPr>
          <w:color w:val="000000"/>
          <w:spacing w:val="0"/>
          <w:w w:val="100"/>
          <w:position w:val="0"/>
          <w:sz w:val="24"/>
          <w:szCs w:val="24"/>
        </w:rPr>
        <w:t>、股东和实际控制人情况</w:t>
      </w:r>
      <w:bookmarkEnd w:id="455"/>
      <w:bookmarkEnd w:id="456"/>
      <w:bookmarkEnd w:id="458"/>
    </w:p>
    <w:p>
      <w:pPr>
        <w:pStyle w:val="Style35"/>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、公司股东数量及持股情况</w:t>
      </w:r>
      <w:bookmarkEnd w:id="459"/>
      <w:bookmarkEnd w:id="460"/>
      <w:bookmarkEnd w:id="4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6"/>
        <w:gridCol w:w="456"/>
        <w:gridCol w:w="797"/>
        <w:gridCol w:w="826"/>
        <w:gridCol w:w="312"/>
        <w:gridCol w:w="1037"/>
        <w:gridCol w:w="293"/>
        <w:gridCol w:w="1061"/>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12,857</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11,035</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年度报告披露日 前上一月末表决 权恢复的优先股 股东总数（如有）</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14,295,65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14,295,65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福建省财政信息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5,580,674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北京实地创业投 资有限公司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2,552,756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2,552,756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2,552,756</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2,479,755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2,479,755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2,133,808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1,817,106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全国社会保障基 金理事会转持二 户</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1,641,584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1,641,584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169,100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1,547,557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1,547,557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1,422,252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502,100</w:t>
            </w:r>
          </w:p>
        </w:tc>
      </w:tr>
      <w:tr>
        <w:trPr>
          <w:trHeight w:val="1027"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陈航与上述股东中肖勇、余双兴、郑升尉、叶章明为一致行动人。</w:t>
            </w:r>
          </w:p>
        </w:tc>
      </w:tr>
      <w:tr>
        <w:trPr>
          <w:trHeight w:val="408" w:hRule="exact"/>
        </w:trPr>
        <w:tc>
          <w:tcPr>
            <w:gridSpan w:val="14"/>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2885"/>
        <w:gridCol w:w="3989"/>
        <w:gridCol w:w="1349"/>
        <w:gridCol w:w="135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773,480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773,480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广发证券股份有限公司一宝盈睿丰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创新灵活配置混合型证券投资基金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519,966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519,966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华宝信托有限责任公司一</w:t>
            </w:r>
            <w:r>
              <w:rPr>
                <w:rFonts w:ascii="Times New Roman" w:eastAsia="Times New Roman" w:hAnsi="Times New Roman" w:cs="Times New Roman"/>
                <w:color w:val="000000"/>
                <w:spacing w:val="0"/>
                <w:w w:val="100"/>
                <w:position w:val="0"/>
              </w:rPr>
              <w:t>“</w:t>
            </w:r>
            <w:r>
              <w:rPr>
                <w:color w:val="000000"/>
                <w:spacing w:val="0"/>
                <w:w w:val="100"/>
                <w:position w:val="0"/>
              </w:rPr>
              <w:t>华宝丰 进</w:t>
            </w:r>
            <w:r>
              <w:rPr>
                <w:rFonts w:ascii="Times New Roman" w:eastAsia="Times New Roman" w:hAnsi="Times New Roman" w:cs="Times New Roman"/>
                <w:color w:val="000000"/>
                <w:spacing w:val="0"/>
                <w:w w:val="100"/>
                <w:position w:val="0"/>
              </w:rPr>
              <w:t>”21</w:t>
            </w:r>
            <w:r>
              <w:rPr>
                <w:color w:val="000000"/>
                <w:spacing w:val="0"/>
                <w:w w:val="100"/>
                <w:position w:val="0"/>
              </w:rPr>
              <w:t>号单一资金信托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283,743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283,743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276,000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戴震球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中国银行股份有限公司一宝盈国家 安全战略沪港深股票型证券投资基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189,944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189,944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华宝信托有限责任公司一</w:t>
            </w:r>
            <w:r>
              <w:rPr>
                <w:rFonts w:ascii="Times New Roman" w:eastAsia="Times New Roman" w:hAnsi="Times New Roman" w:cs="Times New Roman"/>
                <w:color w:val="000000"/>
                <w:spacing w:val="0"/>
                <w:w w:val="100"/>
                <w:position w:val="0"/>
              </w:rPr>
              <w:t>“</w:t>
            </w:r>
            <w:r>
              <w:rPr>
                <w:color w:val="000000"/>
                <w:spacing w:val="0"/>
                <w:w w:val="100"/>
                <w:position w:val="0"/>
              </w:rPr>
              <w:t>华宝丰 进</w:t>
            </w:r>
            <w:r>
              <w:rPr>
                <w:rFonts w:ascii="Times New Roman" w:eastAsia="Times New Roman" w:hAnsi="Times New Roman" w:cs="Times New Roman"/>
                <w:color w:val="000000"/>
                <w:spacing w:val="0"/>
                <w:w w:val="100"/>
                <w:position w:val="0"/>
              </w:rPr>
              <w:t>”81</w:t>
            </w:r>
            <w:r>
              <w:rPr>
                <w:color w:val="000000"/>
                <w:spacing w:val="0"/>
                <w:w w:val="100"/>
                <w:position w:val="0"/>
              </w:rPr>
              <w:t>号单一资金信托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185,832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185,832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中国农业银行股份有限公司一中邮 创新优势灵活配置混合型证券投资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171,456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171,456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东兴期货有限责任公司一深浪佳投 一号资产管理计划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166,057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166,057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中国银行股份有限公司一华宝兴业 国策导向混合型证券投资基金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名无限售流通股股东之间是否存在关联关系，也未知是否属于一致行 动人。</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公司股东戴震球除通过普通证券账户持有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股外，还通过中国银河证券股份有限公司 客户信用交易担保证券账户持有</w:t>
            </w:r>
            <w:r>
              <w:rPr>
                <w:rFonts w:ascii="Times New Roman" w:eastAsia="Times New Roman" w:hAnsi="Times New Roman" w:cs="Times New Roman"/>
                <w:color w:val="000000"/>
                <w:spacing w:val="0"/>
                <w:w w:val="100"/>
                <w:position w:val="0"/>
              </w:rPr>
              <w:t>240,000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240,000</w:t>
            </w:r>
            <w:r>
              <w:rPr>
                <w:color w:val="000000"/>
                <w:spacing w:val="0"/>
                <w:w w:val="100"/>
                <w:position w:val="0"/>
              </w:rPr>
              <w:t>股。</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、公司控股股东情况</w:t>
      </w:r>
      <w:bookmarkEnd w:id="463"/>
      <w:bookmarkEnd w:id="464"/>
      <w:bookmarkEnd w:id="46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担任福建博思软件股份有限公司董事长，福建华兴科技有限责任公司执行董 事、总经理。</w:t>
            </w:r>
          </w:p>
        </w:tc>
      </w:tr>
    </w:tbl>
    <w:p>
      <w:pPr>
        <w:spacing w:lineRule="exact" w:line="1"/>
        <w:rPr>
          <w:sz w:val="2"/>
          <w:szCs w:val="2"/>
        </w:rPr>
      </w:pPr>
      <w:r>
        <w:br w:type="page"/>
      </w:r>
    </w:p>
    <w:tbl>
      <w:tblPr>
        <w:tblOverlap w:val="never"/>
        <w:jc w:val="center"/>
        <w:tblLayout w:type="fixed"/>
      </w:tblPr>
      <w:tblGrid>
        <w:gridCol w:w="3422"/>
        <w:gridCol w:w="622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、公司实际控制人情况</w:t>
      </w:r>
      <w:bookmarkEnd w:id="467"/>
      <w:bookmarkEnd w:id="468"/>
      <w:bookmarkEnd w:id="47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担任福建博思软件股份有限公司董事长，福建华兴科技有限责任公司执行董事、 总经理。</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0415" cy="21456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145665"/>
                    </a:xfrm>
                    <a:prstGeom prst="rect"/>
                  </pic:spPr>
                </pic:pic>
              </a:graphicData>
            </a:graphic>
          </wp:inline>
        </w:drawing>
      </w:r>
    </w:p>
    <w:p>
      <w:pPr>
        <w:widowControl w:val="0"/>
        <w:spacing w:after="259" w:line="1" w:lineRule="exact"/>
      </w:pPr>
    </w:p>
    <w:p>
      <w:pPr>
        <w:pStyle w:val="Style24"/>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4</w:t>
      </w:r>
      <w:bookmarkEnd w:id="47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1"/>
      <w:bookmarkEnd w:id="472"/>
      <w:bookmarkEnd w:id="474"/>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5</w:t>
      </w:r>
      <w:bookmarkEnd w:id="477"/>
      <w:r>
        <w:rPr>
          <w:color w:val="000000"/>
          <w:spacing w:val="0"/>
          <w:w w:val="100"/>
          <w:position w:val="0"/>
        </w:rPr>
        <w:t>、</w:t>
        <w:tab/>
        <w:t>控股股东、实际控制人、重组方及其他承诺主体股份限制减持情况</w:t>
      </w:r>
      <w:bookmarkEnd w:id="475"/>
      <w:bookmarkEnd w:id="476"/>
      <w:bookmarkEnd w:id="478"/>
    </w:p>
    <w:p>
      <w:pPr>
        <w:pStyle w:val="Style31"/>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报告期内，公司首次公开发行股票，公司控股股东、实际控制人陈航先生股份限制减持承诺如下：</w:t>
      </w:r>
    </w:p>
    <w:p>
      <w:pPr>
        <w:pStyle w:val="Style31"/>
        <w:keepNext w:val="0"/>
        <w:keepLines w:val="0"/>
        <w:widowControl w:val="0"/>
        <w:shd w:val="clear" w:color="auto" w:fill="auto"/>
        <w:tabs>
          <w:tab w:pos="289" w:val="left"/>
        </w:tabs>
        <w:bidi w:val="0"/>
        <w:spacing w:before="0" w:after="40" w:line="310" w:lineRule="exact"/>
        <w:ind w:left="0" w:right="0" w:firstLine="0"/>
        <w:jc w:val="left"/>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本人所持有的公司股票扣除公开发售后（如有）的部分自公司股票上市之日起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个月内，不转让或委托他人管理其发行 前所持公司股份，也不由公司回购该部分股份。所持股票在锁定期后两年内减持的，其减持价格不低于发行价。公司上市后 </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个月期末收盘价低于发行价，本人所持有的公司股 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31"/>
        <w:keepNext w:val="0"/>
        <w:keepLines w:val="0"/>
        <w:widowControl w:val="0"/>
        <w:shd w:val="clear" w:color="auto" w:fill="auto"/>
        <w:tabs>
          <w:tab w:pos="294" w:val="left"/>
        </w:tabs>
        <w:bidi w:val="0"/>
        <w:spacing w:before="0" w:after="40" w:line="318" w:lineRule="exact"/>
        <w:ind w:left="0" w:right="0" w:firstLine="0"/>
        <w:jc w:val="left"/>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除前述锁定期外，在其任职期间每年转让的股份不超过其持有的公司股份总数的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；离职后半年内，不转让其持有的 公司股份；在首次公开发行股票上市之日起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个月内申报离职的，自申报离职之日起</w:t>
      </w:r>
      <w:r>
        <w:rPr>
          <w:rFonts w:ascii="Times New Roman" w:eastAsia="Times New Roman" w:hAnsi="Times New Roman" w:cs="Times New Roman"/>
          <w:color w:val="000000"/>
          <w:spacing w:val="0"/>
          <w:w w:val="100"/>
          <w:position w:val="0"/>
        </w:rPr>
        <w:t>18</w:t>
      </w:r>
      <w:r>
        <w:rPr>
          <w:color w:val="000000"/>
          <w:spacing w:val="0"/>
          <w:w w:val="100"/>
          <w:position w:val="0"/>
        </w:rPr>
        <w:t>个月内不转让其持有的本公司股份； 在首次公开发行股票上市之日起第</w:t>
      </w:r>
      <w:r>
        <w:rPr>
          <w:rFonts w:ascii="Times New Roman" w:eastAsia="Times New Roman" w:hAnsi="Times New Roman" w:cs="Times New Roman"/>
          <w:color w:val="000000"/>
          <w:spacing w:val="0"/>
          <w:w w:val="100"/>
          <w:position w:val="0"/>
        </w:rPr>
        <w:t>7</w:t>
      </w:r>
      <w:r>
        <w:rPr>
          <w:color w:val="000000"/>
          <w:spacing w:val="0"/>
          <w:w w:val="100"/>
          <w:position w:val="0"/>
        </w:rPr>
        <w:t>个月至第</w:t>
      </w:r>
      <w:r>
        <w:rPr>
          <w:rFonts w:ascii="Times New Roman" w:eastAsia="Times New Roman" w:hAnsi="Times New Roman" w:cs="Times New Roman"/>
          <w:color w:val="000000"/>
          <w:spacing w:val="0"/>
          <w:w w:val="100"/>
          <w:position w:val="0"/>
        </w:rPr>
        <w:t>12</w:t>
      </w:r>
      <w:r>
        <w:rPr>
          <w:color w:val="000000"/>
          <w:spacing w:val="0"/>
          <w:w w:val="100"/>
          <w:position w:val="0"/>
        </w:rPr>
        <w:t>个月之间申报离职的，自申报离职之日起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个月内不转让其持有的本公司股 份。</w:t>
      </w:r>
    </w:p>
    <w:p>
      <w:pPr>
        <w:pStyle w:val="Style31"/>
        <w:keepNext w:val="0"/>
        <w:keepLines w:val="0"/>
        <w:widowControl w:val="0"/>
        <w:shd w:val="clear" w:color="auto" w:fill="auto"/>
        <w:tabs>
          <w:tab w:pos="294" w:val="left"/>
        </w:tabs>
        <w:bidi w:val="0"/>
        <w:spacing w:before="0" w:after="40" w:line="314" w:lineRule="exact"/>
        <w:ind w:left="0" w:right="0" w:firstLine="0"/>
        <w:jc w:val="left"/>
        <w:sectPr>
          <w:footnotePr>
            <w:pos w:val="pageBottom"/>
            <w:numFmt w:val="decimal"/>
            <w:numRestart w:val="continuous"/>
          </w:footnotePr>
          <w:pgSz w:w="11900" w:h="16840"/>
          <w:pgMar w:top="1146" w:right="991" w:bottom="1433" w:left="1131" w:header="0" w:footer="3" w:gutter="0"/>
          <w:cols w:space="720"/>
          <w:noEndnote/>
          <w:rtlGutter w:val="0"/>
          <w:docGrid w:linePitch="360"/>
        </w:sectPr>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本人在锁定期满，遵守相关法律、法规、规章、规范性文件及证券交易所交易规则，且不违背本人已作出承诺的情况下, 将根据本人的资金需求、投资安排等各方面要素确定是否减持发行人股份及减持发行人股份的数量，在锁定期（包括延长锁 定期）满两年内，每年转让的股票不超过所持股份的</w:t>
      </w:r>
      <w:r>
        <w:rPr>
          <w:rFonts w:ascii="Times New Roman" w:eastAsia="Times New Roman" w:hAnsi="Times New Roman" w:cs="Times New Roman"/>
          <w:color w:val="000000"/>
          <w:spacing w:val="0"/>
          <w:w w:val="100"/>
          <w:position w:val="0"/>
        </w:rPr>
        <w:t>25%</w:t>
      </w:r>
      <w:r>
        <w:rPr>
          <w:color w:val="000000"/>
          <w:spacing w:val="0"/>
          <w:w w:val="100"/>
          <w:position w:val="0"/>
        </w:rPr>
        <w:t>。本人拟减持发行人股份的，将采取大宗交易、集中竞价或协议转 让等法律允许的方式减持。如本人确定依法减持发行人股份的，将提前</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个交易日予以公告，减持价格不低于首次公开发行 时的发行价。本人减持发行人股票后，将按照相关法律、法规、规章、规范性文件及证券交易所交易规则的规定履行信息披 露义务。</w:t>
      </w:r>
    </w:p>
    <w:p>
      <w:pPr>
        <w:widowControl w:val="0"/>
        <w:spacing w:line="240" w:lineRule="exact"/>
        <w:rPr>
          <w:sz w:val="19"/>
          <w:szCs w:val="19"/>
        </w:rPr>
      </w:pPr>
    </w:p>
    <w:p>
      <w:pPr>
        <w:widowControl w:val="0"/>
        <w:spacing w:line="240" w:lineRule="exact"/>
        <w:rPr>
          <w:sz w:val="19"/>
          <w:szCs w:val="19"/>
        </w:rPr>
      </w:pPr>
    </w:p>
    <w:p>
      <w:pPr>
        <w:widowControl w:val="0"/>
        <w:spacing w:line="1" w:lineRule="exact"/>
        <w:sectPr>
          <w:footnotePr>
            <w:pos w:val="pageBottom"/>
            <w:numFmt w:val="decimal"/>
            <w:numRestart w:val="continuous"/>
          </w:footnotePr>
          <w:pgSz w:w="11900" w:h="16840"/>
          <w:pgMar w:top="1378" w:right="1052" w:bottom="1560" w:left="1070"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2675890</wp:posOffset>
                </wp:positionH>
                <wp:positionV relativeFrom="paragraph">
                  <wp:posOffset>0</wp:posOffset>
                </wp:positionV>
                <wp:extent cx="2164080" cy="243840"/>
                <wp:wrapTopAndBottom/>
                <wp:docPr id="12" name="Shape 12"/>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bookmarkStart w:id="485" w:name="bookmark485"/>
                            <w:r>
                              <w:rPr>
                                <w:color w:val="000000"/>
                                <w:spacing w:val="0"/>
                                <w:w w:val="100"/>
                                <w:position w:val="0"/>
                              </w:rPr>
                              <w:t>第七节优先股相关情况</w:t>
                            </w:r>
                            <w:bookmarkEnd w:id="483"/>
                            <w:bookmarkEnd w:id="484"/>
                            <w:bookmarkEnd w:id="485"/>
                            <w:bookmarkEnd w:id="482"/>
                          </w:p>
                        </w:txbxContent>
                      </wps:txbx>
                      <wps:bodyPr wrap="none" lIns="0" tIns="0" rIns="0" bIns="0">
                        <a:noAutoFit/>
                      </wps:bodyPr>
                    </wps:wsp>
                  </a:graphicData>
                </a:graphic>
              </wp:anchor>
            </w:drawing>
          </mc:Choice>
          <mc:Fallback>
            <w:pict>
              <v:shape id="_x0000_s1038" type="#_x0000_t202" style="position:absolute;margin-left:210.70000000000002pt;margin-top:0;width:170.4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bookmarkStart w:id="485" w:name="bookmark485"/>
                      <w:r>
                        <w:rPr>
                          <w:color w:val="000000"/>
                          <w:spacing w:val="0"/>
                          <w:w w:val="100"/>
                          <w:position w:val="0"/>
                        </w:rPr>
                        <w:t>第七节优先股相关情况</w:t>
                      </w:r>
                      <w:bookmarkEnd w:id="483"/>
                      <w:bookmarkEnd w:id="484"/>
                      <w:bookmarkEnd w:id="485"/>
                      <w:bookmarkEnd w:id="482"/>
                    </w:p>
                  </w:txbxContent>
                </v:textbox>
                <w10:wrap type="topAndBottom" anchorx="page"/>
              </v:shape>
            </w:pict>
          </mc:Fallback>
        </mc:AlternateConten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60" w:line="240" w:lineRule="auto"/>
        <w:ind w:left="0" w:right="0" w:firstLine="0"/>
        <w:jc w:val="center"/>
      </w:pPr>
      <w:bookmarkStart w:id="486" w:name="bookmark486"/>
      <w:bookmarkStart w:id="487" w:name="bookmark487"/>
      <w:bookmarkStart w:id="488" w:name="bookmark488"/>
      <w:bookmarkStart w:id="489" w:name="bookmark489"/>
      <w:r>
        <w:rPr>
          <w:color w:val="000000"/>
          <w:spacing w:val="0"/>
          <w:w w:val="100"/>
          <w:position w:val="0"/>
        </w:rPr>
        <w:t>第八节董事、监事、高级管理人员和员工情况</w:t>
      </w:r>
      <w:bookmarkEnd w:id="487"/>
      <w:bookmarkEnd w:id="488"/>
      <w:bookmarkEnd w:id="489"/>
      <w:bookmarkEnd w:id="486"/>
    </w:p>
    <w:p>
      <w:pPr>
        <w:pStyle w:val="Style27"/>
        <w:keepNext/>
        <w:keepLines/>
        <w:widowControl w:val="0"/>
        <w:shd w:val="clear" w:color="auto" w:fill="auto"/>
        <w:bidi w:val="0"/>
        <w:spacing w:before="0" w:after="320" w:line="240" w:lineRule="auto"/>
        <w:ind w:left="0" w:right="0" w:firstLine="240"/>
        <w:jc w:val="left"/>
      </w:pPr>
      <w:bookmarkStart w:id="490" w:name="bookmark490"/>
      <w:bookmarkStart w:id="491" w:name="bookmark491"/>
      <w:bookmarkStart w:id="492" w:name="bookmark492"/>
      <w:r>
        <w:rPr>
          <w:color w:val="000000"/>
          <w:spacing w:val="0"/>
          <w:w w:val="100"/>
          <w:position w:val="0"/>
          <w:sz w:val="24"/>
          <w:szCs w:val="24"/>
        </w:rPr>
        <w:t>、董事、监事和高级管理人员持股变动</w:t>
      </w:r>
      <w:bookmarkEnd w:id="490"/>
      <w:bookmarkEnd w:id="491"/>
      <w:bookmarkEnd w:id="492"/>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20" w:right="0" w:hanging="22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98" w:lineRule="exact"/>
              <w:ind w:left="0" w:right="0" w:firstLine="0"/>
              <w:jc w:val="both"/>
            </w:pPr>
            <w:r>
              <w:rPr>
                <w:color w:val="000000"/>
                <w:spacing w:val="0"/>
                <w:w w:val="100"/>
                <w:position w:val="0"/>
              </w:rPr>
              <w:t>本期减持 股份数量</w:t>
            </w:r>
          </w:p>
          <w:p>
            <w:pPr>
              <w:pStyle w:val="Style24"/>
              <w:keepNext w:val="0"/>
              <w:keepLines w:val="0"/>
              <w:widowControl w:val="0"/>
              <w:shd w:val="clear" w:color="auto" w:fill="auto"/>
              <w:bidi w:val="0"/>
              <w:spacing w:before="0" w:after="0" w:line="298"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14,295,65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14,295,65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2,479,755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2,479,755</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2,376,280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1,296,280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2,133,808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2,133,808</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副总经 理，董事 会秘书，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1,817,106</w:t>
            </w:r>
          </w:p>
        </w:tc>
      </w:tr>
      <w:tr>
        <w:trPr>
          <w:trHeight w:val="43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1,547,557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1,547,557</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陶翔宇</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欧郁雪</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郭其友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1,641,584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158,807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26,450,54</w:t>
            </w:r>
          </w:p>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25,370,54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二</w:t>
      </w:r>
      <w:bookmarkEnd w:id="495"/>
      <w:r>
        <w:rPr>
          <w:color w:val="000000"/>
          <w:spacing w:val="0"/>
          <w:w w:val="100"/>
          <w:position w:val="0"/>
          <w:sz w:val="24"/>
          <w:szCs w:val="24"/>
        </w:rPr>
        <w:t>、公司董事、监事、高级管理人员变动情况</w:t>
      </w:r>
      <w:bookmarkEnd w:id="493"/>
      <w:bookmarkEnd w:id="494"/>
      <w:bookmarkEnd w:id="49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陈航先生为公司长远发展，请辞并推荐刘少华先生当 任总经理一职。</w:t>
            </w:r>
          </w:p>
        </w:tc>
      </w:tr>
      <w:tr>
        <w:trPr>
          <w:trHeight w:val="35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日召开的第二届董事会第九次</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会议审议通过了《关于聘任公司总经理的议案》。</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三</w:t>
      </w:r>
      <w:bookmarkEnd w:id="499"/>
      <w:r>
        <w:rPr>
          <w:color w:val="000000"/>
          <w:spacing w:val="0"/>
          <w:w w:val="100"/>
          <w:position w:val="0"/>
          <w:sz w:val="24"/>
          <w:szCs w:val="24"/>
        </w:rPr>
        <w:t>、任职情况</w:t>
      </w:r>
      <w:bookmarkEnd w:id="497"/>
      <w:bookmarkEnd w:id="498"/>
      <w:bookmarkEnd w:id="500"/>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numPr>
          <w:ilvl w:val="0"/>
          <w:numId w:val="9"/>
        </w:numPr>
        <w:shd w:val="clear" w:color="auto" w:fill="auto"/>
        <w:tabs>
          <w:tab w:pos="358" w:val="left"/>
        </w:tabs>
        <w:bidi w:val="0"/>
        <w:spacing w:before="0" w:after="40" w:line="307" w:lineRule="exact"/>
        <w:ind w:left="360" w:right="0" w:hanging="360"/>
        <w:jc w:val="both"/>
      </w:pPr>
      <w:bookmarkStart w:id="501" w:name="bookmark501"/>
      <w:bookmarkEnd w:id="501"/>
      <w:r>
        <w:rPr>
          <w:color w:val="000000"/>
          <w:spacing w:val="0"/>
          <w:w w:val="100"/>
          <w:position w:val="0"/>
        </w:rPr>
        <w:t>陈航先生：本科学历，工程师，曾任职于福建省财税信息中心，历任福建华兴科技有限责任公司副总经理及执行董事、 福州博思软件开发有限公司董事长兼总经理、福建博思软件股份有限公司总经理，现任福建华兴科技有限责任公司执行 董事、总经理，福建博思软件股份有限公司董事长。</w:t>
      </w:r>
    </w:p>
    <w:p>
      <w:pPr>
        <w:pStyle w:val="Style31"/>
        <w:keepNext w:val="0"/>
        <w:keepLines w:val="0"/>
        <w:widowControl w:val="0"/>
        <w:numPr>
          <w:ilvl w:val="0"/>
          <w:numId w:val="9"/>
        </w:numPr>
        <w:shd w:val="clear" w:color="auto" w:fill="auto"/>
        <w:tabs>
          <w:tab w:pos="358" w:val="left"/>
        </w:tabs>
        <w:bidi w:val="0"/>
        <w:spacing w:before="0" w:after="280" w:line="315" w:lineRule="exact"/>
        <w:ind w:left="360" w:right="0" w:hanging="360"/>
        <w:jc w:val="both"/>
      </w:pPr>
      <w:bookmarkStart w:id="502" w:name="bookmark502"/>
      <w:bookmarkEnd w:id="502"/>
      <w:r>
        <w:rPr>
          <w:color w:val="000000"/>
          <w:spacing w:val="0"/>
          <w:w w:val="100"/>
          <w:position w:val="0"/>
        </w:rPr>
        <w:t>刘少华先生：北大国际工商硕士管理</w:t>
      </w:r>
      <w:r>
        <w:rPr>
          <w:rFonts w:ascii="Times New Roman" w:eastAsia="Times New Roman" w:hAnsi="Times New Roman" w:cs="Times New Roman"/>
          <w:color w:val="000000"/>
          <w:spacing w:val="0"/>
          <w:w w:val="100"/>
          <w:position w:val="0"/>
        </w:rPr>
        <w:t>EMBA</w:t>
      </w:r>
      <w:r>
        <w:rPr>
          <w:color w:val="000000"/>
          <w:spacing w:val="0"/>
          <w:w w:val="100"/>
          <w:position w:val="0"/>
        </w:rPr>
        <w:t>硕士研究生，本科毕业于内蒙古大学电子系计算机专业。历任内蒙古林业 大学讲师、北京方正集团分公司、区域总经理、集团助理总裁、北京方正数码公司、北京方正电子公司、北京方正奥德 公司副总裁、北京方正春元科技有限公司常务副总裁、北京用友政务软件有限公司高级副总裁、北京用友政务软件有限 公司总裁，现任北京公易人人信息技术有限公司执行董事，北京支点国际资讯投资有限公司董事长、福建博思软件股份</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有限公司总经理。</w:t>
      </w:r>
    </w:p>
    <w:p>
      <w:pPr>
        <w:pStyle w:val="Style31"/>
        <w:keepNext w:val="0"/>
        <w:keepLines w:val="0"/>
        <w:widowControl w:val="0"/>
        <w:numPr>
          <w:ilvl w:val="0"/>
          <w:numId w:val="9"/>
        </w:numPr>
        <w:shd w:val="clear" w:color="auto" w:fill="auto"/>
        <w:tabs>
          <w:tab w:pos="362" w:val="left"/>
        </w:tabs>
        <w:bidi w:val="0"/>
        <w:spacing w:before="0" w:after="0" w:line="312" w:lineRule="exact"/>
        <w:ind w:left="380" w:right="0" w:hanging="380"/>
        <w:jc w:val="both"/>
      </w:pPr>
      <w:bookmarkStart w:id="503" w:name="bookmark503"/>
      <w:bookmarkEnd w:id="503"/>
      <w:r>
        <w:rPr>
          <w:color w:val="000000"/>
          <w:spacing w:val="0"/>
          <w:w w:val="100"/>
          <w:position w:val="0"/>
        </w:rPr>
        <w:t>肖勇先生：历任福建华兴科技有限责任公司市场二部经理、福州博思软件开发有限公司董事、副总经理，现任福建博思 软件股份有限公司董事、副总经理、北京博思致新互联网科技有限责任公司执行董事、北京博思兴华软件有限公司执行 董事、总经理。</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04" w:name="bookmark504"/>
      <w:bookmarkEnd w:id="504"/>
      <w:r>
        <w:rPr>
          <w:color w:val="000000"/>
          <w:spacing w:val="0"/>
          <w:w w:val="100"/>
          <w:position w:val="0"/>
        </w:rPr>
        <w:t>林初可先生：历任福建华兴科技有限责任公司开发部员工、开发部经理、福州博思软件开发有限公司董事、副总经理， 现任福建博思软件股份有限公司董事、副总经理。</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05" w:name="bookmark505"/>
      <w:bookmarkEnd w:id="505"/>
      <w:r>
        <w:rPr>
          <w:color w:val="000000"/>
          <w:spacing w:val="0"/>
          <w:w w:val="100"/>
          <w:position w:val="0"/>
        </w:rPr>
        <w:t>余双兴先生：历任福建华兴科技有限责任公司市场部副经理、福州博思软件开发有限公司副总经理、监事、北京博思兴 华软件有限公司执行董事兼经理，现任福建博思软件股份有限公司副总经理、北京博思致新互联网科技有限责任公司监 事。</w:t>
      </w:r>
    </w:p>
    <w:p>
      <w:pPr>
        <w:pStyle w:val="Style31"/>
        <w:keepNext w:val="0"/>
        <w:keepLines w:val="0"/>
        <w:widowControl w:val="0"/>
        <w:numPr>
          <w:ilvl w:val="0"/>
          <w:numId w:val="9"/>
        </w:numPr>
        <w:shd w:val="clear" w:color="auto" w:fill="auto"/>
        <w:tabs>
          <w:tab w:pos="362" w:val="left"/>
        </w:tabs>
        <w:bidi w:val="0"/>
        <w:spacing w:before="0" w:after="0" w:line="315" w:lineRule="exact"/>
        <w:ind w:left="380" w:right="0" w:hanging="380"/>
        <w:jc w:val="both"/>
      </w:pPr>
      <w:bookmarkStart w:id="506" w:name="bookmark506"/>
      <w:bookmarkEnd w:id="506"/>
      <w:r>
        <w:rPr>
          <w:color w:val="000000"/>
          <w:spacing w:val="0"/>
          <w:w w:val="100"/>
          <w:position w:val="0"/>
        </w:rPr>
        <w:t>郑升尉先生：本科学历，高级会计师，任职于福建华兴科技有限责任公司、福建财经会计师事务所，历任福州博思软件 开发有限公司副总经理，现任福建博思软件股份有限公司副总经理、财务总监、董事会秘书、哈尔滨博思伟业科技发展 有限公司执行董事兼总经理、福州兴博新中大软件有限公司董事长、福建博宇信息科技股份有限公司监事会主席、北京 支点国际资讯投资有限公司监事会主席。</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07" w:name="bookmark507"/>
      <w:bookmarkEnd w:id="507"/>
      <w:r>
        <w:rPr>
          <w:color w:val="000000"/>
          <w:spacing w:val="0"/>
          <w:w w:val="100"/>
          <w:position w:val="0"/>
        </w:rPr>
        <w:t>叶章明先生：历任福建华兴科技有限责任公司市场部经理、副总经理、福州博思软件开发有限公司董事、副总经理，现 任福建博思软件股份有限公司董事、副总经理、福建博宇信息科技股份有限公司董事、北京支点国际资讯投资有限公司 董事。</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08" w:name="bookmark508"/>
      <w:bookmarkEnd w:id="508"/>
      <w:r>
        <w:rPr>
          <w:color w:val="000000"/>
          <w:spacing w:val="0"/>
          <w:w w:val="100"/>
          <w:position w:val="0"/>
        </w:rPr>
        <w:t>王敏女士：本科学历，高级工程师。历任福建省建筑工程专科学校助教、福州博思软件开发有限公司董事，现任福建省 财政信息中心副主任、福建博思软件股份有限公司董事。</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09" w:name="bookmark509"/>
      <w:bookmarkEnd w:id="509"/>
      <w:r>
        <w:rPr>
          <w:color w:val="000000"/>
          <w:spacing w:val="0"/>
          <w:w w:val="100"/>
          <w:position w:val="0"/>
        </w:rPr>
        <w:t>陶翔宇先生：本科学历，会计师。曾任职于中瑞岳华会计师事务所，历任北京实地创业投资有限公司执行董事，现任北 京昆仑星河投资管理有限公司董事、北京康凯信息咨询有限公司监事、福建博思软件股份有限公司董事。</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10" w:name="bookmark510"/>
      <w:bookmarkEnd w:id="510"/>
      <w:r>
        <w:rPr>
          <w:color w:val="000000"/>
          <w:spacing w:val="0"/>
          <w:w w:val="100"/>
          <w:position w:val="0"/>
        </w:rPr>
        <w:t>欧郁雪女士：本科学历，厦门大学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注册会计师。历任厦门红相电力设备股份有限公司财务总监、武汉高德红外 股份有限公司审计部经理，现任厦门均和评估咨询有限公司高级经理、好利来（中国）电子科技股份有限公司独立董事、 福建博思软件股份有限公司独立董事。</w:t>
      </w:r>
    </w:p>
    <w:p>
      <w:pPr>
        <w:pStyle w:val="Style31"/>
        <w:keepNext w:val="0"/>
        <w:keepLines w:val="0"/>
        <w:widowControl w:val="0"/>
        <w:numPr>
          <w:ilvl w:val="0"/>
          <w:numId w:val="9"/>
        </w:numPr>
        <w:shd w:val="clear" w:color="auto" w:fill="auto"/>
        <w:tabs>
          <w:tab w:pos="362" w:val="left"/>
        </w:tabs>
        <w:bidi w:val="0"/>
        <w:spacing w:before="0" w:after="0" w:line="312" w:lineRule="exact"/>
        <w:ind w:left="380" w:right="0" w:hanging="380"/>
        <w:jc w:val="both"/>
      </w:pPr>
      <w:bookmarkStart w:id="511" w:name="bookmark511"/>
      <w:bookmarkEnd w:id="511"/>
      <w:r>
        <w:rPr>
          <w:color w:val="000000"/>
          <w:spacing w:val="0"/>
          <w:w w:val="100"/>
          <w:position w:val="0"/>
        </w:rPr>
        <w:t>郭其友先生：博士学历，曾任福建东百集团股份有限公司独立董事，现任厦门大学经济学院教授、博士生导师、中国土 地估价师、中华外国经济学说研究会理事、厦门市土地学会副理事长、福建博思软件股份有限公司独立董事。</w:t>
      </w:r>
    </w:p>
    <w:p>
      <w:pPr>
        <w:pStyle w:val="Style31"/>
        <w:keepNext w:val="0"/>
        <w:keepLines w:val="0"/>
        <w:widowControl w:val="0"/>
        <w:numPr>
          <w:ilvl w:val="0"/>
          <w:numId w:val="9"/>
        </w:numPr>
        <w:shd w:val="clear" w:color="auto" w:fill="auto"/>
        <w:tabs>
          <w:tab w:pos="362" w:val="left"/>
        </w:tabs>
        <w:bidi w:val="0"/>
        <w:spacing w:before="0" w:after="0" w:line="315" w:lineRule="exact"/>
        <w:ind w:left="380" w:right="0" w:hanging="380"/>
        <w:jc w:val="both"/>
      </w:pPr>
      <w:bookmarkStart w:id="512" w:name="bookmark512"/>
      <w:bookmarkEnd w:id="512"/>
      <w:r>
        <w:rPr>
          <w:color w:val="000000"/>
          <w:spacing w:val="0"/>
          <w:w w:val="100"/>
          <w:position w:val="0"/>
        </w:rPr>
        <w:t>叶东毅先生：博士学历，历任福州大学计算机系讲师、教授、系主任和副院长，现任福州大学数学与计算机科学学院教 授、博士生导师、福建省信息产业专家委员会委员、福建省计算机学会副理事长、福建省人工智能学会常务理事、福建 省软件行业协会理事，还担任福建博思软件股份有限公司、南威软件股份有限公司、福建星网锐捷通讯股份有限公司、 福建顶点软件股份有限公司的独立董事。</w:t>
      </w:r>
    </w:p>
    <w:p>
      <w:pPr>
        <w:pStyle w:val="Style31"/>
        <w:keepNext w:val="0"/>
        <w:keepLines w:val="0"/>
        <w:widowControl w:val="0"/>
        <w:numPr>
          <w:ilvl w:val="0"/>
          <w:numId w:val="9"/>
        </w:numPr>
        <w:shd w:val="clear" w:color="auto" w:fill="auto"/>
        <w:tabs>
          <w:tab w:pos="362" w:val="left"/>
        </w:tabs>
        <w:bidi w:val="0"/>
        <w:spacing w:before="0" w:after="0" w:line="322" w:lineRule="exact"/>
        <w:ind w:left="380" w:right="0" w:hanging="380"/>
        <w:jc w:val="both"/>
      </w:pPr>
      <w:bookmarkStart w:id="513" w:name="bookmark513"/>
      <w:bookmarkEnd w:id="513"/>
      <w:r>
        <w:rPr>
          <w:color w:val="000000"/>
          <w:spacing w:val="0"/>
          <w:w w:val="100"/>
          <w:position w:val="0"/>
        </w:rPr>
        <w:t>毛时敏先生：硕士学历，高级会计师。曾任福建省财税信息中心培训科科长、福建华兴科技有限责任公司副总经理、福 州博思软件开发有限公司副总经理，现任福建博思软件股份有限公司监事会主席、福建华兴科技有限责任公司监事。</w:t>
      </w:r>
    </w:p>
    <w:p>
      <w:pPr>
        <w:pStyle w:val="Style31"/>
        <w:keepNext w:val="0"/>
        <w:keepLines w:val="0"/>
        <w:widowControl w:val="0"/>
        <w:numPr>
          <w:ilvl w:val="0"/>
          <w:numId w:val="9"/>
        </w:numPr>
        <w:shd w:val="clear" w:color="auto" w:fill="auto"/>
        <w:tabs>
          <w:tab w:pos="362" w:val="left"/>
        </w:tabs>
        <w:bidi w:val="0"/>
        <w:spacing w:before="0" w:after="0" w:line="317" w:lineRule="exact"/>
        <w:ind w:left="380" w:right="0" w:hanging="380"/>
        <w:jc w:val="both"/>
      </w:pPr>
      <w:bookmarkStart w:id="514" w:name="bookmark514"/>
      <w:bookmarkEnd w:id="514"/>
      <w:r>
        <w:rPr>
          <w:color w:val="000000"/>
          <w:spacing w:val="0"/>
          <w:w w:val="100"/>
          <w:position w:val="0"/>
        </w:rPr>
        <w:t>陈晶女士：本科学历，会计师。曾任福州博思软件开发有限公司培训部经理，现任福建博思软件股份有限公司培训部经 理、监事。</w:t>
      </w:r>
    </w:p>
    <w:p>
      <w:pPr>
        <w:pStyle w:val="Style31"/>
        <w:keepNext w:val="0"/>
        <w:keepLines w:val="0"/>
        <w:widowControl w:val="0"/>
        <w:numPr>
          <w:ilvl w:val="0"/>
          <w:numId w:val="9"/>
        </w:numPr>
        <w:shd w:val="clear" w:color="auto" w:fill="auto"/>
        <w:tabs>
          <w:tab w:pos="362" w:val="left"/>
        </w:tabs>
        <w:bidi w:val="0"/>
        <w:spacing w:before="0" w:after="1200" w:line="317" w:lineRule="exact"/>
        <w:ind w:left="380" w:right="0" w:hanging="380"/>
        <w:jc w:val="both"/>
      </w:pPr>
      <w:bookmarkStart w:id="515" w:name="bookmark515"/>
      <w:bookmarkEnd w:id="515"/>
      <w:r>
        <w:rPr>
          <w:color w:val="000000"/>
          <w:spacing w:val="0"/>
          <w:w w:val="100"/>
          <w:position w:val="0"/>
        </w:rPr>
        <w:t>王素珍女士：曾任职于龙辉计算机网络有限公司、福州博思软件开发有限公司，现任福建博思软件股份有限公司售后服 务管理部负责人、监事。</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30"/>
        <w:gridCol w:w="159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bl>
    <w:p>
      <w:pPr>
        <w:widowControl w:val="0"/>
        <w:spacing w:line="1" w:lineRule="exact"/>
      </w:pPr>
      <w:r>
        <w:br w:type="page"/>
      </w:r>
    </w:p>
    <w:tbl>
      <w:tblPr>
        <w:tblOverlap w:val="never"/>
        <w:jc w:val="center"/>
        <w:tblLayout w:type="fixed"/>
      </w:tblPr>
      <w:tblGrid>
        <w:gridCol w:w="1205"/>
        <w:gridCol w:w="3192"/>
        <w:gridCol w:w="1066"/>
        <w:gridCol w:w="1195"/>
        <w:gridCol w:w="1330"/>
        <w:gridCol w:w="159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福建省财政信息中心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205"/>
        <w:gridCol w:w="1315"/>
        <w:gridCol w:w="159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陶翔宇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北京昆仑星河投资管理有限公司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陶翔宇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北京康凯信息咨询有限责任公司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福州大学数学与计算机科学学院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教授、博士生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福建省信息产业专家委员会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福建省计算机学会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福建省人工智能学会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福建省软件行业协会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福建星网锐捷通讯股份有限公司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郭其友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厦门大学经济学院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教授、博士生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郭其友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中华外国经济学说研究会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郭其友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厦门市土地学会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欧郁雪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厦门均和资产评估咨询有限公司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欧郁雪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厦门知行道投资咨询有限公司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欧郁雪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好利来（中国）电子科技股份有限公司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郑升尉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bl>
    <w:p>
      <w:pPr>
        <w:widowControl w:val="0"/>
        <w:spacing w:line="1" w:lineRule="exact"/>
      </w:pPr>
      <w:r>
        <w:br w:type="page"/>
      </w:r>
    </w:p>
    <w:tbl>
      <w:tblPr>
        <w:tblOverlap w:val="never"/>
        <w:jc w:val="center"/>
        <w:tblLayout w:type="fixed"/>
      </w:tblPr>
      <w:tblGrid>
        <w:gridCol w:w="1205"/>
        <w:gridCol w:w="3192"/>
        <w:gridCol w:w="1066"/>
        <w:gridCol w:w="1205"/>
        <w:gridCol w:w="1315"/>
        <w:gridCol w:w="159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哈尔滨博思伟业科技发展有限公司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北京公易人人信息技术有限公司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上述单位中福建华兴科技有限责任公司、北京博思兴华软件有限公司、哈尔滨博思伟业科技发展有限公司 为公司全资子公司；北京博思致新互联网科技有限责任公司、北京支点国际资讯投资有限公司、福州兴博 新中大软件有限公司为公司控股子公司；福建博宇信息科技股份有限公司为公司参股公司。</w:t>
            </w:r>
          </w:p>
        </w:tc>
      </w:tr>
    </w:tbl>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四</w:t>
      </w:r>
      <w:bookmarkEnd w:id="518"/>
      <w:r>
        <w:rPr>
          <w:color w:val="000000"/>
          <w:spacing w:val="0"/>
          <w:w w:val="100"/>
          <w:position w:val="0"/>
          <w:sz w:val="24"/>
          <w:szCs w:val="24"/>
        </w:rPr>
        <w:t>、董事、监事、高级管理人员报酬情况</w:t>
      </w:r>
      <w:bookmarkEnd w:id="516"/>
      <w:bookmarkEnd w:id="517"/>
      <w:bookmarkEnd w:id="51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left"/>
        <w:tblLayout w:type="fixed"/>
      </w:tblPr>
      <w:tblGrid>
        <w:gridCol w:w="1354"/>
        <w:gridCol w:w="7181"/>
      </w:tblGrid>
      <w:tr>
        <w:trPr>
          <w:trHeight w:val="10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 级管理人员报酬 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公司的董事、监事的薪酬由公司股东大会决定，高级管理人员的薪酬由公司董事会决定。公 司外部董事不在公司领取报酬或津贴。公司董事、监事的薪酬、津贴经董事会审议批准后， 提交股东大会审议通过后实施。</w:t>
            </w:r>
          </w:p>
        </w:tc>
      </w:tr>
      <w:tr>
        <w:trPr>
          <w:trHeight w:val="10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 级管理人员报酬 的确定依据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主要依据公司经营状况、管理岗位的主要范围与职责、重要性以及对业绩完成情况进行考核 来确定；独立董事的津贴标准参照本地区、同行业上市公司的整体水平。</w:t>
            </w:r>
          </w:p>
        </w:tc>
      </w:tr>
      <w:tr>
        <w:trPr>
          <w:trHeight w:val="10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 级管理人员报酬 的实际支付情况</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报告期内，董事、监事和高级管理人员薪酬已按年度薪酬计划支付。</w:t>
            </w:r>
          </w:p>
        </w:tc>
      </w:tr>
    </w:tbl>
    <w:p>
      <w:pPr>
        <w:widowControl w:val="0"/>
        <w:spacing w:after="3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林初可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郑升尉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副总经理，财务 总监，董事会秘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余双兴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叶章明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陶翔宇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欧郁雪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郭其友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王素珍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五</w:t>
      </w:r>
      <w:bookmarkEnd w:id="522"/>
      <w:r>
        <w:rPr>
          <w:color w:val="000000"/>
          <w:spacing w:val="0"/>
          <w:w w:val="100"/>
          <w:position w:val="0"/>
          <w:sz w:val="24"/>
          <w:szCs w:val="24"/>
        </w:rPr>
        <w:t>、公司员工情况</w:t>
      </w:r>
      <w:bookmarkEnd w:id="520"/>
      <w:bookmarkEnd w:id="521"/>
      <w:bookmarkEnd w:id="523"/>
    </w:p>
    <w:p>
      <w:pPr>
        <w:pStyle w:val="Style35"/>
        <w:keepNext/>
        <w:keepLines/>
        <w:widowControl w:val="0"/>
        <w:shd w:val="clear" w:color="auto" w:fill="auto"/>
        <w:bidi w:val="0"/>
        <w:spacing w:before="0" w:after="34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、员工数量、专业构成及教育程度</w:t>
      </w:r>
      <w:bookmarkEnd w:id="524"/>
      <w:bookmarkEnd w:id="525"/>
      <w:bookmarkEnd w:id="52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520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675</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675</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、薪酬政策</w:t>
      </w:r>
      <w:bookmarkEnd w:id="528"/>
      <w:bookmarkEnd w:id="529"/>
      <w:bookmarkEnd w:id="531"/>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公司薪酬政策坚持与岗位价值相匹配的基本原则，以管理与专业序列并行的等级制薪酬体系，根据不同类别岗位制定相应的 薪酬等级体系，在每个薪酬等级体系内根据其管理能力、专业技能水平确定对应的薪酬。</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同时，公司为提升薪资福利的竞争性，能够留住和吸引更多的优秀人才，通过工资和奖金、绩效、福利等激励性的设计激发 员工工作积极性。一方面，薪资与公司、部门和个人的绩效完成状况密切相关，不同的绩效考评结果会在薪资中准确体现， 实现员工的自我激励与提升，从而最终保障公司整体绩效目标的实现。另一方面，公司将依据经营方向持续设计不同的激励 通道，使不同岗位的员工有同等的晋级机会。最终，公司用适当工资成本的增加激发员工创造更多的经济增加值，保障投资 者的利益，实现可持续发展。</w:t>
      </w:r>
    </w:p>
    <w:p>
      <w:pPr>
        <w:pStyle w:val="Style35"/>
        <w:keepNext/>
        <w:keepLines/>
        <w:widowControl w:val="0"/>
        <w:shd w:val="clear" w:color="auto" w:fill="auto"/>
        <w:tabs>
          <w:tab w:pos="359" w:val="left"/>
        </w:tabs>
        <w:bidi w:val="0"/>
        <w:spacing w:before="0" w:after="2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培训计划</w:t>
      </w:r>
      <w:bookmarkEnd w:id="532"/>
      <w:bookmarkEnd w:id="533"/>
      <w:bookmarkEnd w:id="535"/>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公司坚持培训是对员工的投资，形成了基本覆盖各层级员工的培训体系，分为内部培训和外部培训，包括岗位培训、技能培 训、团队培训等。人力资源部门根据员工自身情况结合工作实际开展中的需求，制定详实可行的培训方案，通过内部讲师跟 踪培养、案例教学、内外部管理课程等模式，在最大限度满足企业业务发展需要的同时，为员工提供良好的职业发展通道和 平台。</w:t>
      </w:r>
    </w:p>
    <w:p>
      <w:pPr>
        <w:pStyle w:val="Style35"/>
        <w:keepNext/>
        <w:keepLines/>
        <w:widowControl w:val="0"/>
        <w:shd w:val="clear" w:color="auto" w:fill="auto"/>
        <w:tabs>
          <w:tab w:pos="359"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劳务外包情况</w:t>
      </w:r>
      <w:bookmarkEnd w:id="536"/>
      <w:bookmarkEnd w:id="537"/>
      <w:bookmarkEnd w:id="539"/>
    </w:p>
    <w:p>
      <w:pPr>
        <w:pStyle w:val="Style31"/>
        <w:keepNext w:val="0"/>
        <w:keepLines w:val="0"/>
        <w:widowControl w:val="0"/>
        <w:shd w:val="clear" w:color="auto" w:fill="auto"/>
        <w:bidi w:val="0"/>
        <w:spacing w:before="0" w:after="340"/>
        <w:ind w:left="0" w:right="0" w:firstLine="0"/>
        <w:jc w:val="left"/>
        <w:sectPr>
          <w:footnotePr>
            <w:pos w:val="pageBottom"/>
            <w:numFmt w:val="decimal"/>
            <w:numRestart w:val="continuous"/>
          </w:footnotePr>
          <w:type w:val="continuous"/>
          <w:pgSz w:w="11900" w:h="16840"/>
          <w:pgMar w:top="1378" w:right="1052" w:bottom="1560" w:left="107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40" w:after="520" w:line="240" w:lineRule="auto"/>
        <w:ind w:left="0" w:right="0" w:firstLine="0"/>
        <w:jc w:val="center"/>
      </w:pPr>
      <w:bookmarkStart w:id="540" w:name="bookmark540"/>
      <w:bookmarkStart w:id="541" w:name="bookmark541"/>
      <w:bookmarkStart w:id="542" w:name="bookmark542"/>
      <w:bookmarkStart w:id="543" w:name="bookmark543"/>
      <w:r>
        <w:rPr>
          <w:color w:val="000000"/>
          <w:spacing w:val="0"/>
          <w:w w:val="100"/>
          <w:position w:val="0"/>
        </w:rPr>
        <w:t>第九节公司治理</w:t>
      </w:r>
      <w:bookmarkEnd w:id="541"/>
      <w:bookmarkEnd w:id="542"/>
      <w:bookmarkEnd w:id="543"/>
      <w:bookmarkEnd w:id="540"/>
    </w:p>
    <w:p>
      <w:pPr>
        <w:pStyle w:val="Style27"/>
        <w:keepNext/>
        <w:keepLines/>
        <w:widowControl w:val="0"/>
        <w:shd w:val="clear" w:color="auto" w:fill="auto"/>
        <w:bidi w:val="0"/>
        <w:spacing w:before="0" w:after="2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、公司治理的基本状况</w:t>
      </w:r>
      <w:bookmarkEnd w:id="544"/>
      <w:bookmarkEnd w:id="545"/>
      <w:bookmarkEnd w:id="547"/>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报告期内，公司严格按照《公司法》、《证券法》、《深圳证券交易所创业板股票上市规则》、《深圳证券交易所创业板上 市公司规范运作指引》等法律、法规和中国证监会有关法律法规等的要求，不断完善公司的法人治理结构，建立健全公司内 部管理和控制制度，促进公司规范运作，提高公司治理水平。截至报告期内，公司实际状况符合《深圳证券交易所创业板上 市公司规范运作指引》的要求。</w:t>
      </w:r>
    </w:p>
    <w:p>
      <w:pPr>
        <w:pStyle w:val="Style31"/>
        <w:keepNext w:val="0"/>
        <w:keepLines w:val="0"/>
        <w:widowControl w:val="0"/>
        <w:shd w:val="clear" w:color="auto" w:fill="auto"/>
        <w:tabs>
          <w:tab w:pos="524" w:val="left"/>
        </w:tabs>
        <w:bidi w:val="0"/>
        <w:spacing w:before="0" w:after="0" w:line="315" w:lineRule="exact"/>
        <w:ind w:left="0" w:right="0" w:firstLine="0"/>
        <w:jc w:val="both"/>
      </w:pPr>
      <w:bookmarkStart w:id="548" w:name="bookmark548"/>
      <w:r>
        <w:rPr>
          <w:color w:val="000000"/>
          <w:spacing w:val="0"/>
          <w:w w:val="100"/>
          <w:position w:val="0"/>
        </w:rPr>
        <w:t>（</w:t>
      </w:r>
      <w:bookmarkEnd w:id="548"/>
      <w:r>
        <w:rPr>
          <w:color w:val="000000"/>
          <w:spacing w:val="0"/>
          <w:w w:val="100"/>
          <w:position w:val="0"/>
        </w:rPr>
        <w:t>一）</w:t>
        <w:tab/>
        <w:t>关于股东和股东大会</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公司股东按照公司章程、《股东大会议事规则》的规定按其所持股份享有平等地位，并承担相应的义务。公司治理结构能够 保证所有股东，特别是中小股东享有平等地位，确保股东合法行使权益，保证了股东对公司重大事项的知情权、参与权、表 决权。报告期内的股东大会均由董事会召集召开，根据相关法律、行政法规、部门规章、规范性文件及公司章程等规定应由 股东大会表决的事项均按照相应的权限审批后交由股东大会审议。</w:t>
      </w:r>
    </w:p>
    <w:p>
      <w:pPr>
        <w:pStyle w:val="Style31"/>
        <w:keepNext w:val="0"/>
        <w:keepLines w:val="0"/>
        <w:widowControl w:val="0"/>
        <w:shd w:val="clear" w:color="auto" w:fill="auto"/>
        <w:tabs>
          <w:tab w:pos="524" w:val="left"/>
        </w:tabs>
        <w:bidi w:val="0"/>
        <w:spacing w:before="0" w:after="0" w:line="315" w:lineRule="exact"/>
        <w:ind w:left="0" w:right="0" w:firstLine="0"/>
        <w:jc w:val="both"/>
      </w:pPr>
      <w:bookmarkStart w:id="549" w:name="bookmark549"/>
      <w:r>
        <w:rPr>
          <w:color w:val="000000"/>
          <w:spacing w:val="0"/>
          <w:w w:val="100"/>
          <w:position w:val="0"/>
        </w:rPr>
        <w:t>（</w:t>
      </w:r>
      <w:bookmarkEnd w:id="549"/>
      <w:r>
        <w:rPr>
          <w:color w:val="000000"/>
          <w:spacing w:val="0"/>
          <w:w w:val="100"/>
          <w:position w:val="0"/>
        </w:rPr>
        <w:t>二）</w:t>
        <w:tab/>
        <w:t>公司和控股股东</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公司控股股东严格规范自己的行为，未超越股东大会直接或间接干预公司的决策和经营活动。公司拥有独立完整的业务和自 主经营能力，在业务、人员、资产、机构、财务上独立于控股股东，公司董事会、监事会和内部机构独立运作。报告期内， 公司没有为控股股东提供担保，亦不存在控股股东非经营性占用公司资金的行为。</w:t>
      </w:r>
    </w:p>
    <w:p>
      <w:pPr>
        <w:pStyle w:val="Style31"/>
        <w:keepNext w:val="0"/>
        <w:keepLines w:val="0"/>
        <w:widowControl w:val="0"/>
        <w:shd w:val="clear" w:color="auto" w:fill="auto"/>
        <w:tabs>
          <w:tab w:pos="524" w:val="left"/>
        </w:tabs>
        <w:bidi w:val="0"/>
        <w:spacing w:before="0" w:after="0" w:line="315" w:lineRule="exact"/>
        <w:ind w:left="0" w:right="0" w:firstLine="0"/>
        <w:jc w:val="both"/>
      </w:pPr>
      <w:bookmarkStart w:id="550" w:name="bookmark550"/>
      <w:r>
        <w:rPr>
          <w:color w:val="000000"/>
          <w:spacing w:val="0"/>
          <w:w w:val="100"/>
          <w:position w:val="0"/>
        </w:rPr>
        <w:t>（</w:t>
      </w:r>
      <w:bookmarkEnd w:id="550"/>
      <w:r>
        <w:rPr>
          <w:color w:val="000000"/>
          <w:spacing w:val="0"/>
          <w:w w:val="100"/>
          <w:position w:val="0"/>
        </w:rPr>
        <w:t>三）</w:t>
        <w:tab/>
        <w:t>关于董事和董事会</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月完成董事会换届选举工作，第二届董事会设董事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名，董事会的人数及人员构成均符合 法律、法规和《公司章程》的要求。各位董事能够依据《董事会议事规则》、《独立董事工作制度》、《深圳证券交易所创 业板上市公司规范运作指引》等开展工作，出席董事会和股东大会，勤勉尽责地履行职务和义务，同时积极参加相关培训， 熟悉相关法律法规。各董事严格审议相关议案，保证了公司相关事项的科学决策。</w:t>
      </w:r>
    </w:p>
    <w:p>
      <w:pPr>
        <w:pStyle w:val="Style31"/>
        <w:keepNext w:val="0"/>
        <w:keepLines w:val="0"/>
        <w:widowControl w:val="0"/>
        <w:shd w:val="clear" w:color="auto" w:fill="auto"/>
        <w:tabs>
          <w:tab w:pos="524" w:val="left"/>
        </w:tabs>
        <w:bidi w:val="0"/>
        <w:spacing w:before="0" w:after="0" w:line="317" w:lineRule="exact"/>
        <w:ind w:left="0" w:right="0" w:firstLine="0"/>
        <w:jc w:val="both"/>
      </w:pPr>
      <w:bookmarkStart w:id="551" w:name="bookmark551"/>
      <w:r>
        <w:rPr>
          <w:color w:val="000000"/>
          <w:spacing w:val="0"/>
          <w:w w:val="100"/>
          <w:position w:val="0"/>
        </w:rPr>
        <w:t>（</w:t>
      </w:r>
      <w:bookmarkEnd w:id="551"/>
      <w:r>
        <w:rPr>
          <w:color w:val="000000"/>
          <w:spacing w:val="0"/>
          <w:w w:val="100"/>
          <w:position w:val="0"/>
        </w:rPr>
        <w:t>四）</w:t>
        <w:tab/>
        <w:t>关于监事和监事会</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名，监事会的人数和人员构成符合法律、法规的要求。各位监事均能够按照《监事会 议事规则》的要求，认真履行自己的职责，对公司及董事、高级管理人员履行职责的合法、合规性进行监督，维护公司及股 东的合法权益。</w:t>
      </w:r>
    </w:p>
    <w:p>
      <w:pPr>
        <w:pStyle w:val="Style31"/>
        <w:keepNext w:val="0"/>
        <w:keepLines w:val="0"/>
        <w:widowControl w:val="0"/>
        <w:shd w:val="clear" w:color="auto" w:fill="auto"/>
        <w:tabs>
          <w:tab w:pos="524" w:val="left"/>
        </w:tabs>
        <w:bidi w:val="0"/>
        <w:spacing w:before="0" w:after="0" w:line="315" w:lineRule="exact"/>
        <w:ind w:left="0" w:right="0" w:firstLine="0"/>
        <w:jc w:val="both"/>
      </w:pPr>
      <w:bookmarkStart w:id="552" w:name="bookmark552"/>
      <w:r>
        <w:rPr>
          <w:color w:val="000000"/>
          <w:spacing w:val="0"/>
          <w:w w:val="100"/>
          <w:position w:val="0"/>
        </w:rPr>
        <w:t>（</w:t>
      </w:r>
      <w:bookmarkEnd w:id="552"/>
      <w:r>
        <w:rPr>
          <w:color w:val="000000"/>
          <w:spacing w:val="0"/>
          <w:w w:val="100"/>
          <w:position w:val="0"/>
        </w:rPr>
        <w:t>五）</w:t>
        <w:tab/>
        <w:t>关于董事会四个委员会</w:t>
      </w:r>
    </w:p>
    <w:p>
      <w:pPr>
        <w:pStyle w:val="Style31"/>
        <w:keepNext w:val="0"/>
        <w:keepLines w:val="0"/>
        <w:widowControl w:val="0"/>
        <w:shd w:val="clear" w:color="auto" w:fill="auto"/>
        <w:tabs>
          <w:tab w:pos="368" w:val="left"/>
        </w:tabs>
        <w:bidi w:val="0"/>
        <w:spacing w:before="0" w:after="0" w:line="315" w:lineRule="exact"/>
        <w:ind w:left="0" w:right="0" w:firstLine="0"/>
        <w:jc w:val="both"/>
      </w:pPr>
      <w:bookmarkStart w:id="553" w:name="bookmark553"/>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审计委员会</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公司董事会审计委员会设委员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名，审计委员会人数及人员构成符合法律、法规及公司章程的要求。各位委员均能按照《审 计委员会议事规则》的要求，认真履行自己的职责，对公司财务报告、内部控制情况、内外审计机构的工作情况等事项进行 审议，并提交公司董事会审议，配合监事会的审计工作。</w:t>
      </w:r>
    </w:p>
    <w:p>
      <w:pPr>
        <w:pStyle w:val="Style31"/>
        <w:keepNext w:val="0"/>
        <w:keepLines w:val="0"/>
        <w:widowControl w:val="0"/>
        <w:shd w:val="clear" w:color="auto" w:fill="auto"/>
        <w:tabs>
          <w:tab w:pos="368" w:val="left"/>
        </w:tabs>
        <w:bidi w:val="0"/>
        <w:spacing w:before="0" w:after="0" w:line="315" w:lineRule="exact"/>
        <w:ind w:left="0" w:right="0" w:firstLine="0"/>
        <w:jc w:val="both"/>
      </w:pPr>
      <w:bookmarkStart w:id="554" w:name="bookmark554"/>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战略委员会</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公司董事会战略委员会设委员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名，战略委员会人数及人员构成符合法律、法规及公司章程的要求。各位委员均能按照《战 略委员会议事规则》的要求，认真履行自己的职责。</w:t>
      </w:r>
    </w:p>
    <w:p>
      <w:pPr>
        <w:pStyle w:val="Style31"/>
        <w:keepNext w:val="0"/>
        <w:keepLines w:val="0"/>
        <w:widowControl w:val="0"/>
        <w:shd w:val="clear" w:color="auto" w:fill="auto"/>
        <w:tabs>
          <w:tab w:pos="368" w:val="left"/>
        </w:tabs>
        <w:bidi w:val="0"/>
        <w:spacing w:before="0" w:after="0" w:line="315" w:lineRule="exact"/>
        <w:ind w:left="0" w:right="0" w:firstLine="0"/>
        <w:jc w:val="both"/>
      </w:pPr>
      <w:bookmarkStart w:id="555" w:name="bookmark555"/>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提名委员会</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公司董事会提名委员会设委员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名，提名委员会人数及人员构成符合法律、法规及公司章程的要求。各位委员均能按照《提 名委员会议事规则》的要求，尽职尽责，对公司董事、高级管理人员候选人进行审查，并向公司董事会提出意见和建议。</w:t>
      </w:r>
    </w:p>
    <w:p>
      <w:pPr>
        <w:pStyle w:val="Style31"/>
        <w:keepNext w:val="0"/>
        <w:keepLines w:val="0"/>
        <w:widowControl w:val="0"/>
        <w:shd w:val="clear" w:color="auto" w:fill="auto"/>
        <w:tabs>
          <w:tab w:pos="368" w:val="left"/>
        </w:tabs>
        <w:bidi w:val="0"/>
        <w:spacing w:before="0" w:after="0" w:line="326" w:lineRule="exact"/>
        <w:ind w:left="0" w:right="0" w:firstLine="0"/>
        <w:jc w:val="both"/>
      </w:pPr>
      <w:bookmarkStart w:id="556" w:name="bookmark556"/>
      <w:r>
        <w:rPr>
          <w:rFonts w:ascii="Times New Roman" w:eastAsia="Times New Roman" w:hAnsi="Times New Roman" w:cs="Times New Roman"/>
          <w:color w:val="000000"/>
          <w:spacing w:val="0"/>
          <w:w w:val="100"/>
          <w:position w:val="0"/>
        </w:rPr>
        <w:t>4</w:t>
      </w:r>
      <w:bookmarkEnd w:id="556"/>
      <w:r>
        <w:rPr>
          <w:color w:val="000000"/>
          <w:spacing w:val="0"/>
          <w:w w:val="100"/>
          <w:position w:val="0"/>
        </w:rPr>
        <w:t>、</w:t>
        <w:tab/>
        <w:t>薪酬与考核委员会</w:t>
      </w:r>
    </w:p>
    <w:p>
      <w:pPr>
        <w:pStyle w:val="Style31"/>
        <w:keepNext w:val="0"/>
        <w:keepLines w:val="0"/>
        <w:widowControl w:val="0"/>
        <w:shd w:val="clear" w:color="auto" w:fill="auto"/>
        <w:bidi w:val="0"/>
        <w:spacing w:before="0" w:after="40" w:line="326" w:lineRule="exact"/>
        <w:ind w:left="0" w:right="0" w:firstLine="0"/>
        <w:jc w:val="both"/>
      </w:pPr>
      <w:r>
        <w:rPr>
          <w:color w:val="000000"/>
          <w:spacing w:val="0"/>
          <w:w w:val="100"/>
          <w:position w:val="0"/>
        </w:rPr>
        <w:t>公司董事会薪酬与考核委员会设委员</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名，薪酬与考核委员会人数及人员构成符合法律、法规及公司章程的要求。各位委员 均能按照《薪酬与考核委员会议事规则》的要求，根据董事及高级管理人员管理岗位的主要范围、职责及其他企业相关岗位 </w:t>
      </w:r>
      <w:r>
        <w:rPr>
          <w:color w:val="000000"/>
          <w:spacing w:val="0"/>
          <w:w w:val="100"/>
          <w:position w:val="0"/>
        </w:rPr>
        <w:t>的薪酬水平制定薪酬方案，审查公司董事及高级管理人员的履行职责情况，监督公司薪酬制度的执行情况。</w:t>
      </w:r>
    </w:p>
    <w:p>
      <w:pPr>
        <w:pStyle w:val="Style31"/>
        <w:keepNext w:val="0"/>
        <w:keepLines w:val="0"/>
        <w:widowControl w:val="0"/>
        <w:shd w:val="clear" w:color="auto" w:fill="auto"/>
        <w:bidi w:val="0"/>
        <w:spacing w:before="0" w:after="40" w:line="313" w:lineRule="exact"/>
        <w:ind w:left="0" w:right="0" w:firstLine="0"/>
        <w:jc w:val="both"/>
      </w:pPr>
      <w:bookmarkStart w:id="557" w:name="bookmark557"/>
      <w:r>
        <w:rPr>
          <w:color w:val="000000"/>
          <w:spacing w:val="0"/>
          <w:w w:val="100"/>
          <w:position w:val="0"/>
        </w:rPr>
        <w:t>（</w:t>
      </w:r>
      <w:bookmarkEnd w:id="557"/>
      <w:r>
        <w:rPr>
          <w:color w:val="000000"/>
          <w:spacing w:val="0"/>
          <w:w w:val="100"/>
          <w:position w:val="0"/>
        </w:rPr>
        <w:t>六）关于信息披露与透明度</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公司严格按照有关法律法规及《信息披露事务管理制度》的要求，真实、准确、及时、公平、完整地披露有关信息；并指定 公司董事会秘书负责信息披露工作、协调公司与投资者的关系、接待股东来访、回答投资者咨询、向投资者提供公司已披露 的资料；为确保公司所有股东能够以平等的机会获得信息，公司指定《中国证券报》、《证券日报》、《上海证券报》、《证 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为公司信息披露媒体。</w:t>
      </w:r>
    </w:p>
    <w:p>
      <w:pPr>
        <w:pStyle w:val="Style31"/>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二</w:t>
      </w:r>
      <w:bookmarkEnd w:id="560"/>
      <w:r>
        <w:rPr>
          <w:color w:val="000000"/>
          <w:spacing w:val="0"/>
          <w:w w:val="100"/>
          <w:position w:val="0"/>
          <w:sz w:val="24"/>
          <w:szCs w:val="24"/>
        </w:rPr>
        <w:t>、</w:t>
        <w:tab/>
        <w:t>公司相对于控股股东在业务、人员、资产、机构、财务等方面的独立情况</w:t>
      </w:r>
      <w:bookmarkEnd w:id="558"/>
      <w:bookmarkEnd w:id="559"/>
      <w:bookmarkEnd w:id="561"/>
    </w:p>
    <w:p>
      <w:pPr>
        <w:pStyle w:val="Style31"/>
        <w:keepNext w:val="0"/>
        <w:keepLines w:val="0"/>
        <w:widowControl w:val="0"/>
        <w:shd w:val="clear" w:color="auto" w:fill="auto"/>
        <w:tabs>
          <w:tab w:pos="531" w:val="left"/>
        </w:tabs>
        <w:bidi w:val="0"/>
        <w:spacing w:before="0" w:after="40" w:line="313" w:lineRule="exact"/>
        <w:ind w:left="0" w:right="0" w:firstLine="0"/>
        <w:jc w:val="both"/>
      </w:pPr>
      <w:bookmarkStart w:id="562" w:name="bookmark562"/>
      <w:r>
        <w:rPr>
          <w:color w:val="000000"/>
          <w:spacing w:val="0"/>
          <w:w w:val="100"/>
          <w:position w:val="0"/>
        </w:rPr>
        <w:t>（</w:t>
      </w:r>
      <w:bookmarkEnd w:id="562"/>
      <w:r>
        <w:rPr>
          <w:color w:val="000000"/>
          <w:spacing w:val="0"/>
          <w:w w:val="100"/>
          <w:position w:val="0"/>
        </w:rPr>
        <w:t>一）</w:t>
        <w:tab/>
        <w:t>业务方面</w:t>
      </w:r>
    </w:p>
    <w:p>
      <w:pPr>
        <w:pStyle w:val="Style31"/>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公司拥有独立完整的业务体系和自主经营能力，控股股东按照承诺未从事与公司业务相同或相近的业务活动。</w:t>
      </w:r>
    </w:p>
    <w:p>
      <w:pPr>
        <w:pStyle w:val="Style31"/>
        <w:keepNext w:val="0"/>
        <w:keepLines w:val="0"/>
        <w:widowControl w:val="0"/>
        <w:shd w:val="clear" w:color="auto" w:fill="auto"/>
        <w:tabs>
          <w:tab w:pos="531" w:val="left"/>
        </w:tabs>
        <w:bidi w:val="0"/>
        <w:spacing w:before="0" w:after="40" w:line="313" w:lineRule="exact"/>
        <w:ind w:left="0" w:right="0" w:firstLine="0"/>
        <w:jc w:val="both"/>
      </w:pPr>
      <w:bookmarkStart w:id="563" w:name="bookmark563"/>
      <w:r>
        <w:rPr>
          <w:color w:val="000000"/>
          <w:spacing w:val="0"/>
          <w:w w:val="100"/>
          <w:position w:val="0"/>
        </w:rPr>
        <w:t>（</w:t>
      </w:r>
      <w:bookmarkEnd w:id="563"/>
      <w:r>
        <w:rPr>
          <w:color w:val="000000"/>
          <w:spacing w:val="0"/>
          <w:w w:val="100"/>
          <w:position w:val="0"/>
        </w:rPr>
        <w:t>二）</w:t>
        <w:tab/>
        <w:t>人员方面</w:t>
      </w:r>
    </w:p>
    <w:p>
      <w:pPr>
        <w:pStyle w:val="Style31"/>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公司的总经理、副总经理、财务负责人和董事会秘书等高级管理人员不在控股股东、实际控制人及其控制的其他企业中担任 除董事、监事以外的其他职务，不在控股股东、实际控制人及其控制的其他企业领薪；公司的财务人员不在控股股东、实际 控制人及其控制的其他企业中兼职。</w:t>
      </w:r>
    </w:p>
    <w:p>
      <w:pPr>
        <w:pStyle w:val="Style31"/>
        <w:keepNext w:val="0"/>
        <w:keepLines w:val="0"/>
        <w:widowControl w:val="0"/>
        <w:shd w:val="clear" w:color="auto" w:fill="auto"/>
        <w:tabs>
          <w:tab w:pos="531" w:val="left"/>
        </w:tabs>
        <w:bidi w:val="0"/>
        <w:spacing w:before="0" w:after="40" w:line="313" w:lineRule="exact"/>
        <w:ind w:left="0" w:right="0" w:firstLine="0"/>
        <w:jc w:val="left"/>
      </w:pPr>
      <w:bookmarkStart w:id="564" w:name="bookmark564"/>
      <w:r>
        <w:rPr>
          <w:color w:val="000000"/>
          <w:spacing w:val="0"/>
          <w:w w:val="100"/>
          <w:position w:val="0"/>
        </w:rPr>
        <w:t>（</w:t>
      </w:r>
      <w:bookmarkEnd w:id="564"/>
      <w:r>
        <w:rPr>
          <w:color w:val="000000"/>
          <w:spacing w:val="0"/>
          <w:w w:val="100"/>
          <w:position w:val="0"/>
        </w:rPr>
        <w:t>三）</w:t>
        <w:tab/>
        <w:t>资产方面</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公司商标、专利、著作权等无形资产及其他有形资产均由本公司拥有，产权界定清晰，和其他关联方之间资产相互独立。</w:t>
      </w:r>
    </w:p>
    <w:p>
      <w:pPr>
        <w:pStyle w:val="Style31"/>
        <w:keepNext w:val="0"/>
        <w:keepLines w:val="0"/>
        <w:widowControl w:val="0"/>
        <w:shd w:val="clear" w:color="auto" w:fill="auto"/>
        <w:tabs>
          <w:tab w:pos="531" w:val="left"/>
        </w:tabs>
        <w:bidi w:val="0"/>
        <w:spacing w:before="0" w:after="40" w:line="313" w:lineRule="exact"/>
        <w:ind w:left="0" w:right="0" w:firstLine="0"/>
        <w:jc w:val="left"/>
      </w:pPr>
      <w:bookmarkStart w:id="565" w:name="bookmark565"/>
      <w:r>
        <w:rPr>
          <w:color w:val="000000"/>
          <w:spacing w:val="0"/>
          <w:w w:val="100"/>
          <w:position w:val="0"/>
        </w:rPr>
        <w:t>（</w:t>
      </w:r>
      <w:bookmarkEnd w:id="565"/>
      <w:r>
        <w:rPr>
          <w:color w:val="000000"/>
          <w:spacing w:val="0"/>
          <w:w w:val="100"/>
          <w:position w:val="0"/>
        </w:rPr>
        <w:t>四）</w:t>
        <w:tab/>
        <w:t>机构独立</w:t>
      </w:r>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公司已建立健全内部经营管理机构、独立行使经营管理职权，与控股股东和实际控制人及其控制的其他企业间不存在机构混 同的情形。</w:t>
      </w:r>
    </w:p>
    <w:p>
      <w:pPr>
        <w:pStyle w:val="Style31"/>
        <w:keepNext w:val="0"/>
        <w:keepLines w:val="0"/>
        <w:widowControl w:val="0"/>
        <w:shd w:val="clear" w:color="auto" w:fill="auto"/>
        <w:tabs>
          <w:tab w:pos="531" w:val="left"/>
        </w:tabs>
        <w:bidi w:val="0"/>
        <w:spacing w:before="0" w:after="40" w:line="313" w:lineRule="exact"/>
        <w:ind w:left="0" w:right="0" w:firstLine="0"/>
        <w:jc w:val="left"/>
      </w:pPr>
      <w:bookmarkStart w:id="566" w:name="bookmark566"/>
      <w:r>
        <w:rPr>
          <w:color w:val="000000"/>
          <w:spacing w:val="0"/>
          <w:w w:val="100"/>
          <w:position w:val="0"/>
        </w:rPr>
        <w:t>（</w:t>
      </w:r>
      <w:bookmarkEnd w:id="566"/>
      <w:r>
        <w:rPr>
          <w:color w:val="000000"/>
          <w:spacing w:val="0"/>
          <w:w w:val="100"/>
          <w:position w:val="0"/>
        </w:rPr>
        <w:t>五）</w:t>
        <w:tab/>
        <w:t>财务独立</w:t>
      </w:r>
    </w:p>
    <w:p>
      <w:pPr>
        <w:pStyle w:val="Style3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公司有独立的财务部门，建立了独立的财务管理制度；配备了专职的财务会计人员，独立进行会计核算和财务决策。公司 与控股股东在业务、人员、资产、机构、财务等方面完全分开，具有独立完整的业务及自主经营能力。</w:t>
      </w:r>
    </w:p>
    <w:p>
      <w:pPr>
        <w:pStyle w:val="Style27"/>
        <w:keepNext/>
        <w:keepLines/>
        <w:widowControl w:val="0"/>
        <w:shd w:val="clear" w:color="auto" w:fill="auto"/>
        <w:tabs>
          <w:tab w:pos="522"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w:t>
        <w:tab/>
        <w:t>同业竞争情况</w:t>
      </w:r>
      <w:bookmarkEnd w:id="567"/>
      <w:bookmarkEnd w:id="568"/>
      <w:bookmarkEnd w:id="570"/>
    </w:p>
    <w:p>
      <w:pPr>
        <w:pStyle w:val="Style3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四</w:t>
      </w:r>
      <w:bookmarkEnd w:id="573"/>
      <w:r>
        <w:rPr>
          <w:color w:val="000000"/>
          <w:spacing w:val="0"/>
          <w:w w:val="100"/>
          <w:position w:val="0"/>
          <w:sz w:val="24"/>
          <w:szCs w:val="24"/>
        </w:rPr>
        <w:t>、报告期内召开的年度股东大会和临时股东大会的有关情况</w:t>
      </w:r>
      <w:bookmarkEnd w:id="571"/>
      <w:bookmarkEnd w:id="572"/>
      <w:bookmarkEnd w:id="574"/>
    </w:p>
    <w:p>
      <w:pPr>
        <w:pStyle w:val="Style35"/>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、本报告期股东大会情况</w:t>
      </w:r>
      <w:bookmarkEnd w:id="575"/>
      <w:bookmarkEnd w:id="576"/>
      <w:bookmarkEnd w:id="578"/>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2016-020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、表决权恢复的优先股股东请求召开临时股东大会</w:t>
      </w:r>
      <w:bookmarkEnd w:id="579"/>
      <w:bookmarkEnd w:id="580"/>
      <w:bookmarkEnd w:id="582"/>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sz w:val="24"/>
          <w:szCs w:val="24"/>
        </w:rPr>
        <w:t>五</w:t>
      </w:r>
      <w:bookmarkEnd w:id="585"/>
      <w:r>
        <w:rPr>
          <w:color w:val="000000"/>
          <w:spacing w:val="0"/>
          <w:w w:val="100"/>
          <w:position w:val="0"/>
          <w:sz w:val="24"/>
          <w:szCs w:val="24"/>
        </w:rPr>
        <w:t>、报告期内独立董事履行职责的情况</w:t>
      </w:r>
      <w:bookmarkEnd w:id="583"/>
      <w:bookmarkEnd w:id="584"/>
      <w:bookmarkEnd w:id="586"/>
    </w:p>
    <w:p>
      <w:pPr>
        <w:pStyle w:val="Style35"/>
        <w:keepNext/>
        <w:keepLines/>
        <w:widowControl w:val="0"/>
        <w:shd w:val="clear" w:color="auto" w:fill="auto"/>
        <w:bidi w:val="0"/>
        <w:spacing w:before="0" w:after="34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、独立董事出席董事会及股东大会的情况</w:t>
      </w:r>
      <w:bookmarkEnd w:id="587"/>
      <w:bookmarkEnd w:id="588"/>
      <w:bookmarkEnd w:id="590"/>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欧郁雪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郭其友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5"/>
        <w:keepNext/>
        <w:keepLines/>
        <w:widowControl w:val="0"/>
        <w:shd w:val="clear" w:color="auto" w:fill="auto"/>
        <w:tabs>
          <w:tab w:pos="382" w:val="left"/>
        </w:tabs>
        <w:bidi w:val="0"/>
        <w:spacing w:before="0" w:after="26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独立董事对公司有关事项提出异议的情况</w:t>
      </w:r>
      <w:bookmarkEnd w:id="591"/>
      <w:bookmarkEnd w:id="592"/>
      <w:bookmarkEnd w:id="594"/>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报告期内独立董事对公司有关事项未提出异议。</w:t>
      </w:r>
    </w:p>
    <w:p>
      <w:pPr>
        <w:pStyle w:val="Style35"/>
        <w:keepNext/>
        <w:keepLines/>
        <w:widowControl w:val="0"/>
        <w:shd w:val="clear" w:color="auto" w:fill="auto"/>
        <w:tabs>
          <w:tab w:pos="382" w:val="left"/>
        </w:tabs>
        <w:bidi w:val="0"/>
        <w:spacing w:before="0" w:after="2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独立董事履行职责的其他说明</w:t>
      </w:r>
      <w:bookmarkEnd w:id="595"/>
      <w:bookmarkEnd w:id="596"/>
      <w:bookmarkEnd w:id="598"/>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40" w:line="312" w:lineRule="exact"/>
        <w:ind w:left="0" w:right="0" w:firstLine="0"/>
        <w:jc w:val="both"/>
      </w:pPr>
      <w:r>
        <w:rPr>
          <w:color w:val="000000"/>
          <w:spacing w:val="0"/>
          <w:w w:val="100"/>
          <w:position w:val="0"/>
        </w:rPr>
        <w:t>独立董事对公司重大事项根据《深圳证券交易所创业板股票上市交易规则》、《深圳证券交易所创业板上市公司规范运作指 引》等相关规定均发表了事前认可或独立意见，对此意见公司均予以采纳。</w:t>
      </w:r>
    </w:p>
    <w:p>
      <w:pPr>
        <w:pStyle w:val="Style27"/>
        <w:keepNext/>
        <w:keepLines/>
        <w:widowControl w:val="0"/>
        <w:shd w:val="clear" w:color="auto" w:fill="auto"/>
        <w:bidi w:val="0"/>
        <w:spacing w:before="0" w:after="26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sz w:val="24"/>
          <w:szCs w:val="24"/>
        </w:rPr>
        <w:t>六</w:t>
      </w:r>
      <w:bookmarkEnd w:id="601"/>
      <w:r>
        <w:rPr>
          <w:color w:val="000000"/>
          <w:spacing w:val="0"/>
          <w:w w:val="100"/>
          <w:position w:val="0"/>
          <w:sz w:val="24"/>
          <w:szCs w:val="24"/>
        </w:rPr>
        <w:t>、董事会下设专门委员会在报告期内履行职责情况</w:t>
      </w:r>
      <w:bookmarkEnd w:id="599"/>
      <w:bookmarkEnd w:id="600"/>
      <w:bookmarkEnd w:id="602"/>
    </w:p>
    <w:p>
      <w:pPr>
        <w:pStyle w:val="Style31"/>
        <w:keepNext w:val="0"/>
        <w:keepLines w:val="0"/>
        <w:widowControl w:val="0"/>
        <w:shd w:val="clear" w:color="auto" w:fill="auto"/>
        <w:tabs>
          <w:tab w:pos="531" w:val="left"/>
        </w:tabs>
        <w:bidi w:val="0"/>
        <w:spacing w:before="0" w:after="0" w:line="314" w:lineRule="exact"/>
        <w:ind w:left="0" w:right="0" w:firstLine="0"/>
        <w:jc w:val="both"/>
      </w:pPr>
      <w:bookmarkStart w:id="603" w:name="bookmark603"/>
      <w:r>
        <w:rPr>
          <w:color w:val="000000"/>
          <w:spacing w:val="0"/>
          <w:w w:val="100"/>
          <w:position w:val="0"/>
        </w:rPr>
        <w:t>（</w:t>
      </w:r>
      <w:bookmarkEnd w:id="603"/>
      <w:r>
        <w:rPr>
          <w:color w:val="000000"/>
          <w:spacing w:val="0"/>
          <w:w w:val="100"/>
          <w:position w:val="0"/>
        </w:rPr>
        <w:t>一）</w:t>
        <w:tab/>
        <w:t>审计委员会履行职责情况</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报告期内，公司董事会审计委员会依照相关法规及《公司章程》、《审计委员会议事规则》的规定，充分发挥了审核与监督 作用，主要负责公司财务监督和核查工作及与外部审计机构的沟通、协调工作。报告期内，审计委员会共召开</w:t>
      </w:r>
      <w:r>
        <w:rPr>
          <w:rFonts w:ascii="Times New Roman" w:eastAsia="Times New Roman" w:hAnsi="Times New Roman" w:cs="Times New Roman"/>
          <w:color w:val="000000"/>
          <w:spacing w:val="0"/>
          <w:w w:val="100"/>
          <w:position w:val="0"/>
        </w:rPr>
        <w:t>3</w:t>
      </w:r>
      <w:r>
        <w:rPr>
          <w:color w:val="000000"/>
          <w:spacing w:val="0"/>
          <w:w w:val="100"/>
          <w:position w:val="0"/>
        </w:rPr>
        <w:t>次会议，就 公司关联交易事项、募集资金使用管理等工作进行了监督审核，并重点审议了公司定期报告。</w:t>
      </w:r>
    </w:p>
    <w:p>
      <w:pPr>
        <w:pStyle w:val="Style31"/>
        <w:keepNext w:val="0"/>
        <w:keepLines w:val="0"/>
        <w:widowControl w:val="0"/>
        <w:shd w:val="clear" w:color="auto" w:fill="auto"/>
        <w:tabs>
          <w:tab w:pos="531" w:val="left"/>
        </w:tabs>
        <w:bidi w:val="0"/>
        <w:spacing w:before="0" w:after="0" w:line="314" w:lineRule="exact"/>
        <w:ind w:left="0" w:right="0" w:firstLine="0"/>
        <w:jc w:val="both"/>
      </w:pPr>
      <w:bookmarkStart w:id="604" w:name="bookmark604"/>
      <w:r>
        <w:rPr>
          <w:color w:val="000000"/>
          <w:spacing w:val="0"/>
          <w:w w:val="100"/>
          <w:position w:val="0"/>
        </w:rPr>
        <w:t>（</w:t>
      </w:r>
      <w:bookmarkEnd w:id="604"/>
      <w:r>
        <w:rPr>
          <w:color w:val="000000"/>
          <w:spacing w:val="0"/>
          <w:w w:val="100"/>
          <w:position w:val="0"/>
        </w:rPr>
        <w:t>二）</w:t>
        <w:tab/>
        <w:t>战略委员会履行职责情况</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报告期内，公司董事会战略委员会依照相关法规及《公司章程》、《战略委员会议事规则》的规定，认真履行职责，对公司 </w:t>
      </w:r>
      <w:r>
        <w:rPr>
          <w:color w:val="000000"/>
          <w:spacing w:val="0"/>
          <w:w w:val="100"/>
          <w:position w:val="0"/>
        </w:rPr>
        <w:t>重大事项提出了合理化的建议，促进了公司董事会决策的科学性、高效性。</w:t>
      </w:r>
    </w:p>
    <w:p>
      <w:pPr>
        <w:pStyle w:val="Style31"/>
        <w:keepNext w:val="0"/>
        <w:keepLines w:val="0"/>
        <w:widowControl w:val="0"/>
        <w:shd w:val="clear" w:color="auto" w:fill="auto"/>
        <w:tabs>
          <w:tab w:pos="531" w:val="left"/>
        </w:tabs>
        <w:bidi w:val="0"/>
        <w:spacing w:before="0" w:after="0" w:line="312" w:lineRule="exact"/>
        <w:ind w:left="0" w:right="0" w:firstLine="0"/>
        <w:jc w:val="left"/>
      </w:pPr>
      <w:bookmarkStart w:id="605" w:name="bookmark605"/>
      <w:r>
        <w:rPr>
          <w:color w:val="000000"/>
          <w:spacing w:val="0"/>
          <w:w w:val="100"/>
          <w:position w:val="0"/>
        </w:rPr>
        <w:t>（</w:t>
      </w:r>
      <w:bookmarkEnd w:id="605"/>
      <w:r>
        <w:rPr>
          <w:color w:val="000000"/>
          <w:spacing w:val="0"/>
          <w:w w:val="100"/>
          <w:position w:val="0"/>
        </w:rPr>
        <w:t>三）</w:t>
        <w:tab/>
        <w:t>提名委员会的履职情况</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报告期内，公司董事会提名委员会依照相关法规及《公司章程》、《提名委员会议事规则》的规定，积极履行职责，共召开 </w:t>
      </w:r>
      <w:r>
        <w:rPr>
          <w:rFonts w:ascii="Times New Roman" w:eastAsia="Times New Roman" w:hAnsi="Times New Roman" w:cs="Times New Roman"/>
          <w:color w:val="000000"/>
          <w:spacing w:val="0"/>
          <w:w w:val="100"/>
          <w:position w:val="0"/>
        </w:rPr>
        <w:t>1</w:t>
      </w:r>
      <w:r>
        <w:rPr>
          <w:color w:val="000000"/>
          <w:spacing w:val="0"/>
          <w:w w:val="100"/>
          <w:position w:val="0"/>
        </w:rPr>
        <w:t>次会议，对总经理的提名、聘任提出了建设性建议，并对其任职资格进行审查。</w:t>
      </w:r>
    </w:p>
    <w:p>
      <w:pPr>
        <w:pStyle w:val="Style31"/>
        <w:keepNext w:val="0"/>
        <w:keepLines w:val="0"/>
        <w:widowControl w:val="0"/>
        <w:shd w:val="clear" w:color="auto" w:fill="auto"/>
        <w:tabs>
          <w:tab w:pos="531" w:val="left"/>
        </w:tabs>
        <w:bidi w:val="0"/>
        <w:spacing w:before="0" w:after="0" w:line="312" w:lineRule="exact"/>
        <w:ind w:left="0" w:right="0" w:firstLine="0"/>
        <w:jc w:val="left"/>
      </w:pPr>
      <w:bookmarkStart w:id="606" w:name="bookmark606"/>
      <w:r>
        <w:rPr>
          <w:color w:val="000000"/>
          <w:spacing w:val="0"/>
          <w:w w:val="100"/>
          <w:position w:val="0"/>
        </w:rPr>
        <w:t>（</w:t>
      </w:r>
      <w:bookmarkEnd w:id="606"/>
      <w:r>
        <w:rPr>
          <w:color w:val="000000"/>
          <w:spacing w:val="0"/>
          <w:w w:val="100"/>
          <w:position w:val="0"/>
        </w:rPr>
        <w:t>四）</w:t>
        <w:tab/>
        <w:t>薪酬与考核委员会的履职情况</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报告期内，公司薪酬与考核委员会依照相关法规及《公司章程》、《薪酬与考核委员会议事规则》的规定，勤勉尽职，共召 开</w:t>
      </w:r>
      <w:r>
        <w:rPr>
          <w:rFonts w:ascii="Times New Roman" w:eastAsia="Times New Roman" w:hAnsi="Times New Roman" w:cs="Times New Roman"/>
          <w:color w:val="000000"/>
          <w:spacing w:val="0"/>
          <w:w w:val="100"/>
          <w:position w:val="0"/>
        </w:rPr>
        <w:t>1</w:t>
      </w:r>
      <w:r>
        <w:rPr>
          <w:color w:val="000000"/>
          <w:spacing w:val="0"/>
          <w:w w:val="100"/>
          <w:position w:val="0"/>
        </w:rPr>
        <w:t>次会议，对公司非独立董事及高级管理人员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年度业绩完成情况进行考评。</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七</w:t>
      </w:r>
      <w:bookmarkEnd w:id="609"/>
      <w:r>
        <w:rPr>
          <w:color w:val="000000"/>
          <w:spacing w:val="0"/>
          <w:w w:val="100"/>
          <w:position w:val="0"/>
          <w:sz w:val="24"/>
          <w:szCs w:val="24"/>
        </w:rPr>
        <w:t>、</w:t>
        <w:tab/>
        <w:t>监事会工作情况</w:t>
      </w:r>
      <w:bookmarkEnd w:id="607"/>
      <w:bookmarkEnd w:id="608"/>
      <w:bookmarkEnd w:id="610"/>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八</w:t>
      </w:r>
      <w:bookmarkEnd w:id="613"/>
      <w:r>
        <w:rPr>
          <w:color w:val="000000"/>
          <w:spacing w:val="0"/>
          <w:w w:val="100"/>
          <w:position w:val="0"/>
          <w:sz w:val="24"/>
          <w:szCs w:val="24"/>
        </w:rPr>
        <w:t>、</w:t>
        <w:tab/>
        <w:t>高级管理人员的考评及激励情况</w:t>
      </w:r>
      <w:bookmarkEnd w:id="611"/>
      <w:bookmarkEnd w:id="612"/>
      <w:bookmarkEnd w:id="614"/>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公司建立了科学、完善的高级管理人员考核体系和薪酬管理制度，公司高级管理人员从公司的经营战略出发，负责公司的日 常经营管理工作。董事会薪酬与考核委员会根据公司规模、公司业绩、行业薪酬水平等情况，拟定公司高级管理人员的薪酬 标准及方案。高级管理人员的薪酬根据公司的经营规模、经营业绩、发展战略的不断发展变化而适时调整。</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九</w:t>
      </w:r>
      <w:bookmarkEnd w:id="617"/>
      <w:r>
        <w:rPr>
          <w:color w:val="000000"/>
          <w:spacing w:val="0"/>
          <w:w w:val="100"/>
          <w:position w:val="0"/>
          <w:sz w:val="24"/>
          <w:szCs w:val="24"/>
        </w:rPr>
        <w:t>、</w:t>
        <w:tab/>
        <w:t>内部控制评价报告</w:t>
      </w:r>
      <w:bookmarkEnd w:id="615"/>
      <w:bookmarkEnd w:id="616"/>
      <w:bookmarkEnd w:id="618"/>
    </w:p>
    <w:p>
      <w:pPr>
        <w:pStyle w:val="Style35"/>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、报告期内发现的内部控制重大缺陷的具体情况</w:t>
      </w:r>
      <w:bookmarkEnd w:id="619"/>
      <w:bookmarkEnd w:id="620"/>
      <w:bookmarkEnd w:id="622"/>
    </w:p>
    <w:p>
      <w:pPr>
        <w:pStyle w:val="Style3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、内控自我评价报告</w:t>
      </w:r>
      <w:bookmarkEnd w:id="623"/>
      <w:bookmarkEnd w:id="624"/>
      <w:bookmarkEnd w:id="626"/>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上披露的报告</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、财务报告内部控制存在重大缺陷的迹象 包括：（</w:t>
            </w:r>
            <w:r>
              <w:rPr>
                <w:rFonts w:ascii="Times New Roman" w:eastAsia="Times New Roman" w:hAnsi="Times New Roman" w:cs="Times New Roman"/>
                <w:color w:val="000000"/>
                <w:spacing w:val="0"/>
                <w:w w:val="100"/>
                <w:position w:val="0"/>
              </w:rPr>
              <w:t>1</w:t>
            </w:r>
            <w:r>
              <w:rPr>
                <w:color w:val="000000"/>
                <w:spacing w:val="0"/>
                <w:w w:val="100"/>
                <w:position w:val="0"/>
              </w:rPr>
              <w:t>）控制环境无效；（</w:t>
            </w:r>
            <w:r>
              <w:rPr>
                <w:rFonts w:ascii="Times New Roman" w:eastAsia="Times New Roman" w:hAnsi="Times New Roman" w:cs="Times New Roman"/>
                <w:color w:val="000000"/>
                <w:spacing w:val="0"/>
                <w:w w:val="100"/>
                <w:position w:val="0"/>
              </w:rPr>
              <w:t>2</w:t>
            </w:r>
            <w:r>
              <w:rPr>
                <w:color w:val="000000"/>
                <w:spacing w:val="0"/>
                <w:w w:val="100"/>
                <w:position w:val="0"/>
              </w:rPr>
              <w:t>）公司董事、 监事和高级管理人员舞弊并给公司造成重 大损失和不利影响；（</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 当期财务报告存在重大错报，而内部控制 在运行过程中未能发现该错报；（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）已经</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）公司重 大事项决策违反国家法律法规，决策程 序缺乏集体民主程序，或集体民主决策 程序不规范；（</w:t>
            </w:r>
            <w:r>
              <w:rPr>
                <w:rFonts w:ascii="Times New Roman" w:eastAsia="Times New Roman" w:hAnsi="Times New Roman" w:cs="Times New Roman"/>
                <w:color w:val="000000"/>
                <w:spacing w:val="0"/>
                <w:w w:val="100"/>
                <w:position w:val="0"/>
              </w:rPr>
              <w:t>2</w:t>
            </w:r>
            <w:r>
              <w:rPr>
                <w:color w:val="000000"/>
                <w:spacing w:val="0"/>
                <w:w w:val="100"/>
                <w:position w:val="0"/>
              </w:rPr>
              <w:t>）公司决策程序不科学， 或决策出现重大失误；（</w:t>
            </w:r>
            <w:r>
              <w:rPr>
                <w:rFonts w:ascii="Times New Roman" w:eastAsia="Times New Roman" w:hAnsi="Times New Roman" w:cs="Times New Roman"/>
                <w:color w:val="000000"/>
                <w:spacing w:val="0"/>
                <w:w w:val="100"/>
                <w:position w:val="0"/>
              </w:rPr>
              <w:t>3</w:t>
            </w:r>
            <w:r>
              <w:rPr>
                <w:color w:val="000000"/>
                <w:spacing w:val="0"/>
                <w:w w:val="100"/>
                <w:position w:val="0"/>
              </w:rPr>
              <w:t>）重要业务缺 乏制度控制或制度系统性失效；（</w:t>
            </w:r>
            <w:r>
              <w:rPr>
                <w:rFonts w:ascii="Times New Roman" w:eastAsia="Times New Roman" w:hAnsi="Times New Roman" w:cs="Times New Roman"/>
                <w:color w:val="000000"/>
                <w:spacing w:val="0"/>
                <w:w w:val="100"/>
                <w:position w:val="0"/>
              </w:rPr>
              <w:t>4</w:t>
            </w: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发现并报告给管理层的重要缺陷在合理的 时间内未加以改正；（</w:t>
            </w:r>
            <w:r>
              <w:rPr>
                <w:rFonts w:ascii="Times New Roman" w:eastAsia="Times New Roman" w:hAnsi="Times New Roman" w:cs="Times New Roman"/>
                <w:color w:val="000000"/>
                <w:spacing w:val="0"/>
                <w:w w:val="100"/>
                <w:position w:val="0"/>
              </w:rPr>
              <w:t>5</w:t>
            </w:r>
            <w:r>
              <w:rPr>
                <w:color w:val="000000"/>
                <w:spacing w:val="0"/>
                <w:w w:val="100"/>
                <w:position w:val="0"/>
              </w:rPr>
              <w:t>）审计委员会和内 部审计部对公司的内部控制监督无效。</w:t>
            </w:r>
            <w:r>
              <w:rPr>
                <w:rFonts w:ascii="Times New Roman" w:eastAsia="Times New Roman" w:hAnsi="Times New Roman" w:cs="Times New Roman"/>
                <w:color w:val="000000"/>
                <w:spacing w:val="0"/>
                <w:w w:val="100"/>
                <w:position w:val="0"/>
              </w:rPr>
              <w:t>2</w:t>
            </w:r>
            <w:r>
              <w:rPr>
                <w:color w:val="000000"/>
                <w:spacing w:val="0"/>
                <w:w w:val="100"/>
                <w:position w:val="0"/>
              </w:rPr>
              <w:t>、 财务报告内部控制存在重要缺陷的迹象包 括：（</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rPr>
              <w:t>3</w:t>
            </w:r>
            <w:r>
              <w:rPr>
                <w:color w:val="000000"/>
                <w:spacing w:val="0"/>
                <w:w w:val="100"/>
                <w:position w:val="0"/>
              </w:rPr>
              <w:t>）财务报告过程中出现单独或多 项缺陷，虽然未达到重大缺陷认定标准， 但影响到财务报告达到真实、准确的目标；</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rPr>
              <w:t>3</w:t>
            </w:r>
            <w:r>
              <w:rPr>
                <w:color w:val="000000"/>
                <w:spacing w:val="0"/>
                <w:w w:val="100"/>
                <w:position w:val="0"/>
              </w:rPr>
              <w:t>、一般缺陷是指除上 述重大缺陷、重要缺陷之外的其他控制缺 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高级管理人员和高级技术人员严重流 失；（</w:t>
            </w:r>
            <w:r>
              <w:rPr>
                <w:rFonts w:ascii="Times New Roman" w:eastAsia="Times New Roman" w:hAnsi="Times New Roman" w:cs="Times New Roman"/>
                <w:color w:val="000000"/>
                <w:spacing w:val="0"/>
                <w:w w:val="100"/>
                <w:position w:val="0"/>
              </w:rPr>
              <w:t>5</w:t>
            </w:r>
            <w:r>
              <w:rPr>
                <w:color w:val="000000"/>
                <w:spacing w:val="0"/>
                <w:w w:val="100"/>
                <w:position w:val="0"/>
              </w:rPr>
              <w:t>）媒体负面新闻频频曝光，对公 司声誉造成重大损害，或发生严重影响 社会公共利益的事件；（</w:t>
            </w:r>
            <w:r>
              <w:rPr>
                <w:rFonts w:ascii="Times New Roman" w:eastAsia="Times New Roman" w:hAnsi="Times New Roman" w:cs="Times New Roman"/>
                <w:color w:val="000000"/>
                <w:spacing w:val="0"/>
                <w:w w:val="100"/>
                <w:position w:val="0"/>
              </w:rPr>
              <w:t>6</w:t>
            </w:r>
            <w:r>
              <w:rPr>
                <w:color w:val="000000"/>
                <w:spacing w:val="0"/>
                <w:w w:val="100"/>
                <w:position w:val="0"/>
              </w:rPr>
              <w:t>）内部控制评 价的结果特别是重大缺陷或重要缺陷 未得到整改。</w:t>
            </w:r>
            <w:r>
              <w:rPr>
                <w:rFonts w:ascii="Times New Roman" w:eastAsia="Times New Roman" w:hAnsi="Times New Roman" w:cs="Times New Roman"/>
                <w:color w:val="000000"/>
                <w:spacing w:val="0"/>
                <w:w w:val="100"/>
                <w:position w:val="0"/>
              </w:rPr>
              <w:t>2</w:t>
            </w:r>
            <w:r>
              <w:rPr>
                <w:color w:val="000000"/>
                <w:spacing w:val="0"/>
                <w:w w:val="100"/>
                <w:position w:val="0"/>
              </w:rPr>
              <w:t>、重要缺陷的认定标准：</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）重要业务制度控制或系统存在缺 陷；（</w:t>
            </w:r>
            <w:r>
              <w:rPr>
                <w:rFonts w:ascii="Times New Roman" w:eastAsia="Times New Roman" w:hAnsi="Times New Roman" w:cs="Times New Roman"/>
                <w:color w:val="000000"/>
                <w:spacing w:val="0"/>
                <w:w w:val="100"/>
                <w:position w:val="0"/>
              </w:rPr>
              <w:t>2</w:t>
            </w:r>
            <w:r>
              <w:rPr>
                <w:color w:val="000000"/>
                <w:spacing w:val="0"/>
                <w:w w:val="100"/>
                <w:position w:val="0"/>
              </w:rPr>
              <w:t>）公司违反国家法律、法规、规 章、政府政策等，导致政府或监管机构 的调查，并被处以罚款或罚金；（</w:t>
            </w:r>
            <w:r>
              <w:rPr>
                <w:rFonts w:ascii="Times New Roman" w:eastAsia="Times New Roman" w:hAnsi="Times New Roman" w:cs="Times New Roman"/>
                <w:color w:val="000000"/>
                <w:spacing w:val="0"/>
                <w:w w:val="100"/>
                <w:position w:val="0"/>
              </w:rPr>
              <w:t>3</w:t>
            </w:r>
            <w:r>
              <w:rPr>
                <w:color w:val="000000"/>
                <w:spacing w:val="0"/>
                <w:w w:val="100"/>
                <w:position w:val="0"/>
              </w:rPr>
              <w:t>）关 键岗位业务人员流失严重；（</w:t>
            </w:r>
            <w:r>
              <w:rPr>
                <w:rFonts w:ascii="Times New Roman" w:eastAsia="Times New Roman" w:hAnsi="Times New Roman" w:cs="Times New Roman"/>
                <w:color w:val="000000"/>
                <w:spacing w:val="0"/>
                <w:w w:val="100"/>
                <w:position w:val="0"/>
              </w:rPr>
              <w:t>4</w:t>
            </w:r>
            <w:r>
              <w:rPr>
                <w:color w:val="000000"/>
                <w:spacing w:val="0"/>
                <w:w w:val="100"/>
                <w:position w:val="0"/>
              </w:rPr>
              <w:t>）媒体出 现负面新闻，波及局部区域。</w:t>
            </w:r>
            <w:r>
              <w:rPr>
                <w:rFonts w:ascii="Times New Roman" w:eastAsia="Times New Roman" w:hAnsi="Times New Roman" w:cs="Times New Roman"/>
                <w:color w:val="000000"/>
                <w:spacing w:val="0"/>
                <w:w w:val="100"/>
                <w:position w:val="0"/>
              </w:rPr>
              <w:t>3</w:t>
            </w:r>
            <w:r>
              <w:rPr>
                <w:color w:val="000000"/>
                <w:spacing w:val="0"/>
                <w:w w:val="100"/>
                <w:position w:val="0"/>
              </w:rPr>
              <w:t>、一般 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）违反企业内部规 章，但未形成损失；（</w:t>
            </w:r>
            <w:r>
              <w:rPr>
                <w:rFonts w:ascii="Times New Roman" w:eastAsia="Times New Roman" w:hAnsi="Times New Roman" w:cs="Times New Roman"/>
                <w:color w:val="000000"/>
                <w:spacing w:val="0"/>
                <w:w w:val="100"/>
                <w:position w:val="0"/>
              </w:rPr>
              <w:t>2</w:t>
            </w:r>
            <w:r>
              <w:rPr>
                <w:color w:val="000000"/>
                <w:spacing w:val="0"/>
                <w:w w:val="100"/>
                <w:position w:val="0"/>
              </w:rPr>
              <w:t>） 一般业务制度 或系统存在缺陷；（</w:t>
            </w:r>
            <w:r>
              <w:rPr>
                <w:rFonts w:ascii="Times New Roman" w:eastAsia="Times New Roman" w:hAnsi="Times New Roman" w:cs="Times New Roman"/>
                <w:color w:val="000000"/>
                <w:spacing w:val="0"/>
                <w:w w:val="100"/>
                <w:position w:val="0"/>
              </w:rPr>
              <w:t>3</w:t>
            </w:r>
            <w:r>
              <w:rPr>
                <w:color w:val="000000"/>
                <w:spacing w:val="0"/>
                <w:w w:val="100"/>
                <w:position w:val="0"/>
              </w:rPr>
              <w:t>）公司一般缺陷未 得到整改。</w:t>
            </w:r>
          </w:p>
        </w:tc>
      </w:tr>
      <w:tr>
        <w:trPr>
          <w:trHeight w:val="414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公司本着是否直接影响财务报告的原则， 以最近一个会计年度合并报告数据为基 数，确定的财务报告错报重要程度的定量 标准：</w:t>
            </w:r>
            <w:r>
              <w:rPr>
                <w:rFonts w:ascii="Times New Roman" w:eastAsia="Times New Roman" w:hAnsi="Times New Roman" w:cs="Times New Roman"/>
                <w:color w:val="000000"/>
                <w:spacing w:val="0"/>
                <w:w w:val="100"/>
                <w:position w:val="0"/>
              </w:rPr>
              <w:t>1</w:t>
            </w:r>
            <w:r>
              <w:rPr>
                <w:color w:val="000000"/>
                <w:spacing w:val="0"/>
                <w:w w:val="100"/>
                <w:position w:val="0"/>
              </w:rPr>
              <w:t>、资产总额错报额。（</w:t>
            </w:r>
            <w:r>
              <w:rPr>
                <w:rFonts w:ascii="Times New Roman" w:eastAsia="Times New Roman" w:hAnsi="Times New Roman" w:cs="Times New Roman"/>
                <w:color w:val="000000"/>
                <w:spacing w:val="0"/>
                <w:w w:val="100"/>
                <w:position w:val="0"/>
              </w:rPr>
              <w:t>1</w:t>
            </w:r>
            <w:r>
              <w:rPr>
                <w:color w:val="000000"/>
                <w:spacing w:val="0"/>
                <w:w w:val="100"/>
                <w:position w:val="0"/>
              </w:rPr>
              <w:t xml:space="preserve">）重大缺陷： </w:t>
            </w:r>
            <w:r>
              <w:rPr>
                <w:rFonts w:ascii="Times New Roman" w:eastAsia="Times New Roman" w:hAnsi="Times New Roman" w:cs="Times New Roman"/>
                <w:color w:val="000000"/>
                <w:spacing w:val="0"/>
                <w:w w:val="100"/>
                <w:position w:val="0"/>
              </w:rPr>
              <w:t>＞1%</w:t>
            </w:r>
            <w:r>
              <w:rPr>
                <w:color w:val="000000"/>
                <w:spacing w:val="0"/>
                <w:w w:val="100"/>
                <w:position w:val="0"/>
              </w:rPr>
              <w:t>资产总额；（</w:t>
            </w:r>
            <w:r>
              <w:rPr>
                <w:rFonts w:ascii="Times New Roman" w:eastAsia="Times New Roman" w:hAnsi="Times New Roman" w:cs="Times New Roman"/>
                <w:color w:val="000000"/>
                <w:spacing w:val="0"/>
                <w:w w:val="100"/>
                <w:position w:val="0"/>
              </w:rPr>
              <w:t>2</w:t>
            </w:r>
            <w:r>
              <w:rPr>
                <w:color w:val="000000"/>
                <w:spacing w:val="0"/>
                <w:w w:val="100"/>
                <w:position w:val="0"/>
              </w:rPr>
              <w:t>）重要缺陷：</w:t>
            </w:r>
            <w:r>
              <w:rPr>
                <w:rFonts w:ascii="Times New Roman" w:eastAsia="Times New Roman" w:hAnsi="Times New Roman" w:cs="Times New Roman"/>
                <w:color w:val="000000"/>
                <w:spacing w:val="0"/>
                <w:w w:val="100"/>
                <w:position w:val="0"/>
              </w:rPr>
              <w:t>0.5%</w:t>
            </w:r>
            <w:r>
              <w:rPr>
                <w:color w:val="000000"/>
                <w:spacing w:val="0"/>
                <w:w w:val="100"/>
                <w:position w:val="0"/>
              </w:rPr>
              <w:t>资产 总额</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1%</w:t>
            </w:r>
            <w:r>
              <w:rPr>
                <w:color w:val="000000"/>
                <w:spacing w:val="0"/>
                <w:w w:val="100"/>
                <w:position w:val="0"/>
              </w:rPr>
              <w:t>资产总额；（</w:t>
            </w:r>
            <w:r>
              <w:rPr>
                <w:rFonts w:ascii="Times New Roman" w:eastAsia="Times New Roman" w:hAnsi="Times New Roman" w:cs="Times New Roman"/>
                <w:color w:val="000000"/>
                <w:spacing w:val="0"/>
                <w:w w:val="100"/>
                <w:position w:val="0"/>
              </w:rPr>
              <w:t>3</w:t>
            </w:r>
            <w:r>
              <w:rPr>
                <w:color w:val="000000"/>
                <w:spacing w:val="0"/>
                <w:w w:val="100"/>
                <w:position w:val="0"/>
              </w:rPr>
              <w:t>） 一般缺陷： ＜</w:t>
            </w:r>
            <w:r>
              <w:rPr>
                <w:rFonts w:ascii="Times New Roman" w:eastAsia="Times New Roman" w:hAnsi="Times New Roman" w:cs="Times New Roman"/>
                <w:color w:val="000000"/>
                <w:spacing w:val="0"/>
                <w:w w:val="100"/>
                <w:position w:val="0"/>
              </w:rPr>
              <w:t>0.5%</w:t>
            </w:r>
            <w:r>
              <w:rPr>
                <w:color w:val="000000"/>
                <w:spacing w:val="0"/>
                <w:w w:val="100"/>
                <w:position w:val="0"/>
              </w:rPr>
              <w:t>资产总额。</w:t>
            </w:r>
            <w:r>
              <w:rPr>
                <w:rFonts w:ascii="Times New Roman" w:eastAsia="Times New Roman" w:hAnsi="Times New Roman" w:cs="Times New Roman"/>
                <w:color w:val="000000"/>
                <w:spacing w:val="0"/>
                <w:w w:val="100"/>
                <w:position w:val="0"/>
              </w:rPr>
              <w:t>2</w:t>
            </w:r>
            <w:r>
              <w:rPr>
                <w:color w:val="000000"/>
                <w:spacing w:val="0"/>
                <w:w w:val="100"/>
                <w:position w:val="0"/>
              </w:rPr>
              <w:t>、营业收入错报额。（</w:t>
            </w:r>
            <w:r>
              <w:rPr>
                <w:rFonts w:ascii="Times New Roman" w:eastAsia="Times New Roman" w:hAnsi="Times New Roman" w:cs="Times New Roman"/>
                <w:color w:val="000000"/>
                <w:spacing w:val="0"/>
                <w:w w:val="100"/>
                <w:position w:val="0"/>
              </w:rPr>
              <w:t>1</w:t>
            </w:r>
            <w:r>
              <w:rPr>
                <w:color w:val="000000"/>
                <w:spacing w:val="0"/>
                <w:w w:val="100"/>
                <w:position w:val="0"/>
              </w:rPr>
              <w:t>） 重大缺陷：</w:t>
            </w:r>
            <w:r>
              <w:rPr>
                <w:rFonts w:ascii="Times New Roman" w:eastAsia="Times New Roman" w:hAnsi="Times New Roman" w:cs="Times New Roman"/>
                <w:color w:val="000000"/>
                <w:spacing w:val="0"/>
                <w:w w:val="100"/>
                <w:position w:val="0"/>
              </w:rPr>
              <w:t>＞3%</w:t>
            </w:r>
            <w:r>
              <w:rPr>
                <w:color w:val="000000"/>
                <w:spacing w:val="0"/>
                <w:w w:val="100"/>
                <w:position w:val="0"/>
              </w:rPr>
              <w:t>营业收入；（</w:t>
            </w:r>
            <w:r>
              <w:rPr>
                <w:rFonts w:ascii="Times New Roman" w:eastAsia="Times New Roman" w:hAnsi="Times New Roman" w:cs="Times New Roman"/>
                <w:color w:val="000000"/>
                <w:spacing w:val="0"/>
                <w:w w:val="100"/>
                <w:position w:val="0"/>
              </w:rPr>
              <w:t>2</w:t>
            </w:r>
            <w:r>
              <w:rPr>
                <w:color w:val="000000"/>
                <w:spacing w:val="0"/>
                <w:w w:val="100"/>
                <w:position w:val="0"/>
              </w:rPr>
              <w:t xml:space="preserve">）重要缺陷： </w:t>
            </w: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3%</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 一 般缺陷：＜</w:t>
            </w:r>
            <w:r>
              <w:rPr>
                <w:rFonts w:ascii="Times New Roman" w:eastAsia="Times New Roman" w:hAnsi="Times New Roman" w:cs="Times New Roman"/>
                <w:color w:val="000000"/>
                <w:spacing w:val="0"/>
                <w:w w:val="100"/>
                <w:position w:val="0"/>
              </w:rPr>
              <w:t>1%</w:t>
            </w:r>
            <w:r>
              <w:rPr>
                <w:color w:val="000000"/>
                <w:spacing w:val="0"/>
                <w:w w:val="100"/>
                <w:position w:val="0"/>
              </w:rPr>
              <w:t>营业收入。</w:t>
            </w:r>
            <w:r>
              <w:rPr>
                <w:rFonts w:ascii="Times New Roman" w:eastAsia="Times New Roman" w:hAnsi="Times New Roman" w:cs="Times New Roman"/>
                <w:color w:val="000000"/>
                <w:spacing w:val="0"/>
                <w:w w:val="100"/>
                <w:position w:val="0"/>
              </w:rPr>
              <w:t>3</w:t>
            </w:r>
            <w:r>
              <w:rPr>
                <w:color w:val="000000"/>
                <w:spacing w:val="0"/>
                <w:w w:val="100"/>
                <w:position w:val="0"/>
              </w:rPr>
              <w:t>、利润总额错 报额。（</w:t>
            </w: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＞10%</w:t>
            </w:r>
            <w:r>
              <w:rPr>
                <w:color w:val="000000"/>
                <w:spacing w:val="0"/>
                <w:w w:val="100"/>
                <w:position w:val="0"/>
              </w:rPr>
              <w:t>利润总额；（</w:t>
            </w:r>
            <w:r>
              <w:rPr>
                <w:rFonts w:ascii="Times New Roman" w:eastAsia="Times New Roman" w:hAnsi="Times New Roman" w:cs="Times New Roman"/>
                <w:color w:val="000000"/>
                <w:spacing w:val="0"/>
                <w:w w:val="100"/>
                <w:position w:val="0"/>
              </w:rPr>
              <w:t>2</w:t>
            </w:r>
            <w:r>
              <w:rPr>
                <w:color w:val="000000"/>
                <w:spacing w:val="0"/>
                <w:w w:val="100"/>
                <w:position w:val="0"/>
              </w:rPr>
              <w:t>） 重要缺陷：</w:t>
            </w:r>
            <w:r>
              <w:rPr>
                <w:rFonts w:ascii="Times New Roman" w:eastAsia="Times New Roman" w:hAnsi="Times New Roman" w:cs="Times New Roman"/>
                <w:color w:val="000000"/>
                <w:spacing w:val="0"/>
                <w:w w:val="100"/>
                <w:position w:val="0"/>
              </w:rPr>
              <w:t>5%</w:t>
            </w:r>
            <w:r>
              <w:rPr>
                <w:color w:val="000000"/>
                <w:spacing w:val="0"/>
                <w:w w:val="100"/>
                <w:position w:val="0"/>
              </w:rPr>
              <w:t>利润总额</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rPr>
              <w:t>10%</w:t>
            </w:r>
            <w:r>
              <w:rPr>
                <w:color w:val="000000"/>
                <w:spacing w:val="0"/>
                <w:w w:val="100"/>
                <w:position w:val="0"/>
              </w:rPr>
              <w:t>利润 总额；（</w:t>
            </w:r>
            <w:r>
              <w:rPr>
                <w:rFonts w:ascii="Times New Roman" w:eastAsia="Times New Roman" w:hAnsi="Times New Roman" w:cs="Times New Roman"/>
                <w:color w:val="000000"/>
                <w:spacing w:val="0"/>
                <w:w w:val="100"/>
                <w:position w:val="0"/>
              </w:rPr>
              <w:t>3</w:t>
            </w:r>
            <w:r>
              <w:rPr>
                <w:color w:val="000000"/>
                <w:spacing w:val="0"/>
                <w:w w:val="100"/>
                <w:position w:val="0"/>
              </w:rPr>
              <w:t>） 一般缺陷：＜</w:t>
            </w:r>
            <w:r>
              <w:rPr>
                <w:rFonts w:ascii="Times New Roman" w:eastAsia="Times New Roman" w:hAnsi="Times New Roman" w:cs="Times New Roman"/>
                <w:color w:val="000000"/>
                <w:spacing w:val="0"/>
                <w:w w:val="100"/>
                <w:position w:val="0"/>
              </w:rPr>
              <w:t>5%</w:t>
            </w: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主要根据缺陷可能造成直接财产损失 的绝对金额确定：</w:t>
            </w:r>
            <w:r>
              <w:rPr>
                <w:rFonts w:ascii="Times New Roman" w:eastAsia="Times New Roman" w:hAnsi="Times New Roman" w:cs="Times New Roman"/>
                <w:color w:val="000000"/>
                <w:spacing w:val="0"/>
                <w:w w:val="100"/>
                <w:position w:val="0"/>
              </w:rPr>
              <w:t>1</w:t>
            </w:r>
            <w:r>
              <w:rPr>
                <w:color w:val="000000"/>
                <w:spacing w:val="0"/>
                <w:w w:val="100"/>
                <w:position w:val="0"/>
              </w:rPr>
              <w:t>、重大缺陷：损失 金额</w:t>
            </w:r>
            <w:r>
              <w:rPr>
                <w:rFonts w:ascii="Times New Roman" w:eastAsia="Times New Roman" w:hAnsi="Times New Roman" w:cs="Times New Roman"/>
                <w:color w:val="000000"/>
                <w:spacing w:val="0"/>
                <w:w w:val="100"/>
                <w:position w:val="0"/>
              </w:rPr>
              <w:t>＞</w:t>
            </w:r>
            <w:r>
              <w:rPr>
                <w:color w:val="000000"/>
                <w:spacing w:val="0"/>
                <w:w w:val="100"/>
                <w:position w:val="0"/>
              </w:rPr>
              <w:t>净资产</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、重要缺陷：净资 产</w:t>
            </w:r>
            <w:r>
              <w:rPr>
                <w:rFonts w:ascii="Times New Roman" w:eastAsia="Times New Roman" w:hAnsi="Times New Roman" w:cs="Times New Roman"/>
                <w:color w:val="000000"/>
                <w:spacing w:val="0"/>
                <w:w w:val="100"/>
                <w:position w:val="0"/>
              </w:rPr>
              <w:t>0.5%＜</w:t>
            </w:r>
            <w:r>
              <w:rPr>
                <w:color w:val="000000"/>
                <w:spacing w:val="0"/>
                <w:w w:val="100"/>
                <w:position w:val="0"/>
              </w:rPr>
              <w:t>损失金额＜净资产</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、一 般缺陷：损失金额＜净资产</w:t>
            </w:r>
            <w:r>
              <w:rPr>
                <w:rFonts w:ascii="Times New Roman" w:eastAsia="Times New Roman" w:hAnsi="Times New Roman" w:cs="Times New Roman"/>
                <w:color w:val="000000"/>
                <w:spacing w:val="0"/>
                <w:w w:val="100"/>
                <w:position w:val="0"/>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r>
        <w:rPr>
          <w:color w:val="000000"/>
          <w:spacing w:val="0"/>
          <w:w w:val="100"/>
          <w:position w:val="0"/>
          <w:sz w:val="24"/>
          <w:szCs w:val="24"/>
        </w:rPr>
        <w:t>十、内部控制审计报告或鉴证报告</w:t>
      </w:r>
      <w:bookmarkEnd w:id="627"/>
      <w:bookmarkEnd w:id="628"/>
      <w:bookmarkEnd w:id="629"/>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580" w:line="240" w:lineRule="auto"/>
        <w:ind w:left="0" w:right="0" w:firstLine="0"/>
        <w:jc w:val="center"/>
      </w:pPr>
      <w:bookmarkStart w:id="630" w:name="bookmark630"/>
      <w:bookmarkStart w:id="631" w:name="bookmark631"/>
      <w:bookmarkStart w:id="632" w:name="bookmark632"/>
      <w:bookmarkStart w:id="633" w:name="bookmark633"/>
      <w:r>
        <w:rPr>
          <w:color w:val="000000"/>
          <w:spacing w:val="0"/>
          <w:w w:val="100"/>
          <w:position w:val="0"/>
        </w:rPr>
        <w:t>第十节公司债券相关情况</w:t>
      </w:r>
      <w:bookmarkEnd w:id="631"/>
      <w:bookmarkEnd w:id="632"/>
      <w:bookmarkEnd w:id="633"/>
      <w:bookmarkEnd w:id="63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73" w:bottom="1446" w:left="1060" w:header="0" w:footer="3" w:gutter="0"/>
          <w:cols w:space="720"/>
          <w:noEndnote/>
          <w:rtlGutter w:val="0"/>
          <w:docGrid w:linePitch="360"/>
        </w:sectPr>
      </w:pPr>
      <w:r>
        <w:rPr>
          <w:color w:val="000000"/>
          <w:spacing w:val="0"/>
          <w:w w:val="100"/>
          <w:position w:val="0"/>
        </w:rPr>
        <w:t>否</w: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pgSz w:w="11900" w:h="16840"/>
          <w:pgMar w:top="1378" w:right="1056" w:bottom="1436" w:left="1066" w:header="0" w:footer="3" w:gutter="0"/>
          <w:cols w:space="720"/>
          <w:noEndnote/>
          <w:rtlGutter w:val="0"/>
          <w:docGrid w:linePitch="360"/>
        </w:sectPr>
      </w:pPr>
    </w:p>
    <w:p>
      <w:pPr>
        <w:pStyle w:val="Style14"/>
        <w:keepNext/>
        <w:keepLines/>
        <w:widowControl w:val="0"/>
        <w:shd w:val="clear" w:color="auto" w:fill="auto"/>
        <w:bidi w:val="0"/>
        <w:spacing w:before="0" w:after="520" w:line="240" w:lineRule="auto"/>
        <w:ind w:left="0" w:right="0" w:firstLine="0"/>
        <w:jc w:val="center"/>
      </w:pPr>
      <w:bookmarkStart w:id="634" w:name="bookmark634"/>
      <w:bookmarkStart w:id="635" w:name="bookmark635"/>
      <w:bookmarkStart w:id="636" w:name="bookmark636"/>
      <w:bookmarkStart w:id="637" w:name="bookmark637"/>
      <w:r>
        <w:rPr>
          <w:color w:val="000000"/>
          <w:spacing w:val="0"/>
          <w:w w:val="100"/>
          <w:position w:val="0"/>
        </w:rPr>
        <w:t>第十一节财务报告</w:t>
      </w:r>
      <w:bookmarkEnd w:id="635"/>
      <w:bookmarkEnd w:id="636"/>
      <w:bookmarkEnd w:id="637"/>
      <w:bookmarkEnd w:id="634"/>
    </w:p>
    <w:p>
      <w:pPr>
        <w:pStyle w:val="Style27"/>
        <w:keepNext/>
        <w:keepLines/>
        <w:widowControl w:val="0"/>
        <w:shd w:val="clear" w:color="auto" w:fill="auto"/>
        <w:bidi w:val="0"/>
        <w:spacing w:before="0" w:after="320" w:line="240" w:lineRule="auto"/>
        <w:ind w:left="0" w:right="0" w:firstLine="260"/>
        <w:jc w:val="left"/>
      </w:pPr>
      <w:bookmarkStart w:id="638" w:name="bookmark638"/>
      <w:bookmarkStart w:id="639" w:name="bookmark639"/>
      <w:bookmarkStart w:id="640" w:name="bookmark640"/>
      <w:r>
        <w:rPr>
          <w:color w:val="000000"/>
          <w:spacing w:val="0"/>
          <w:w w:val="100"/>
          <w:position w:val="0"/>
          <w:sz w:val="24"/>
          <w:szCs w:val="24"/>
        </w:rPr>
        <w:t>、审计报告</w:t>
      </w:r>
      <w:bookmarkEnd w:id="638"/>
      <w:bookmarkEnd w:id="639"/>
      <w:bookmarkEnd w:id="64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闽华兴所（</w:t>
            </w:r>
            <w:r>
              <w:rPr>
                <w:rFonts w:ascii="Times New Roman" w:eastAsia="Times New Roman" w:hAnsi="Times New Roman" w:cs="Times New Roman"/>
                <w:color w:val="000000"/>
                <w:spacing w:val="0"/>
                <w:w w:val="100"/>
                <w:position w:val="0"/>
              </w:rPr>
              <w:t>2017</w:t>
            </w:r>
            <w:r>
              <w:rPr>
                <w:color w:val="000000"/>
                <w:spacing w:val="0"/>
                <w:w w:val="100"/>
                <w:position w:val="0"/>
              </w:rPr>
              <w:t>）审字</w:t>
            </w:r>
            <w:r>
              <w:rPr>
                <w:rFonts w:ascii="Times New Roman" w:eastAsia="Times New Roman" w:hAnsi="Times New Roman" w:cs="Times New Roman"/>
                <w:color w:val="000000"/>
                <w:spacing w:val="0"/>
                <w:w w:val="100"/>
                <w:position w:val="0"/>
              </w:rPr>
              <w:t>1-068</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郑丽惠、郭璇</w:t>
            </w:r>
          </w:p>
        </w:tc>
      </w:tr>
    </w:tbl>
    <w:p>
      <w:pPr>
        <w:pStyle w:val="Style29"/>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审计报告</w:t>
      </w:r>
    </w:p>
    <w:p>
      <w:pPr>
        <w:pStyle w:val="Style31"/>
        <w:keepNext w:val="0"/>
        <w:keepLines w:val="0"/>
        <w:widowControl w:val="0"/>
        <w:shd w:val="clear" w:color="auto" w:fill="auto"/>
        <w:bidi w:val="0"/>
        <w:spacing w:before="0" w:after="0" w:line="312" w:lineRule="exact"/>
        <w:ind w:left="0" w:right="0" w:firstLine="7280"/>
        <w:jc w:val="both"/>
      </w:pPr>
      <w:r>
        <w:rPr>
          <w:color w:val="000000"/>
          <w:spacing w:val="0"/>
          <w:w w:val="100"/>
          <w:position w:val="0"/>
        </w:rPr>
        <w:t>闽华兴所（</w:t>
      </w:r>
      <w:r>
        <w:rPr>
          <w:rFonts w:ascii="Times New Roman" w:eastAsia="Times New Roman" w:hAnsi="Times New Roman" w:cs="Times New Roman"/>
          <w:color w:val="000000"/>
          <w:spacing w:val="0"/>
          <w:w w:val="100"/>
          <w:position w:val="0"/>
        </w:rPr>
        <w:t>2017</w:t>
      </w:r>
      <w:r>
        <w:rPr>
          <w:color w:val="000000"/>
          <w:spacing w:val="0"/>
          <w:w w:val="100"/>
          <w:position w:val="0"/>
        </w:rPr>
        <w:t>）审字</w:t>
      </w:r>
      <w:r>
        <w:rPr>
          <w:rFonts w:ascii="Times New Roman" w:eastAsia="Times New Roman" w:hAnsi="Times New Roman" w:cs="Times New Roman"/>
          <w:color w:val="000000"/>
          <w:spacing w:val="0"/>
          <w:w w:val="100"/>
          <w:position w:val="0"/>
        </w:rPr>
        <w:t>I</w:t>
      </w:r>
      <w:r>
        <w:rPr>
          <w:rFonts w:ascii="Times New Roman" w:eastAsia="Times New Roman" w:hAnsi="Times New Roman" w:cs="Times New Roman"/>
          <w:color w:val="000000"/>
          <w:spacing w:val="0"/>
          <w:w w:val="100"/>
          <w:position w:val="0"/>
        </w:rPr>
        <w:t>-068</w:t>
      </w:r>
      <w:r>
        <w:rPr>
          <w:color w:val="000000"/>
          <w:spacing w:val="0"/>
          <w:w w:val="100"/>
          <w:position w:val="0"/>
        </w:rPr>
        <w:t xml:space="preserve">号 </w:t>
      </w:r>
      <w:r>
        <w:rPr>
          <w:b/>
          <w:bCs/>
          <w:color w:val="000000"/>
          <w:spacing w:val="0"/>
          <w:w w:val="100"/>
          <w:position w:val="0"/>
        </w:rPr>
        <w:t>福建博思软件股份有限公司全体股东：</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我们审计了后附的福建博思软件股份有限公司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以下简称贵公司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 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年度的合并及母公司利润表、现金流量表和所有者权益变动表以及财务报表附注。</w:t>
      </w:r>
    </w:p>
    <w:p>
      <w:pPr>
        <w:pStyle w:val="Style31"/>
        <w:keepNext w:val="0"/>
        <w:keepLines w:val="0"/>
        <w:widowControl w:val="0"/>
        <w:shd w:val="clear" w:color="auto" w:fill="auto"/>
        <w:tabs>
          <w:tab w:pos="820" w:val="left"/>
        </w:tabs>
        <w:bidi w:val="0"/>
        <w:spacing w:before="0" w:after="0" w:line="312" w:lineRule="exact"/>
        <w:ind w:left="0" w:right="0"/>
        <w:jc w:val="left"/>
      </w:pPr>
      <w:bookmarkStart w:id="641" w:name="bookmark641"/>
      <w:r>
        <w:rPr>
          <w:b/>
          <w:bCs/>
          <w:color w:val="000000"/>
          <w:spacing w:val="0"/>
          <w:w w:val="100"/>
          <w:position w:val="0"/>
        </w:rPr>
        <w:t>一</w:t>
      </w:r>
      <w:bookmarkEnd w:id="641"/>
      <w:r>
        <w:rPr>
          <w:b/>
          <w:bCs/>
          <w:color w:val="000000"/>
          <w:spacing w:val="0"/>
          <w:w w:val="100"/>
          <w:position w:val="0"/>
        </w:rPr>
        <w:t>、</w:t>
        <w:tab/>
        <w:t>管理层对财务报表的责任</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820" w:val="left"/>
        </w:tabs>
        <w:bidi w:val="0"/>
        <w:spacing w:before="0" w:after="0" w:line="312" w:lineRule="exact"/>
        <w:ind w:left="0" w:right="0"/>
        <w:jc w:val="left"/>
      </w:pPr>
      <w:bookmarkStart w:id="642" w:name="bookmark642"/>
      <w:r>
        <w:rPr>
          <w:b/>
          <w:bCs/>
          <w:color w:val="000000"/>
          <w:spacing w:val="0"/>
          <w:w w:val="100"/>
          <w:position w:val="0"/>
        </w:rPr>
        <w:t>二</w:t>
      </w:r>
      <w:bookmarkEnd w:id="642"/>
      <w:r>
        <w:rPr>
          <w:b/>
          <w:bCs/>
          <w:color w:val="000000"/>
          <w:spacing w:val="0"/>
          <w:w w:val="100"/>
          <w:position w:val="0"/>
        </w:rPr>
        <w:t>、</w:t>
        <w:tab/>
        <w:t>注册会计师的责任</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825" w:val="left"/>
        </w:tabs>
        <w:bidi w:val="0"/>
        <w:spacing w:before="0" w:after="0" w:line="312" w:lineRule="exact"/>
        <w:ind w:left="0" w:right="0"/>
        <w:jc w:val="both"/>
      </w:pPr>
      <w:bookmarkStart w:id="643" w:name="bookmark643"/>
      <w:r>
        <w:rPr>
          <w:b/>
          <w:bCs/>
          <w:color w:val="000000"/>
          <w:spacing w:val="0"/>
          <w:w w:val="100"/>
          <w:position w:val="0"/>
        </w:rPr>
        <w:t>三</w:t>
      </w:r>
      <w:bookmarkEnd w:id="643"/>
      <w:r>
        <w:rPr>
          <w:b/>
          <w:bCs/>
          <w:color w:val="000000"/>
          <w:spacing w:val="0"/>
          <w:w w:val="100"/>
          <w:position w:val="0"/>
        </w:rPr>
        <w:t>、</w:t>
        <w:tab/>
        <w:t>审计意见</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日合并及母 公司的财务状况以及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年度合并及母公司的经营成果和现金流量。</w:t>
      </w:r>
    </w:p>
    <w:p>
      <w:pPr>
        <w:widowControl w:val="0"/>
        <w:spacing w:line="1" w:lineRule="exact"/>
      </w:pPr>
      <w:r>
        <mc:AlternateContent>
          <mc:Choice Requires="wps">
            <w:drawing>
              <wp:anchor distT="762000" distB="15240" distL="0" distR="0" simplePos="0" relativeHeight="125829380" behindDoc="0" locked="0" layoutInCell="1" allowOverlap="1">
                <wp:simplePos x="0" y="0"/>
                <wp:positionH relativeFrom="page">
                  <wp:posOffset>1135380</wp:posOffset>
                </wp:positionH>
                <wp:positionV relativeFrom="paragraph">
                  <wp:posOffset>762000</wp:posOffset>
                </wp:positionV>
                <wp:extent cx="1179830" cy="768350"/>
                <wp:wrapTopAndBottom/>
                <wp:docPr id="14" name="Shape 14"/>
                <a:graphic xmlns:a="http://schemas.openxmlformats.org/drawingml/2006/main">
                  <a:graphicData uri="http://schemas.microsoft.com/office/word/2010/wordprocessingShape">
                    <wps:wsp>
                      <wps:cNvSpPr txBox="1"/>
                      <wps:spPr>
                        <a:xfrm>
                          <a:ext cx="1179830" cy="768350"/>
                        </a:xfrm>
                        <a:prstGeom prst="rect"/>
                        <a:noFill/>
                      </wps:spPr>
                      <wps:txbx>
                        <w:txbxContent>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福建华兴会计师事务所</w:t>
                            </w:r>
                          </w:p>
                          <w:p>
                            <w:pPr>
                              <w:pStyle w:val="Style31"/>
                              <w:keepNext w:val="0"/>
                              <w:keepLines w:val="0"/>
                              <w:widowControl w:val="0"/>
                              <w:shd w:val="clear" w:color="auto" w:fill="auto"/>
                              <w:bidi w:val="0"/>
                              <w:spacing w:before="0" w:after="440" w:line="240" w:lineRule="auto"/>
                              <w:ind w:left="0" w:right="0" w:firstLine="0"/>
                              <w:jc w:val="center"/>
                            </w:pPr>
                            <w:r>
                              <w:rPr>
                                <w:b/>
                                <w:bCs/>
                                <w:color w:val="000000"/>
                                <w:spacing w:val="0"/>
                                <w:w w:val="100"/>
                                <w:position w:val="0"/>
                              </w:rPr>
                              <w:t>（特殊普通合伙）</w:t>
                            </w:r>
                          </w:p>
                          <w:p>
                            <w:pPr>
                              <w:pStyle w:val="Style31"/>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中国福州市</w:t>
                            </w:r>
                          </w:p>
                        </w:txbxContent>
                      </wps:txbx>
                      <wps:bodyPr lIns="0" tIns="0" rIns="0" bIns="0">
                        <a:noAutoFit/>
                      </wps:bodyPr>
                    </wps:wsp>
                  </a:graphicData>
                </a:graphic>
              </wp:anchor>
            </w:drawing>
          </mc:Choice>
          <mc:Fallback>
            <w:pict>
              <v:shape id="_x0000_s1040" type="#_x0000_t202" style="position:absolute;margin-left:89.400000000000006pt;margin-top:60.pt;width:92.900000000000006pt;height:60.5pt;z-index:-125829373;mso-wrap-distance-left:0;mso-wrap-distance-top:60.pt;mso-wrap-distance-right:0;mso-wrap-distance-bottom:1.2pt;mso-position-horizontal-relative:page" filled="f" stroked="f">
                <v:textbox inset="0,0,0,0">
                  <w:txbxContent>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福建华兴会计师事务所</w:t>
                      </w:r>
                    </w:p>
                    <w:p>
                      <w:pPr>
                        <w:pStyle w:val="Style31"/>
                        <w:keepNext w:val="0"/>
                        <w:keepLines w:val="0"/>
                        <w:widowControl w:val="0"/>
                        <w:shd w:val="clear" w:color="auto" w:fill="auto"/>
                        <w:bidi w:val="0"/>
                        <w:spacing w:before="0" w:after="440" w:line="240" w:lineRule="auto"/>
                        <w:ind w:left="0" w:right="0" w:firstLine="0"/>
                        <w:jc w:val="center"/>
                      </w:pPr>
                      <w:r>
                        <w:rPr>
                          <w:b/>
                          <w:bCs/>
                          <w:color w:val="000000"/>
                          <w:spacing w:val="0"/>
                          <w:w w:val="100"/>
                          <w:position w:val="0"/>
                        </w:rPr>
                        <w:t>（特殊普通合伙）</w:t>
                      </w:r>
                    </w:p>
                    <w:p>
                      <w:pPr>
                        <w:pStyle w:val="Style31"/>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中国福州市</w:t>
                      </w:r>
                    </w:p>
                  </w:txbxContent>
                </v:textbox>
                <w10:wrap type="topAndBottom" anchorx="page"/>
              </v:shape>
            </w:pict>
          </mc:Fallback>
        </mc:AlternateContent>
      </w:r>
      <w:r>
        <mc:AlternateContent>
          <mc:Choice Requires="wps">
            <w:drawing>
              <wp:anchor distT="762000" distB="0" distL="0" distR="0" simplePos="0" relativeHeight="125829382" behindDoc="0" locked="0" layoutInCell="1" allowOverlap="1">
                <wp:simplePos x="0" y="0"/>
                <wp:positionH relativeFrom="page">
                  <wp:posOffset>3616325</wp:posOffset>
                </wp:positionH>
                <wp:positionV relativeFrom="paragraph">
                  <wp:posOffset>762000</wp:posOffset>
                </wp:positionV>
                <wp:extent cx="1289050" cy="783590"/>
                <wp:wrapTopAndBottom/>
                <wp:docPr id="16" name="Shape 16"/>
                <a:graphic xmlns:a="http://schemas.openxmlformats.org/drawingml/2006/main">
                  <a:graphicData uri="http://schemas.microsoft.com/office/word/2010/wordprocessingShape">
                    <wps:wsp>
                      <wps:cNvSpPr txBox="1"/>
                      <wps:spPr>
                        <a:xfrm>
                          <a:ext cx="1289050" cy="783590"/>
                        </a:xfrm>
                        <a:prstGeom prst="rect"/>
                        <a:noFill/>
                      </wps:spPr>
                      <wps:txbx>
                        <w:txbxContent>
                          <w:p>
                            <w:pPr>
                              <w:pStyle w:val="Style31"/>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rPr>
                              <w:t>中国注册会计师：郑丽惠</w:t>
                            </w:r>
                          </w:p>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中国注册会计师：郭璇</w:t>
                            </w:r>
                          </w:p>
                          <w:p>
                            <w:pPr>
                              <w:pStyle w:val="Style3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二</w:t>
                            </w:r>
                            <w:r>
                              <w:rPr>
                                <w:b/>
                                <w:bCs/>
                                <w:color w:val="000000"/>
                                <w:spacing w:val="0"/>
                                <w:w w:val="100"/>
                                <w:position w:val="0"/>
                                <w:sz w:val="19"/>
                                <w:szCs w:val="19"/>
                              </w:rPr>
                              <w:t>。</w:t>
                            </w:r>
                            <w:r>
                              <w:rPr>
                                <w:b/>
                                <w:bCs/>
                                <w:color w:val="000000"/>
                                <w:spacing w:val="0"/>
                                <w:w w:val="100"/>
                                <w:position w:val="0"/>
                              </w:rPr>
                              <w:t>一七年四月二十一日</w:t>
                            </w:r>
                          </w:p>
                        </w:txbxContent>
                      </wps:txbx>
                      <wps:bodyPr lIns="0" tIns="0" rIns="0" bIns="0">
                        <a:noAutoFit/>
                      </wps:bodyPr>
                    </wps:wsp>
                  </a:graphicData>
                </a:graphic>
              </wp:anchor>
            </w:drawing>
          </mc:Choice>
          <mc:Fallback>
            <w:pict>
              <v:shape id="_x0000_s1042" type="#_x0000_t202" style="position:absolute;margin-left:284.75pt;margin-top:60.pt;width:101.5pt;height:61.700000000000003pt;z-index:-125829371;mso-wrap-distance-left:0;mso-wrap-distance-top:60.pt;mso-wrap-distance-right:0;mso-position-horizontal-relative:page" filled="f" stroked="f">
                <v:textbox inset="0,0,0,0">
                  <w:txbxContent>
                    <w:p>
                      <w:pPr>
                        <w:pStyle w:val="Style31"/>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rPr>
                        <w:t>中国注册会计师：郑丽惠</w:t>
                      </w:r>
                    </w:p>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中国注册会计师：郭璇</w:t>
                      </w:r>
                    </w:p>
                    <w:p>
                      <w:pPr>
                        <w:pStyle w:val="Style3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二</w:t>
                      </w:r>
                      <w:r>
                        <w:rPr>
                          <w:b/>
                          <w:bCs/>
                          <w:color w:val="000000"/>
                          <w:spacing w:val="0"/>
                          <w:w w:val="100"/>
                          <w:position w:val="0"/>
                          <w:sz w:val="19"/>
                          <w:szCs w:val="19"/>
                        </w:rPr>
                        <w:t>。</w:t>
                      </w:r>
                      <w:r>
                        <w:rPr>
                          <w:b/>
                          <w:bCs/>
                          <w:color w:val="000000"/>
                          <w:spacing w:val="0"/>
                          <w:w w:val="100"/>
                          <w:position w:val="0"/>
                        </w:rPr>
                        <w:t>一七年四月二十一日</w:t>
                      </w:r>
                    </w:p>
                  </w:txbxContent>
                </v:textbox>
                <w10:wrap type="topAndBottom" anchorx="page"/>
              </v:shape>
            </w:pict>
          </mc:Fallback>
        </mc:AlternateContent>
      </w:r>
      <w:r>
        <w:br w:type="page"/>
      </w:r>
    </w:p>
    <w:p>
      <w:pPr>
        <w:pStyle w:val="Style27"/>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r>
        <w:rPr>
          <w:color w:val="000000"/>
          <w:spacing w:val="0"/>
          <w:w w:val="100"/>
          <w:position w:val="0"/>
          <w:sz w:val="24"/>
          <w:szCs w:val="24"/>
        </w:rPr>
        <w:t>二、财务报表</w:t>
      </w:r>
      <w:bookmarkEnd w:id="644"/>
      <w:bookmarkEnd w:id="645"/>
      <w:bookmarkEnd w:id="64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、合并资产负债表</w:t>
      </w:r>
      <w:bookmarkEnd w:id="647"/>
      <w:bookmarkEnd w:id="648"/>
      <w:bookmarkEnd w:id="65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编制单位：福建博思软件股份有限公司</w:t>
      </w:r>
    </w:p>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259,634,866.04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89,773,751.79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47,674,161.56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32,748,709.56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3,779,573.03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6,458,641.94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4,574,851.70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2,853,230.86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7,079,537.78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9,280,268.81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51,959.71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322,756,214.92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141,173,306.89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2,206,533.72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1,918,262.88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12,340,722.32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7,904,062.16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120,993,234.97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118,320,695.24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6,152,610.52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6,332,824.96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14,557,373.14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1,932,398.53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1,435,424.98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1,182,476.32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157,685,899.65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137,590,720.09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480,442,114.57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278,764,026.98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15,386,872.04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14,386,482.76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7,974,858.01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11,976,892.84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17,035,537.68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12,476,144.88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6,873,334.36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6,649,076.14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2,557,033.80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323,297.88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50,827,635.89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48,811,894.50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50,827,635.89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48,811,894.50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68,139,000.00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51,039,000.00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194,601,481.65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41,078,592.22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13,943,396.06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11,148,369.99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145,541,481.37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123,662,686.95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422,225,359.08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226,928,649.16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7,389,119.60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3,023,483.32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429,614,478.68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229,952,132.48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480,442,114.57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278,764,026.98</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4914900" simplePos="0" relativeHeight="125829384" behindDoc="0" locked="0" layoutInCell="1" allowOverlap="1">
                <wp:simplePos x="0" y="0"/>
                <wp:positionH relativeFrom="page">
                  <wp:posOffset>710565</wp:posOffset>
                </wp:positionH>
                <wp:positionV relativeFrom="margin">
                  <wp:posOffset>1539240</wp:posOffset>
                </wp:positionV>
                <wp:extent cx="1225550" cy="149225"/>
                <wp:wrapTopAndBottom/>
                <wp:docPr id="18" name="Shape 18"/>
                <a:graphic xmlns:a="http://schemas.openxmlformats.org/drawingml/2006/main">
                  <a:graphicData uri="http://schemas.microsoft.com/office/word/2010/wordprocessingShape">
                    <wps:wsp>
                      <wps:cNvSpPr txBox="1"/>
                      <wps:spPr>
                        <a:xfrm>
                          <a:ext cx="122555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 陈航</w:t>
                            </w:r>
                          </w:p>
                        </w:txbxContent>
                      </wps:txbx>
                      <wps:bodyPr wrap="none" lIns="0" tIns="0" rIns="0" bIns="0">
                        <a:noAutoFit/>
                      </wps:bodyPr>
                    </wps:wsp>
                  </a:graphicData>
                </a:graphic>
              </wp:anchor>
            </w:drawing>
          </mc:Choice>
          <mc:Fallback>
            <w:pict>
              <v:shape id="_x0000_s1044" type="#_x0000_t202" style="position:absolute;margin-left:55.950000000000003pt;margin-top:121.2pt;width:96.5pt;height:11.75pt;z-index:-125829369;mso-wrap-distance-left:9.pt;mso-wrap-distance-top:12.pt;mso-wrap-distance-right:387.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 陈航</w:t>
                      </w:r>
                    </w:p>
                  </w:txbxContent>
                </v:textbox>
                <w10:wrap type="topAndBottom" anchorx="page" anchory="margin"/>
              </v:shape>
            </w:pict>
          </mc:Fallback>
        </mc:AlternateContent>
      </w:r>
      <w:r>
        <mc:AlternateContent>
          <mc:Choice Requires="wps">
            <w:drawing>
              <wp:anchor distT="152400" distB="3175" distL="2345690" distR="2400300" simplePos="0" relativeHeight="125829386" behindDoc="0" locked="0" layoutInCell="1" allowOverlap="1">
                <wp:simplePos x="0" y="0"/>
                <wp:positionH relativeFrom="page">
                  <wp:posOffset>2941955</wp:posOffset>
                </wp:positionH>
                <wp:positionV relativeFrom="margin">
                  <wp:posOffset>1539240</wp:posOffset>
                </wp:positionV>
                <wp:extent cx="1508760" cy="146050"/>
                <wp:wrapTopAndBottom/>
                <wp:docPr id="20" name="Shape 2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主管会计工作负责人：郑升尉</w:t>
                            </w:r>
                          </w:p>
                        </w:txbxContent>
                      </wps:txbx>
                      <wps:bodyPr wrap="none" lIns="0" tIns="0" rIns="0" bIns="0">
                        <a:noAutoFit/>
                      </wps:bodyPr>
                    </wps:wsp>
                  </a:graphicData>
                </a:graphic>
              </wp:anchor>
            </w:drawing>
          </mc:Choice>
          <mc:Fallback>
            <w:pict>
              <v:shape id="_x0000_s1046" type="#_x0000_t202" style="position:absolute;margin-left:231.65000000000001pt;margin-top:121.2pt;width:118.8pt;height:11.5pt;z-index:-125829367;mso-wrap-distance-left:184.70000000000002pt;mso-wrap-distance-top:12.pt;mso-wrap-distance-right:18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主管会计工作负责人：郑升尉</w:t>
                      </w:r>
                    </w:p>
                  </w:txbxContent>
                </v:textbox>
                <w10:wrap type="topAndBottom" anchorx="page" anchory="margin"/>
              </v:shape>
            </w:pict>
          </mc:Fallback>
        </mc:AlternateContent>
      </w:r>
      <w:r>
        <mc:AlternateContent>
          <mc:Choice Requires="wps">
            <w:drawing>
              <wp:anchor distT="152400" distB="0" distL="4853940" distR="114300" simplePos="0" relativeHeight="125829388" behindDoc="0" locked="0" layoutInCell="1" allowOverlap="1">
                <wp:simplePos x="0" y="0"/>
                <wp:positionH relativeFrom="page">
                  <wp:posOffset>5450205</wp:posOffset>
                </wp:positionH>
                <wp:positionV relativeFrom="margin">
                  <wp:posOffset>1539240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会计机构负责人：朱红玉</w:t>
                            </w:r>
                          </w:p>
                        </w:txbxContent>
                      </wps:txbx>
                      <wps:bodyPr wrap="none" lIns="0" tIns="0" rIns="0" bIns="0">
                        <a:noAutoFit/>
                      </wps:bodyPr>
                    </wps:wsp>
                  </a:graphicData>
                </a:graphic>
              </wp:anchor>
            </w:drawing>
          </mc:Choice>
          <mc:Fallback>
            <w:pict>
              <v:shape id="_x0000_s1048" type="#_x0000_t202" style="position:absolute;margin-left:429.15000000000003pt;margin-top:121.2pt;width:101.3pt;height:11.75pt;z-index:-125829365;mso-wrap-distance-left:382.19999999999999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会计机构负责人：朱红玉</w:t>
                      </w:r>
                    </w:p>
                  </w:txbxContent>
                </v:textbox>
                <w10:wrap type="topAndBottom" anchorx="page" anchory="margin"/>
              </v:shape>
            </w:pict>
          </mc:Fallback>
        </mc:AlternateContent>
      </w: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、母公司资产负债表</w:t>
      </w:r>
      <w:bookmarkEnd w:id="651"/>
      <w:bookmarkEnd w:id="652"/>
      <w:bookmarkEnd w:id="6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202,267,280.03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59,248,954.34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37,912,156.10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25,972,765.56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2,539,682.70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5,676,785.62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3,819,092.89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2,346,115.55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6,270,511.09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9,161,399.79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252,808,722.81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102,415,050.01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32,504,873.60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12,341,102.76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16,454,296.40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11,856,093.24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115,627,460.80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113,035,490.34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6,047,610.52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6,215,224.96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1,109,065.00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814,075.96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171,743,306.32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144,261,987.26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424,552,029.13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246,677,037.27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13,085,202.35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13,440,062.76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7,137,114.23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11,858,964.79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11,629,436.14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9,326,163.73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3,977,138.27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5,183,731.93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176,495.99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266,822.00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36,005,386.98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43,075,745.21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36,005,386.98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43,075,745.21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68,139,000.00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51,039,000.00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194,601,481.65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41,078,592.22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13,943,396.06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11,148,369.99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111,862,764.44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100,335,329.85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388,546,642.15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203,601,292.06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424,552,029.13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246,677,037.27</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、合并利润表</w:t>
      </w:r>
      <w:bookmarkEnd w:id="655"/>
      <w:bookmarkEnd w:id="656"/>
      <w:bookmarkEnd w:id="6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171,251,296.12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153,197,534.27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171,251,296.12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153,197,534.27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137,630,341.99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117,880,827.29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52,686,548.51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50,407,767.79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2,399,994.96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1,575,699.79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27,822,307.75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23,922,683.60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50,892,384.84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40,302,935.73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-741,678.62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-289,149.63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4,570,784.55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1,960,890.01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33,909,224.97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35,714,706.98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9,390,733.04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6,810,947.83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18,111.98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18,111.98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43,297,764.55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42,507,542.83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5,669,413.01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4,966,805.32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37,628,351.54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37,540,737.51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38,301,620.49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36,731,975.96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-673,268.95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808,761.55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 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37,628,351.54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37,540,737.51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38,301,620.49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36,731,975.96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-673,268.95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808,761.55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1"/>
        <w:keepNext w:val="0"/>
        <w:keepLines w:val="0"/>
        <w:widowControl w:val="0"/>
        <w:shd w:val="clear" w:color="auto" w:fill="auto"/>
        <w:tabs>
          <w:tab w:pos="1512" w:val="left"/>
          <w:tab w:pos="3456" w:val="left"/>
          <w:tab w:pos="7421" w:val="left"/>
        </w:tabs>
        <w:bidi w:val="0"/>
        <w:spacing w:before="0" w:after="380" w:line="240" w:lineRule="auto"/>
        <w:ind w:left="0" w:right="0" w:firstLine="0"/>
        <w:jc w:val="left"/>
      </w:pPr>
      <w:r>
        <w:rPr>
          <w:color w:val="000000"/>
          <w:spacing w:val="0"/>
          <w:w w:val="100"/>
          <w:position w:val="0"/>
        </w:rPr>
        <w:t>法定代表人：</w:t>
        <w:tab/>
        <w:t>陈航</w:t>
        <w:tab/>
        <w:t>主管会计工作负责人：郑升尉</w:t>
        <w:tab/>
        <w:t>会计机构负责人：朱红玉</w:t>
      </w:r>
    </w:p>
    <w:p>
      <w:pPr>
        <w:pStyle w:val="Style35"/>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、母公司利润表</w:t>
      </w:r>
      <w:bookmarkEnd w:id="659"/>
      <w:bookmarkEnd w:id="660"/>
      <w:bookmarkEnd w:id="6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123,512,286.56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113,536,649.11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42,554,317.10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39,086,369.14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1,903,950.29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1,178,565.22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23,202,408.41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20,642,033.99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36,258,324.67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29,511,371.51</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-474,682.87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-64,235.65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3,543,580.82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2,070,965.16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13,398,000.00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22,812,658.98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34,509,579.74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8,011,926.63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5,479,109.56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30,824,585.61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39,984,785.37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2,874,324.95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3,265,040.10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27,950,260.66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36,719,745.27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27,950,260.66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36,719,745.27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5</w:t>
      </w:r>
      <w:bookmarkEnd w:id="665"/>
      <w:r>
        <w:rPr>
          <w:color w:val="000000"/>
          <w:spacing w:val="0"/>
          <w:w w:val="100"/>
          <w:position w:val="0"/>
        </w:rPr>
        <w:t>、合并现金流量表</w:t>
      </w:r>
      <w:bookmarkEnd w:id="663"/>
      <w:bookmarkEnd w:id="664"/>
      <w:bookmarkEnd w:id="6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162,640,925.35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172,225,226.43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6,680,352.38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4,300,987.81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11,372,902.17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10,908,715.22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180,694,179.90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187,434,929.46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22,563,798.64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33,521,512.31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62,265,267.13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50,244,533.49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18,320,064.86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18,629,791.32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44,547,956.72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36,202,109.52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147,697,087.35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138,597,946.64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32,997,092.55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48,836,982.82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16,374,168.11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23,033,393.46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3,200,847.48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19,575,015.59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23,033,393.46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-19,565,015.59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-23,022,893.46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182,198,000.00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182,198,000.00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13,692,566.66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67,576.66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7,611,756.05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24,304,322.71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67,580.16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157,893,677.29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2,932,419.84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171,325,754.25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28,746,509.20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88,101,251.79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59,354,742.59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259,427,006.04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88,101,251.79</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6</w:t>
      </w:r>
      <w:bookmarkEnd w:id="669"/>
      <w:r>
        <w:rPr>
          <w:color w:val="000000"/>
          <w:spacing w:val="0"/>
          <w:w w:val="100"/>
          <w:position w:val="0"/>
        </w:rPr>
        <w:t>、母公司现金流量表</w:t>
      </w:r>
      <w:bookmarkEnd w:id="667"/>
      <w:bookmarkEnd w:id="668"/>
      <w:bookmarkEnd w:id="6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113,977,797.56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126,752,185.53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5,828,492.77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3,378,755.24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20,308,505.42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8,132,080.48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140,114,795.75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138,263,021.25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18,329,447.55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27,740,657.61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45,318,182.69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36,475,180.09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12,936,844.78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14,089,353.08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45,487,885.17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28,878,465.41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122,072,360.19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107,183,656.19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18,042,435.56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31,079,365.06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13,003,500.00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16,123,102.16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22,437,342.66</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19,875,500.00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35,998,602.16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23,437,342.66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-29,988,602.16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-10,433,842.66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180,728,000.00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180,728,000.00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13,679,371.66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67,576.66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7,611,636.05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24,291,007.71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67,576.66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156,436,992.29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2,932,423.34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144,490,825.69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23,577,945.74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57,576,454.34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33,998,508.60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202,067,280.03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57,576,454.34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7</w:t>
      </w:r>
      <w:bookmarkEnd w:id="673"/>
      <w:r>
        <w:rPr>
          <w:color w:val="000000"/>
          <w:spacing w:val="0"/>
          <w:w w:val="100"/>
          <w:position w:val="0"/>
        </w:rPr>
        <w:t>、合并所有者权益变动表</w:t>
      </w:r>
      <w:bookmarkEnd w:id="671"/>
      <w:bookmarkEnd w:id="672"/>
      <w:bookmarkEnd w:id="67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51,039</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41,078,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11,148,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123,662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229,952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,132.48</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51,039</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123,662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3,023,4</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229,952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153,522</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4,365,6</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199,662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38,301,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-673,26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153,522</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5,038,9</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175,661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,794.66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153,522</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5,038,9</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175,661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68,139</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194,601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13,943,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145,541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7,389,1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429,614</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,478.68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51,039</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41,987,</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90,602,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193,320</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,400.82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51,039</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41,987,</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90,602,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193,320</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,400.82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808,761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808,761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37,540,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737.51</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r>
      <w:tr>
        <w:trPr>
          <w:trHeight w:val="102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51,039</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41,078,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123,662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229,952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8</w:t>
      </w:r>
      <w:bookmarkEnd w:id="677"/>
      <w:r>
        <w:rPr>
          <w:color w:val="000000"/>
          <w:spacing w:val="0"/>
          <w:w w:val="100"/>
          <w:position w:val="0"/>
        </w:rPr>
        <w:t>、母公司所有者权益变动表</w:t>
      </w:r>
      <w:bookmarkEnd w:id="675"/>
      <w:bookmarkEnd w:id="676"/>
      <w:bookmarkEnd w:id="6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51,039,0</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41,078,59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11,148,36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100,335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203,601,2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51,039,0</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41,078,59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11,148,36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100,335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203,601,2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17,100,0</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153,522,8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184,945,3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17,100,0</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153,522,8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170,622,8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17,100,0</w:t>
            </w:r>
          </w:p>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153,522,8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170,622,8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-13,627,8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2,795,026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-13,627,8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68,139,0</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194,601,4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13,943,39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111,862,</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764.44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388,546,6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51,039,0</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41,987,59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7,476,395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67,287,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167,790,5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51,039,0</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41,987,59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7,476,395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67,287,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167,790,5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-909,005.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35,810,73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36,719,74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-3,671,9</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-909,005.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-909,005.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51,039,0</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41,078,59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11,148,36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100,335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203,601,2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三、公司基本情况</w:t>
      </w:r>
      <w:bookmarkEnd w:id="679"/>
      <w:bookmarkEnd w:id="680"/>
      <w:bookmarkEnd w:id="681"/>
    </w:p>
    <w:p>
      <w:pPr>
        <w:pStyle w:val="Style31"/>
        <w:keepNext w:val="0"/>
        <w:keepLines w:val="0"/>
        <w:widowControl w:val="0"/>
        <w:shd w:val="clear" w:color="auto" w:fill="auto"/>
        <w:tabs>
          <w:tab w:pos="694" w:val="left"/>
        </w:tabs>
        <w:bidi w:val="0"/>
        <w:spacing w:before="0" w:after="0" w:line="311" w:lineRule="exact"/>
        <w:ind w:left="0" w:right="0" w:firstLine="360"/>
        <w:jc w:val="both"/>
      </w:pPr>
      <w:bookmarkStart w:id="682" w:name="bookmark682"/>
      <w:r>
        <w:rPr>
          <w:rFonts w:ascii="Times New Roman" w:eastAsia="Times New Roman" w:hAnsi="Times New Roman" w:cs="Times New Roman"/>
          <w:color w:val="000000"/>
          <w:spacing w:val="0"/>
          <w:w w:val="100"/>
          <w:position w:val="0"/>
        </w:rPr>
        <w:t>1</w:t>
      </w:r>
      <w:bookmarkEnd w:id="682"/>
      <w:r>
        <w:rPr>
          <w:color w:val="000000"/>
          <w:spacing w:val="0"/>
          <w:w w:val="100"/>
          <w:position w:val="0"/>
        </w:rPr>
        <w:t>、</w:t>
        <w:tab/>
        <w:t>公司概况</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福建博思软件股份有限公司（以下简称公司或博思软件）是由福州博思软件开发有限公司（以下简称博思有限）以整体 变更方式设立的股份有限公司，现持有福州市工商行政管理局核发的《营业执照》，注册号为</w:t>
      </w:r>
      <w:r>
        <w:rPr>
          <w:rFonts w:ascii="Times New Roman" w:eastAsia="Times New Roman" w:hAnsi="Times New Roman" w:cs="Times New Roman"/>
          <w:color w:val="000000"/>
          <w:spacing w:val="0"/>
          <w:w w:val="100"/>
          <w:position w:val="0"/>
        </w:rPr>
        <w:t>91350100731844207Y</w:t>
      </w:r>
      <w:r>
        <w:rPr>
          <w:color w:val="000000"/>
          <w:spacing w:val="0"/>
          <w:w w:val="100"/>
          <w:position w:val="0"/>
        </w:rPr>
        <w:t>，住所 为福建省闽侯县上街镇科技东路福州高新技术产业开发区</w:t>
      </w:r>
      <w:r>
        <w:rPr>
          <w:rFonts w:ascii="Times New Roman" w:eastAsia="Times New Roman" w:hAnsi="Times New Roman" w:cs="Times New Roman"/>
          <w:color w:val="000000"/>
          <w:spacing w:val="0"/>
          <w:w w:val="100"/>
          <w:position w:val="0"/>
        </w:rPr>
        <w:t>“</w:t>
      </w:r>
      <w:r>
        <w:rPr>
          <w:color w:val="000000"/>
          <w:spacing w:val="0"/>
          <w:w w:val="100"/>
          <w:position w:val="0"/>
        </w:rPr>
        <w:t>海西高新技术产业园</w:t>
      </w:r>
      <w:r>
        <w:rPr>
          <w:rFonts w:ascii="Times New Roman" w:eastAsia="Times New Roman" w:hAnsi="Times New Roman" w:cs="Times New Roman"/>
          <w:color w:val="000000"/>
          <w:spacing w:val="0"/>
          <w:w w:val="100"/>
          <w:position w:val="0"/>
        </w:rPr>
        <w:t>”</w:t>
      </w:r>
      <w:r>
        <w:rPr>
          <w:color w:val="000000"/>
          <w:spacing w:val="0"/>
          <w:w w:val="100"/>
          <w:position w:val="0"/>
        </w:rPr>
        <w:t>创业大厦</w:t>
      </w:r>
      <w:r>
        <w:rPr>
          <w:rFonts w:ascii="Times New Roman" w:eastAsia="Times New Roman" w:hAnsi="Times New Roman" w:cs="Times New Roman"/>
          <w:color w:val="000000"/>
          <w:spacing w:val="0"/>
          <w:w w:val="100"/>
          <w:position w:val="0"/>
        </w:rPr>
        <w:t>A</w:t>
      </w:r>
      <w:r>
        <w:rPr>
          <w:color w:val="000000"/>
          <w:spacing w:val="0"/>
          <w:w w:val="100"/>
          <w:position w:val="0"/>
        </w:rPr>
        <w:t>区</w:t>
      </w:r>
      <w:r>
        <w:rPr>
          <w:rFonts w:ascii="Times New Roman" w:eastAsia="Times New Roman" w:hAnsi="Times New Roman" w:cs="Times New Roman"/>
          <w:color w:val="000000"/>
          <w:spacing w:val="0"/>
          <w:w w:val="100"/>
          <w:position w:val="0"/>
        </w:rPr>
        <w:t>7</w:t>
      </w:r>
      <w:r>
        <w:rPr>
          <w:color w:val="000000"/>
          <w:spacing w:val="0"/>
          <w:w w:val="100"/>
          <w:position w:val="0"/>
        </w:rPr>
        <w:t>层，法定代表人为陈航，注 册资本人民币</w:t>
      </w:r>
      <w:r>
        <w:rPr>
          <w:rFonts w:ascii="Times New Roman" w:eastAsia="Times New Roman" w:hAnsi="Times New Roman" w:cs="Times New Roman"/>
          <w:color w:val="000000"/>
          <w:spacing w:val="0"/>
          <w:w w:val="100"/>
          <w:position w:val="0"/>
        </w:rPr>
        <w:t>6,813.90</w:t>
      </w:r>
      <w:r>
        <w:rPr>
          <w:color w:val="000000"/>
          <w:spacing w:val="0"/>
          <w:w w:val="100"/>
          <w:position w:val="0"/>
        </w:rPr>
        <w:t>万元。</w:t>
      </w:r>
    </w:p>
    <w:p>
      <w:pPr>
        <w:pStyle w:val="Style31"/>
        <w:keepNext w:val="0"/>
        <w:keepLines w:val="0"/>
        <w:widowControl w:val="0"/>
        <w:shd w:val="clear" w:color="auto" w:fill="auto"/>
        <w:tabs>
          <w:tab w:pos="714" w:val="left"/>
        </w:tabs>
        <w:bidi w:val="0"/>
        <w:spacing w:before="0" w:after="0" w:line="311" w:lineRule="exact"/>
        <w:ind w:left="0" w:right="0" w:firstLine="360"/>
        <w:jc w:val="both"/>
      </w:pPr>
      <w:bookmarkStart w:id="683" w:name="bookmark683"/>
      <w:r>
        <w:rPr>
          <w:rFonts w:ascii="Times New Roman" w:eastAsia="Times New Roman" w:hAnsi="Times New Roman" w:cs="Times New Roman"/>
          <w:color w:val="000000"/>
          <w:spacing w:val="0"/>
          <w:w w:val="100"/>
          <w:position w:val="0"/>
        </w:rPr>
        <w:t>2</w:t>
      </w:r>
      <w:bookmarkEnd w:id="683"/>
      <w:r>
        <w:rPr>
          <w:color w:val="000000"/>
          <w:spacing w:val="0"/>
          <w:w w:val="100"/>
          <w:position w:val="0"/>
        </w:rPr>
        <w:t>、</w:t>
        <w:tab/>
        <w:t>行业性质</w:t>
      </w:r>
    </w:p>
    <w:p>
      <w:pPr>
        <w:pStyle w:val="Style3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公司属于软件和信息技术服务业。</w:t>
      </w:r>
    </w:p>
    <w:p>
      <w:pPr>
        <w:pStyle w:val="Style31"/>
        <w:keepNext w:val="0"/>
        <w:keepLines w:val="0"/>
        <w:widowControl w:val="0"/>
        <w:shd w:val="clear" w:color="auto" w:fill="auto"/>
        <w:tabs>
          <w:tab w:pos="714" w:val="left"/>
        </w:tabs>
        <w:bidi w:val="0"/>
        <w:spacing w:before="0" w:after="0" w:line="311" w:lineRule="exact"/>
        <w:ind w:left="0" w:right="0" w:firstLine="360"/>
        <w:jc w:val="both"/>
      </w:pPr>
      <w:bookmarkStart w:id="684" w:name="bookmark684"/>
      <w:r>
        <w:rPr>
          <w:rFonts w:ascii="Times New Roman" w:eastAsia="Times New Roman" w:hAnsi="Times New Roman" w:cs="Times New Roman"/>
          <w:color w:val="000000"/>
          <w:spacing w:val="0"/>
          <w:w w:val="100"/>
          <w:position w:val="0"/>
        </w:rPr>
        <w:t>3</w:t>
      </w:r>
      <w:bookmarkEnd w:id="684"/>
      <w:r>
        <w:rPr>
          <w:color w:val="000000"/>
          <w:spacing w:val="0"/>
          <w:w w:val="100"/>
          <w:position w:val="0"/>
        </w:rPr>
        <w:t>、</w:t>
        <w:tab/>
        <w:t>经营范围</w:t>
      </w:r>
    </w:p>
    <w:p>
      <w:pPr>
        <w:pStyle w:val="Style31"/>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 xml:space="preserve">公司经营范围：电子计算机软、硬件开发、销售；电子计算机网络工程技术咨询、技术服务；第二类增值电信业务中的 信息服务业务（仅限互联网信息服务）；信息系统集成服务；测绘服务；自有房屋租赁。（依法须经批准的项目，经相关部 </w:t>
      </w:r>
      <w:r>
        <w:rPr>
          <w:color w:val="000000"/>
          <w:spacing w:val="0"/>
          <w:w w:val="100"/>
          <w:position w:val="0"/>
        </w:rPr>
        <w:t>门批准后方可开展经营活动）。</w:t>
      </w:r>
    </w:p>
    <w:p>
      <w:pPr>
        <w:pStyle w:val="Style31"/>
        <w:keepNext w:val="0"/>
        <w:keepLines w:val="0"/>
        <w:widowControl w:val="0"/>
        <w:shd w:val="clear" w:color="auto" w:fill="auto"/>
        <w:bidi w:val="0"/>
        <w:spacing w:before="0" w:after="180" w:line="240" w:lineRule="auto"/>
        <w:ind w:left="0" w:right="0" w:firstLine="360"/>
        <w:jc w:val="both"/>
      </w:pPr>
      <w:bookmarkStart w:id="685" w:name="bookmark685"/>
      <w:r>
        <w:rPr>
          <w:rFonts w:ascii="Times New Roman" w:eastAsia="Times New Roman" w:hAnsi="Times New Roman" w:cs="Times New Roman"/>
          <w:color w:val="000000"/>
          <w:spacing w:val="0"/>
          <w:w w:val="100"/>
          <w:position w:val="0"/>
        </w:rPr>
        <w:t>4</w:t>
      </w:r>
      <w:bookmarkEnd w:id="685"/>
      <w:r>
        <w:rPr>
          <w:color w:val="000000"/>
          <w:spacing w:val="0"/>
          <w:w w:val="100"/>
          <w:position w:val="0"/>
        </w:rPr>
        <w:t>、主要产品或提供的劳务</w:t>
      </w:r>
    </w:p>
    <w:p>
      <w:pPr>
        <w:pStyle w:val="Style31"/>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公司的主营业务为软件产品的开发、销售与服务，主要服务于财政票据电子化管理、政府非税收入管理信息化及公共 缴费服务领域，为财政票据用票单位、各级财政部门提供财政票据电子化管理及政府非税收入信息化管理相关的软件产品和 服务，在此基础上通过公司自主研发的</w:t>
      </w:r>
      <w:r>
        <w:rPr>
          <w:rFonts w:ascii="Times New Roman" w:eastAsia="Times New Roman" w:hAnsi="Times New Roman" w:cs="Times New Roman"/>
          <w:color w:val="000000"/>
          <w:spacing w:val="0"/>
          <w:w w:val="100"/>
          <w:position w:val="0"/>
        </w:rPr>
        <w:t>e</w:t>
      </w:r>
      <w:r>
        <w:rPr>
          <w:color w:val="000000"/>
          <w:spacing w:val="0"/>
          <w:w w:val="100"/>
          <w:position w:val="0"/>
        </w:rPr>
        <w:t>缴通公共缴费网与执收单位网上业务系统、非税收入管理系统和银行网上支付系统 的互联互通，为社会公众提供公共缴费、网上业务办理及相关增值服务。</w:t>
      </w:r>
    </w:p>
    <w:p>
      <w:pPr>
        <w:pStyle w:val="Style31"/>
        <w:keepNext w:val="0"/>
        <w:keepLines w:val="0"/>
        <w:widowControl w:val="0"/>
        <w:shd w:val="clear" w:color="auto" w:fill="auto"/>
        <w:bidi w:val="0"/>
        <w:spacing w:before="0" w:after="0"/>
        <w:ind w:left="0" w:right="0"/>
        <w:jc w:val="both"/>
      </w:pPr>
      <w:bookmarkStart w:id="686" w:name="bookmark686"/>
      <w:r>
        <w:rPr>
          <w:rFonts w:ascii="Times New Roman" w:eastAsia="Times New Roman" w:hAnsi="Times New Roman" w:cs="Times New Roman"/>
          <w:color w:val="000000"/>
          <w:spacing w:val="0"/>
          <w:w w:val="100"/>
          <w:position w:val="0"/>
        </w:rPr>
        <w:t>5</w:t>
      </w:r>
      <w:bookmarkEnd w:id="686"/>
      <w:r>
        <w:rPr>
          <w:color w:val="000000"/>
          <w:spacing w:val="0"/>
          <w:w w:val="100"/>
          <w:position w:val="0"/>
        </w:rPr>
        <w:t>、财务报告的批准报出</w:t>
      </w:r>
    </w:p>
    <w:p>
      <w:pPr>
        <w:pStyle w:val="Style31"/>
        <w:keepNext w:val="0"/>
        <w:keepLines w:val="0"/>
        <w:widowControl w:val="0"/>
        <w:shd w:val="clear" w:color="auto" w:fill="auto"/>
        <w:bidi w:val="0"/>
        <w:spacing w:before="0" w:after="440" w:line="312" w:lineRule="exact"/>
        <w:ind w:left="0" w:right="0" w:firstLine="280"/>
        <w:jc w:val="both"/>
      </w:pPr>
      <w:r>
        <w:rPr>
          <w:color w:val="000000"/>
          <w:spacing w:val="0"/>
          <w:w w:val="100"/>
          <w:position w:val="0"/>
        </w:rPr>
        <w:t>公司财务报告于二</w:t>
      </w:r>
      <w:r>
        <w:rPr>
          <w:color w:val="000000"/>
          <w:spacing w:val="0"/>
          <w:w w:val="100"/>
          <w:position w:val="0"/>
        </w:rPr>
        <w:t>。</w:t>
      </w:r>
      <w:r>
        <w:rPr>
          <w:color w:val="000000"/>
          <w:spacing w:val="0"/>
          <w:w w:val="100"/>
          <w:position w:val="0"/>
        </w:rPr>
        <w:t>一七年四月二十一日经公司第二届董事会第十二次会议批准通过。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日，公司合并财务报表范围内子公司如下:</w:t>
      </w:r>
    </w:p>
    <w:tbl>
      <w:tblPr>
        <w:tblOverlap w:val="never"/>
        <w:jc w:val="left"/>
        <w:tblLayout w:type="fixed"/>
      </w:tblPr>
      <w:tblGrid>
        <w:gridCol w:w="782"/>
        <w:gridCol w:w="3773"/>
        <w:gridCol w:w="2227"/>
        <w:gridCol w:w="2232"/>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哈尔滨博思伟业科技发展有限公司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7"/>
        <w:keepNext/>
        <w:keepLines/>
        <w:widowControl w:val="0"/>
        <w:shd w:val="clear" w:color="auto" w:fill="auto"/>
        <w:tabs>
          <w:tab w:pos="498" w:val="left"/>
        </w:tabs>
        <w:bidi w:val="0"/>
        <w:spacing w:before="0" w:after="36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四</w:t>
      </w:r>
      <w:bookmarkEnd w:id="689"/>
      <w:r>
        <w:rPr>
          <w:color w:val="000000"/>
          <w:spacing w:val="0"/>
          <w:w w:val="100"/>
          <w:position w:val="0"/>
          <w:sz w:val="24"/>
          <w:szCs w:val="24"/>
        </w:rPr>
        <w:t>、</w:t>
        <w:tab/>
        <w:t>财务报表的编制基础</w:t>
      </w:r>
      <w:bookmarkEnd w:id="687"/>
      <w:bookmarkEnd w:id="688"/>
      <w:bookmarkEnd w:id="690"/>
    </w:p>
    <w:p>
      <w:pPr>
        <w:pStyle w:val="Style35"/>
        <w:keepNext/>
        <w:keepLines/>
        <w:widowControl w:val="0"/>
        <w:shd w:val="clear" w:color="auto" w:fill="auto"/>
        <w:tabs>
          <w:tab w:pos="394"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w:t>
        <w:tab/>
        <w:t>编制基础</w:t>
      </w:r>
      <w:bookmarkEnd w:id="691"/>
      <w:bookmarkEnd w:id="692"/>
      <w:bookmarkEnd w:id="694"/>
    </w:p>
    <w:p>
      <w:pPr>
        <w:pStyle w:val="Style31"/>
        <w:keepNext w:val="0"/>
        <w:keepLines w:val="0"/>
        <w:widowControl w:val="0"/>
        <w:shd w:val="clear" w:color="auto" w:fill="auto"/>
        <w:bidi w:val="0"/>
        <w:spacing w:before="0" w:after="360" w:line="307" w:lineRule="exact"/>
        <w:ind w:left="0" w:right="0"/>
        <w:jc w:val="left"/>
      </w:pPr>
      <w:r>
        <w:rPr>
          <w:color w:val="000000"/>
          <w:spacing w:val="0"/>
          <w:w w:val="100"/>
          <w:position w:val="0"/>
        </w:rPr>
        <w:t>公司以持续经营为基础，根据实际发生的交易和事项，按照《企业会计准则一基本准则》和其他各项具体会计准则、 应用指南、准则解释及其他相关规定（以下合称企业会计准则）进行确认和计量，在此基础上结合中国证券监督管理委员会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5"/>
        <w:keepNext/>
        <w:keepLines/>
        <w:widowControl w:val="0"/>
        <w:shd w:val="clear" w:color="auto" w:fill="auto"/>
        <w:tabs>
          <w:tab w:pos="394"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持续经营</w:t>
      </w:r>
      <w:bookmarkEnd w:id="695"/>
      <w:bookmarkEnd w:id="696"/>
      <w:bookmarkEnd w:id="698"/>
    </w:p>
    <w:p>
      <w:pPr>
        <w:pStyle w:val="Style31"/>
        <w:keepNext w:val="0"/>
        <w:keepLines w:val="0"/>
        <w:widowControl w:val="0"/>
        <w:shd w:val="clear" w:color="auto" w:fill="auto"/>
        <w:bidi w:val="0"/>
        <w:spacing w:before="0" w:after="680" w:line="307" w:lineRule="exact"/>
        <w:ind w:left="0" w:right="0"/>
        <w:jc w:val="both"/>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tabs>
          <w:tab w:pos="517"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五</w:t>
      </w:r>
      <w:bookmarkEnd w:id="701"/>
      <w:r>
        <w:rPr>
          <w:color w:val="000000"/>
          <w:spacing w:val="0"/>
          <w:w w:val="100"/>
          <w:position w:val="0"/>
          <w:sz w:val="24"/>
          <w:szCs w:val="24"/>
        </w:rPr>
        <w:t>、</w:t>
        <w:tab/>
        <w:t>重要会计政策及会计估计</w:t>
      </w:r>
      <w:bookmarkEnd w:id="699"/>
      <w:bookmarkEnd w:id="700"/>
      <w:bookmarkEnd w:id="702"/>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本报告期公司未发生重要会计政策变更。</w:t>
      </w:r>
    </w:p>
    <w:p>
      <w:pPr>
        <w:pStyle w:val="Style35"/>
        <w:keepNext/>
        <w:keepLines/>
        <w:widowControl w:val="0"/>
        <w:shd w:val="clear" w:color="auto" w:fill="auto"/>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、遵循企业会计准则的声明</w:t>
      </w:r>
      <w:bookmarkEnd w:id="703"/>
      <w:bookmarkEnd w:id="704"/>
      <w:bookmarkEnd w:id="706"/>
    </w:p>
    <w:p>
      <w:pPr>
        <w:pStyle w:val="Style31"/>
        <w:keepNext w:val="0"/>
        <w:keepLines w:val="0"/>
        <w:widowControl w:val="0"/>
        <w:shd w:val="clear" w:color="auto" w:fill="auto"/>
        <w:bidi w:val="0"/>
        <w:spacing w:before="0" w:after="260" w:line="307" w:lineRule="exact"/>
        <w:ind w:left="0" w:right="0"/>
        <w:jc w:val="both"/>
      </w:pPr>
      <w:r>
        <w:rPr>
          <w:color w:val="000000"/>
          <w:spacing w:val="0"/>
          <w:w w:val="100"/>
          <w:position w:val="0"/>
        </w:rPr>
        <w:t>公司编制的财务报表符合企业会计准则的要求，真实、完整地反映了公司的财务状况、经营成果和现金流量等有关信息。</w:t>
      </w:r>
    </w:p>
    <w:p>
      <w:pPr>
        <w:pStyle w:val="Style35"/>
        <w:keepNext/>
        <w:keepLines/>
        <w:widowControl w:val="0"/>
        <w:shd w:val="clear" w:color="auto" w:fill="auto"/>
        <w:tabs>
          <w:tab w:pos="342" w:val="left"/>
        </w:tabs>
        <w:bidi w:val="0"/>
        <w:spacing w:before="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会计期间</w:t>
      </w:r>
      <w:bookmarkEnd w:id="707"/>
      <w:bookmarkEnd w:id="708"/>
      <w:bookmarkEnd w:id="710"/>
    </w:p>
    <w:p>
      <w:pPr>
        <w:pStyle w:val="Style31"/>
        <w:keepNext w:val="0"/>
        <w:keepLines w:val="0"/>
        <w:widowControl w:val="0"/>
        <w:shd w:val="clear" w:color="auto" w:fill="auto"/>
        <w:bidi w:val="0"/>
        <w:spacing w:before="0" w:after="360" w:line="240" w:lineRule="auto"/>
        <w:ind w:left="0" w:right="0"/>
        <w:jc w:val="both"/>
      </w:pPr>
      <w:r>
        <w:rPr>
          <w:color w:val="000000"/>
          <w:spacing w:val="0"/>
          <w:w w:val="100"/>
          <w:position w:val="0"/>
        </w:rPr>
        <w:t>公司会计年度自公历每年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42" w:val="left"/>
        </w:tabs>
        <w:bidi w:val="0"/>
        <w:spacing w:before="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w:t>
        <w:tab/>
        <w:t>营业周期</w:t>
      </w:r>
      <w:bookmarkEnd w:id="711"/>
      <w:bookmarkEnd w:id="712"/>
      <w:bookmarkEnd w:id="714"/>
    </w:p>
    <w:p>
      <w:pPr>
        <w:pStyle w:val="Style31"/>
        <w:keepNext w:val="0"/>
        <w:keepLines w:val="0"/>
        <w:widowControl w:val="0"/>
        <w:shd w:val="clear" w:color="auto" w:fill="auto"/>
        <w:bidi w:val="0"/>
        <w:spacing w:before="0" w:after="700" w:line="240" w:lineRule="auto"/>
        <w:ind w:left="0" w:right="0" w:firstLine="50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w:t>
      </w:r>
    </w:p>
    <w:p>
      <w:pPr>
        <w:pStyle w:val="Style35"/>
        <w:keepNext/>
        <w:keepLines/>
        <w:widowControl w:val="0"/>
        <w:shd w:val="clear" w:color="auto" w:fill="auto"/>
        <w:tabs>
          <w:tab w:pos="342" w:val="left"/>
        </w:tabs>
        <w:bidi w:val="0"/>
        <w:spacing w:before="0" w:after="28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w:t>
        <w:tab/>
        <w:t>记账本位币</w:t>
      </w:r>
      <w:bookmarkEnd w:id="715"/>
      <w:bookmarkEnd w:id="716"/>
      <w:bookmarkEnd w:id="718"/>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公司以人民币为记账本位币。</w:t>
      </w:r>
    </w:p>
    <w:p>
      <w:pPr>
        <w:pStyle w:val="Style35"/>
        <w:keepNext/>
        <w:keepLines/>
        <w:widowControl w:val="0"/>
        <w:shd w:val="clear" w:color="auto" w:fill="auto"/>
        <w:tabs>
          <w:tab w:pos="342" w:val="left"/>
        </w:tabs>
        <w:bidi w:val="0"/>
        <w:spacing w:before="0" w:after="2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5</w:t>
      </w:r>
      <w:bookmarkEnd w:id="721"/>
      <w:r>
        <w:rPr>
          <w:color w:val="000000"/>
          <w:spacing w:val="0"/>
          <w:w w:val="100"/>
          <w:position w:val="0"/>
        </w:rPr>
        <w:t>、</w:t>
        <w:tab/>
        <w:t>同一控制下和非同一控制下企业合并的会计处理方法</w:t>
      </w:r>
      <w:bookmarkEnd w:id="719"/>
      <w:bookmarkEnd w:id="720"/>
      <w:bookmarkEnd w:id="722"/>
    </w:p>
    <w:p>
      <w:pPr>
        <w:pStyle w:val="Style31"/>
        <w:keepNext w:val="0"/>
        <w:keepLines w:val="0"/>
        <w:widowControl w:val="0"/>
        <w:shd w:val="clear" w:color="auto" w:fill="auto"/>
        <w:tabs>
          <w:tab w:pos="669" w:val="left"/>
        </w:tabs>
        <w:bidi w:val="0"/>
        <w:spacing w:before="0" w:after="0" w:line="312" w:lineRule="exact"/>
        <w:ind w:left="0" w:right="0"/>
        <w:jc w:val="both"/>
      </w:pPr>
      <w:bookmarkStart w:id="723" w:name="bookmark723"/>
      <w:r>
        <w:rPr>
          <w:rFonts w:ascii="Times New Roman" w:eastAsia="Times New Roman" w:hAnsi="Times New Roman" w:cs="Times New Roman"/>
          <w:color w:val="000000"/>
          <w:spacing w:val="0"/>
          <w:w w:val="100"/>
          <w:position w:val="0"/>
        </w:rPr>
        <w:t>1</w:t>
      </w:r>
      <w:bookmarkEnd w:id="723"/>
      <w:r>
        <w:rPr>
          <w:color w:val="000000"/>
          <w:spacing w:val="0"/>
          <w:w w:val="100"/>
          <w:position w:val="0"/>
        </w:rPr>
        <w:t>、</w:t>
        <w:tab/>
        <w:t>同一控制下企业合并：本公司在企业合并中取得的资产和负债，按照合并日在被合并方资产、负债（包括最终控制 方收购被合并方而形成的商誉）在最终控制方合并财务报表中的账面价值计量。在合并中取得的净资产账面价值与支付的合 并对价账面价值（或发行股份面值总额）的差额，调整资本公积中的股本溢价，资本公积中的股本溢价不足冲减的，调整留 存收益。</w:t>
      </w:r>
    </w:p>
    <w:p>
      <w:pPr>
        <w:pStyle w:val="Style31"/>
        <w:keepNext w:val="0"/>
        <w:keepLines w:val="0"/>
        <w:widowControl w:val="0"/>
        <w:shd w:val="clear" w:color="auto" w:fill="auto"/>
        <w:tabs>
          <w:tab w:pos="669" w:val="left"/>
        </w:tabs>
        <w:bidi w:val="0"/>
        <w:spacing w:before="0" w:after="0" w:line="312" w:lineRule="exact"/>
        <w:ind w:left="0" w:right="0"/>
        <w:jc w:val="both"/>
      </w:pPr>
      <w:bookmarkStart w:id="724" w:name="bookmark724"/>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非同一控制下企业合并：本公司在购买日对作为企业合并对价付出的资产、发生或承担的负债按照公允价值计量， 公允价值与其账面价值的差额，计入当期损益。本公司对合并成本大于合并中取得的被购买方可辨认净资产公允价值份额的 差额，确认为商誉；合并成本小于合并中取得的被购买方可辨认净资产公允价值份额的差额，对合并中取得的资产、负债的 公允价值、作为合并对价的非现金资产或发行的权益性证券等的公允价值进行复核，复核结果表明所确定的各项可辨认资产 和负债的公允价值确定是恰当的，将企业合并成本低于取得的被购买方可辨认净资产公允价值份额之间的差额，计入合并当 期的营业外收入。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通过多次交易分步实现非同一控制下的企业合并：①在个别财务报表中，以购买日之前所持被购买方的股权投资的账面 价值与购买日新增投资成本之和，作为该项投资的初始投资成本。购买日之前持有的股权投资因采用权益法核算而确认的其 他综合收益，应当在处置该项投资时采用与被投资单位直接处置相关资产或负债相同的基础进行会计处理；因被投资方除净 损益、其他综合收益和利润分配以外的其他所有者权益变动而确认的所有者权益，在处置该项投资时转入处置期间的当期损 益。购买日之前持有的股权投资按照《企业会计准则第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 其他综合收益的累计公允价值变动在改按成本法核算时转入当期损益。②在合并财务报表中，合并成本为购买日支付的对价 与购买日之前已经持有的被购买方的股权在购买日的公允价值之和；对于购买日之前已经持有的被购买方的股权，按照购买 日的公允价值进行重新计量，公允价值与其账面价值之间的差额计入当期收益；购买日之前已经持有的被购买方的股权涉及 其他综合收益、其他所有者权益变动应当转为购买日当期收益，由于被投资方重新计量设定收益计划净负债或净资产变动而 产生的其他综合收益除外。</w:t>
      </w:r>
    </w:p>
    <w:p>
      <w:pPr>
        <w:pStyle w:val="Style31"/>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35"/>
        <w:keepNext/>
        <w:keepLines/>
        <w:widowControl w:val="0"/>
        <w:shd w:val="clear" w:color="auto" w:fill="auto"/>
        <w:bidi w:val="0"/>
        <w:spacing w:before="0" w:after="2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6</w:t>
      </w:r>
      <w:bookmarkEnd w:id="727"/>
      <w:r>
        <w:rPr>
          <w:color w:val="000000"/>
          <w:spacing w:val="0"/>
          <w:w w:val="100"/>
          <w:position w:val="0"/>
        </w:rPr>
        <w:t>、合并财务报表的编制方法</w:t>
      </w:r>
      <w:bookmarkEnd w:id="725"/>
      <w:bookmarkEnd w:id="726"/>
      <w:bookmarkEnd w:id="728"/>
    </w:p>
    <w:p>
      <w:pPr>
        <w:pStyle w:val="Style31"/>
        <w:keepNext w:val="0"/>
        <w:keepLines w:val="0"/>
        <w:widowControl w:val="0"/>
        <w:shd w:val="clear" w:color="auto" w:fill="auto"/>
        <w:bidi w:val="0"/>
        <w:spacing w:before="0" w:after="0" w:line="307" w:lineRule="exact"/>
        <w:ind w:left="0" w:right="0"/>
        <w:jc w:val="both"/>
      </w:pPr>
      <w:bookmarkStart w:id="729" w:name="bookmark729"/>
      <w:r>
        <w:rPr>
          <w:rFonts w:ascii="Times New Roman" w:eastAsia="Times New Roman" w:hAnsi="Times New Roman" w:cs="Times New Roman"/>
          <w:color w:val="000000"/>
          <w:spacing w:val="0"/>
          <w:w w:val="100"/>
          <w:position w:val="0"/>
        </w:rPr>
        <w:t>1</w:t>
      </w:r>
      <w:bookmarkEnd w:id="729"/>
      <w:r>
        <w:rPr>
          <w:color w:val="000000"/>
          <w:spacing w:val="0"/>
          <w:w w:val="100"/>
          <w:position w:val="0"/>
        </w:rPr>
        <w:t>、合并报表编制范围</w:t>
      </w:r>
    </w:p>
    <w:p>
      <w:pPr>
        <w:pStyle w:val="Style31"/>
        <w:keepNext w:val="0"/>
        <w:keepLines w:val="0"/>
        <w:widowControl w:val="0"/>
        <w:shd w:val="clear" w:color="auto" w:fill="auto"/>
        <w:bidi w:val="0"/>
        <w:spacing w:before="0" w:after="100" w:line="307" w:lineRule="exact"/>
        <w:ind w:left="0" w:right="0"/>
        <w:jc w:val="both"/>
      </w:pPr>
      <w:r>
        <w:rPr>
          <w:color w:val="000000"/>
          <w:spacing w:val="0"/>
          <w:w w:val="100"/>
          <w:position w:val="0"/>
        </w:rPr>
        <w:t>合并财务报表的合并范围以控制为基础予以确定，不仅包括根据表决权（或类似权利）本身或者结合其他安排确定的子 公司，也包括基于一项或多项合同安排决定的结构化主体。控制，是指投资方拥有对被投资方的权力</w:t>
      </w:r>
      <w:r>
        <w:rPr>
          <w:color w:val="000000"/>
          <w:spacing w:val="0"/>
          <w:w w:val="100"/>
          <w:position w:val="0"/>
        </w:rPr>
        <w:t>，</w:t>
      </w:r>
      <w:r>
        <w:rPr>
          <w:color w:val="000000"/>
          <w:spacing w:val="0"/>
          <w:w w:val="100"/>
          <w:position w:val="0"/>
        </w:rPr>
        <w:t xml:space="preserve">通过参与被投资方的 </w:t>
      </w:r>
      <w:r>
        <w:rPr>
          <w:color w:val="000000"/>
          <w:spacing w:val="0"/>
          <w:w w:val="100"/>
          <w:position w:val="0"/>
        </w:rPr>
        <w:t>相关活动而享有可变回报，并且有能力运用对被投资方的权力影响其回报金额。</w:t>
      </w:r>
    </w:p>
    <w:p>
      <w:pPr>
        <w:pStyle w:val="Style31"/>
        <w:keepNext w:val="0"/>
        <w:keepLines w:val="0"/>
        <w:widowControl w:val="0"/>
        <w:shd w:val="clear" w:color="auto" w:fill="auto"/>
        <w:bidi w:val="0"/>
        <w:spacing w:before="0" w:after="0"/>
        <w:ind w:left="0" w:right="0"/>
        <w:jc w:val="left"/>
      </w:pPr>
      <w:bookmarkStart w:id="730" w:name="bookmark730"/>
      <w:r>
        <w:rPr>
          <w:rFonts w:ascii="Times New Roman" w:eastAsia="Times New Roman" w:hAnsi="Times New Roman" w:cs="Times New Roman"/>
          <w:color w:val="000000"/>
          <w:spacing w:val="0"/>
          <w:w w:val="100"/>
          <w:position w:val="0"/>
        </w:rPr>
        <w:t>2</w:t>
      </w:r>
      <w:bookmarkEnd w:id="730"/>
      <w:r>
        <w:rPr>
          <w:color w:val="000000"/>
          <w:spacing w:val="0"/>
          <w:w w:val="100"/>
          <w:position w:val="0"/>
        </w:rPr>
        <w:t>、合并程序</w:t>
      </w:r>
    </w:p>
    <w:p>
      <w:pPr>
        <w:pStyle w:val="Style31"/>
        <w:keepNext w:val="0"/>
        <w:keepLines w:val="0"/>
        <w:widowControl w:val="0"/>
        <w:shd w:val="clear" w:color="auto" w:fill="auto"/>
        <w:bidi w:val="0"/>
        <w:spacing w:before="0" w:after="0" w:line="310" w:lineRule="exact"/>
        <w:ind w:left="0" w:right="0"/>
        <w:jc w:val="left"/>
      </w:pPr>
      <w:r>
        <w:rPr>
          <w:color w:val="000000"/>
          <w:spacing w:val="0"/>
          <w:w w:val="100"/>
          <w:position w:val="0"/>
        </w:rPr>
        <w:t>合并财务报表以公司和其子公司的财务报表为基础，根据其他有关资料，编制合并财务报表。</w:t>
      </w:r>
    </w:p>
    <w:p>
      <w:pPr>
        <w:pStyle w:val="Style31"/>
        <w:keepNext w:val="0"/>
        <w:keepLines w:val="0"/>
        <w:widowControl w:val="0"/>
        <w:shd w:val="clear" w:color="auto" w:fill="auto"/>
        <w:bidi w:val="0"/>
        <w:spacing w:before="0" w:after="0" w:line="310" w:lineRule="exact"/>
        <w:ind w:left="0" w:right="0"/>
        <w:jc w:val="left"/>
      </w:pPr>
      <w:r>
        <w:rPr>
          <w:color w:val="000000"/>
          <w:spacing w:val="0"/>
          <w:w w:val="100"/>
          <w:position w:val="0"/>
        </w:rPr>
        <w:t>公司统一子公司所采用的会计政策及会计期间，使子公司采用的会计政策、会计期间与公司保持一致。在编制合并会计 报表时，遵循重要性原则，抵销母公司与子公司、子公司与子公司之间的内部往来、内部交易及权益性投资项目。</w:t>
      </w:r>
    </w:p>
    <w:p>
      <w:pPr>
        <w:pStyle w:val="Style31"/>
        <w:keepNext w:val="0"/>
        <w:keepLines w:val="0"/>
        <w:widowControl w:val="0"/>
        <w:shd w:val="clear" w:color="auto" w:fill="auto"/>
        <w:bidi w:val="0"/>
        <w:spacing w:before="0" w:after="0" w:line="310" w:lineRule="exact"/>
        <w:ind w:left="0" w:right="0"/>
        <w:jc w:val="left"/>
      </w:pPr>
      <w:r>
        <w:rPr>
          <w:color w:val="000000"/>
          <w:spacing w:val="0"/>
          <w:w w:val="100"/>
          <w:position w:val="0"/>
        </w:rPr>
        <w:t xml:space="preserve">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tabs>
          <w:tab w:pos="795" w:val="left"/>
        </w:tabs>
        <w:bidi w:val="0"/>
        <w:spacing w:before="0" w:after="0" w:line="310" w:lineRule="exact"/>
        <w:ind w:left="0" w:right="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1</w:t>
      </w:r>
      <w:r>
        <w:rPr>
          <w:color w:val="000000"/>
          <w:spacing w:val="0"/>
          <w:w w:val="100"/>
          <w:position w:val="0"/>
        </w:rPr>
        <w:t>）</w:t>
        <w:tab/>
        <w:t>增加子公司以及业务</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在报告期内因同一控制下企业合并增加的子公司以及业务，编制合并资产负债表时，调整合并资产负债表的期初数；编 制利润表时，将该子公司以及业务合并当期期初至报告期末的收入、费用、利润纳入合并利润表；合并现金流量表时，将该 子公司以及业务合并当期期初至报告期末的现金流量纳入合并现金流量表；同时应当对比较报表的相关项目进行调整，视同 合并后的报告主体自最终控制方开始控制时点起一直存在。</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在报告期内因非同一控制下企业合并或其他方式增加的子公司以及业务，编制合并资产负债表时，不调整合并资产负债 表的期初数。编制利润表时，将该子公司以及业务购买日至报告期末的收入、费用、利润纳入合并利润表。编制现金流表时, 将该子公司购买日至报告期末的现金流量纳入合并现金流量表。</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公司以子公司的个别财务报表反映为在购买日公允价值基础上确定的可辨认资产、负债及或有负债在本期资产负债表日 的金额进行编制合并报表。对合并成本大于合并中取得的被购买方可辨认净资产公允价值份额的差额，确认为商誉。合并成 本小于合并中取得的被购买方可辨认净资产公允价值份额的差额，经复核后，计入当期损益。</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通过多次交易分步实现非同一控制下企业合并的，在合并财务报表中，对于购买日之前持有的被购买方的股权，应当按 照该股权在购买日的公允价值进行重新计量，公允价值与其账面价值的差额计入当期投资收益；购买日之前持有的被购买方 的股权涉及权益法核算下的其他综合收益、其他所有者权益变动的，应当转为购买日所属当期投资收益，由于被投资方重新 计量设定受益计划净负债或净资产变动而产生的其他综合收益除外。</w:t>
      </w:r>
    </w:p>
    <w:p>
      <w:pPr>
        <w:pStyle w:val="Style31"/>
        <w:keepNext w:val="0"/>
        <w:keepLines w:val="0"/>
        <w:widowControl w:val="0"/>
        <w:shd w:val="clear" w:color="auto" w:fill="auto"/>
        <w:tabs>
          <w:tab w:pos="795" w:val="left"/>
        </w:tabs>
        <w:bidi w:val="0"/>
        <w:spacing w:before="0" w:after="100" w:line="310" w:lineRule="exact"/>
        <w:ind w:left="0" w:right="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处置子公司以及业务</w:t>
      </w:r>
    </w:p>
    <w:p>
      <w:pPr>
        <w:pStyle w:val="Style31"/>
        <w:keepNext w:val="0"/>
        <w:keepLines w:val="0"/>
        <w:widowControl w:val="0"/>
        <w:numPr>
          <w:ilvl w:val="0"/>
          <w:numId w:val="11"/>
        </w:numPr>
        <w:shd w:val="clear" w:color="auto" w:fill="auto"/>
        <w:tabs>
          <w:tab w:pos="718" w:val="left"/>
        </w:tabs>
        <w:bidi w:val="0"/>
        <w:spacing w:before="0" w:after="0"/>
        <w:ind w:left="0" w:right="0"/>
        <w:jc w:val="both"/>
      </w:pPr>
      <w:bookmarkStart w:id="733" w:name="bookmark733"/>
      <w:bookmarkEnd w:id="733"/>
      <w:r>
        <w:rPr>
          <w:color w:val="000000"/>
          <w:spacing w:val="0"/>
          <w:w w:val="100"/>
          <w:position w:val="0"/>
        </w:rPr>
        <w:t>一般处理方法</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在报告期内，本公司处置子公司以及业务，则该子公司以及业务期初至处置日的收入、费用、利润纳入合并利润表；该 子公司以及业务期初至处置日的现金流量纳入合并现金流量表。</w:t>
      </w:r>
    </w:p>
    <w:p>
      <w:pPr>
        <w:pStyle w:val="Style31"/>
        <w:keepNext w:val="0"/>
        <w:keepLines w:val="0"/>
        <w:widowControl w:val="0"/>
        <w:shd w:val="clear" w:color="auto" w:fill="auto"/>
        <w:bidi w:val="0"/>
        <w:spacing w:before="0" w:after="100" w:line="310" w:lineRule="exact"/>
        <w:ind w:left="0" w:right="0"/>
        <w:jc w:val="both"/>
      </w:pPr>
      <w:r>
        <w:rPr>
          <w:color w:val="000000"/>
          <w:spacing w:val="0"/>
          <w:w w:val="100"/>
          <w:position w:val="0"/>
        </w:rPr>
        <w:t>公司因处置部分股权投资等原因丧失了对原有子公司控制权的，在合并财务报表中，对于剩余股权，按照其在丧失控制 权日的公允价值进行重新计量。处置股权取得的对价和剩余股权公允价值之和，减去按原持股比例计算应享有原有子公司自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股权投资相关的其他综合收益、其他所有者权益变动，在丧失控制权时转为当期投资收益，由于被投资方重新计量设定受益 计划净负债或净资产变动而产生的其他综合收益除外。</w:t>
      </w:r>
    </w:p>
    <w:p>
      <w:pPr>
        <w:pStyle w:val="Style31"/>
        <w:keepNext w:val="0"/>
        <w:keepLines w:val="0"/>
        <w:widowControl w:val="0"/>
        <w:numPr>
          <w:ilvl w:val="0"/>
          <w:numId w:val="11"/>
        </w:numPr>
        <w:shd w:val="clear" w:color="auto" w:fill="auto"/>
        <w:tabs>
          <w:tab w:pos="718" w:val="left"/>
        </w:tabs>
        <w:bidi w:val="0"/>
        <w:spacing w:before="0" w:after="0"/>
        <w:ind w:left="0" w:right="0"/>
        <w:jc w:val="both"/>
      </w:pPr>
      <w:bookmarkStart w:id="734" w:name="bookmark734"/>
      <w:bookmarkEnd w:id="734"/>
      <w:r>
        <w:rPr>
          <w:color w:val="000000"/>
          <w:spacing w:val="0"/>
          <w:w w:val="100"/>
          <w:position w:val="0"/>
        </w:rPr>
        <w:t>分步处置股权至丧失控制权</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企业通过多次交易分步处置对子公司股权投资直至丧失控制权的，如果处置对子公司股权投资直至丧失控制权的各项交 易属于一揽子交易的，应当将各项交易作为一项处置子公司并丧失控制权的交易进行会计处理；但是，在丧失控制权之前每 一次处置价款与处置投资对应的享有该子公司净资产份额的差额，在合并财务报表中确认为其他综合收益，在丧失控制权时 一并转入丧失控制权当期的损益。</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处置对子公司股权投资的各项交易的条款、条件以及经济影响符合下列一种或多种情况，通常表明应将多次交易事项作 为一揽子交易进行会计处理：</w:t>
      </w:r>
    </w:p>
    <w:p>
      <w:pPr>
        <w:pStyle w:val="Style31"/>
        <w:keepNext w:val="0"/>
        <w:keepLines w:val="0"/>
        <w:widowControl w:val="0"/>
        <w:shd w:val="clear" w:color="auto" w:fill="auto"/>
        <w:tabs>
          <w:tab w:pos="834" w:val="left"/>
        </w:tabs>
        <w:bidi w:val="0"/>
        <w:spacing w:before="0" w:after="0" w:line="310" w:lineRule="exact"/>
        <w:ind w:left="0" w:right="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834" w:val="left"/>
        </w:tabs>
        <w:bidi w:val="0"/>
        <w:spacing w:before="0" w:after="0" w:line="310" w:lineRule="exact"/>
        <w:ind w:left="0" w:right="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834" w:val="left"/>
        </w:tabs>
        <w:bidi w:val="0"/>
        <w:spacing w:before="0" w:after="0" w:line="310"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834" w:val="left"/>
        </w:tabs>
        <w:bidi w:val="0"/>
        <w:spacing w:before="0" w:after="0" w:line="310"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31"/>
        <w:keepNext w:val="0"/>
        <w:keepLines w:val="0"/>
        <w:widowControl w:val="0"/>
        <w:shd w:val="clear" w:color="auto" w:fill="auto"/>
        <w:tabs>
          <w:tab w:pos="795" w:val="left"/>
        </w:tabs>
        <w:bidi w:val="0"/>
        <w:spacing w:before="0" w:after="0" w:line="310" w:lineRule="exact"/>
        <w:ind w:left="0" w:right="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本公司因购买少数股权新取得的长期股权投资与按照新增持股比例计算应享有子公司自购买日（或合并日）开始持续计 算的可辨认净资产份额之间的差额，调整合并资产负债表中的资本公积中的资本溢价或股本溢价，资本公积中的资本溢价或 股本溢价不足冲减的，调整留存收益。</w:t>
      </w:r>
    </w:p>
    <w:p>
      <w:pPr>
        <w:pStyle w:val="Style31"/>
        <w:keepNext w:val="0"/>
        <w:keepLines w:val="0"/>
        <w:widowControl w:val="0"/>
        <w:shd w:val="clear" w:color="auto" w:fill="auto"/>
        <w:bidi w:val="0"/>
        <w:spacing w:before="0" w:after="40" w:line="312" w:lineRule="exact"/>
        <w:ind w:left="0" w:right="0"/>
        <w:jc w:val="left"/>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5"/>
        <w:keepNext/>
        <w:keepLines/>
        <w:widowControl w:val="0"/>
        <w:shd w:val="clear" w:color="auto" w:fill="auto"/>
        <w:bidi w:val="0"/>
        <w:spacing w:before="0" w:after="2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、合营安排分类及共同经营会计处理方法</w:t>
      </w:r>
      <w:bookmarkEnd w:id="741"/>
      <w:bookmarkEnd w:id="742"/>
      <w:bookmarkEnd w:id="744"/>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合营安排是指一项由两个或两个以上的参与方共同控制的安排。合营安排分为共同经营和合营企业。</w:t>
      </w:r>
    </w:p>
    <w:p>
      <w:pPr>
        <w:pStyle w:val="Style31"/>
        <w:keepNext w:val="0"/>
        <w:keepLines w:val="0"/>
        <w:widowControl w:val="0"/>
        <w:shd w:val="clear" w:color="auto" w:fill="auto"/>
        <w:tabs>
          <w:tab w:pos="704" w:val="left"/>
        </w:tabs>
        <w:bidi w:val="0"/>
        <w:spacing w:before="0" w:after="0" w:line="319" w:lineRule="exact"/>
        <w:ind w:left="0" w:right="0"/>
        <w:jc w:val="left"/>
      </w:pPr>
      <w:bookmarkStart w:id="745" w:name="bookmark745"/>
      <w:r>
        <w:rPr>
          <w:rFonts w:ascii="Times New Roman" w:eastAsia="Times New Roman" w:hAnsi="Times New Roman" w:cs="Times New Roman"/>
          <w:color w:val="000000"/>
          <w:spacing w:val="0"/>
          <w:w w:val="100"/>
          <w:position w:val="0"/>
        </w:rPr>
        <w:t>1</w:t>
      </w:r>
      <w:bookmarkEnd w:id="745"/>
      <w:r>
        <w:rPr>
          <w:color w:val="000000"/>
          <w:spacing w:val="0"/>
          <w:w w:val="100"/>
          <w:position w:val="0"/>
        </w:rPr>
        <w:t>、</w:t>
        <w:tab/>
        <w:t>共同经营是指本公司享有该安排相关资产且承担该安排相关负债的合营安排。本公司确认与共同经营中利益份额相 关的下列项目：</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确认单独所持有的资产，以及按其份额确认共同持有的资产；</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确认单独所承担的负债，以及按其份额确认共同承担的负债；</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确认出售其享有的共同经营产出份额所产生的收入；</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按其份额确认共同经营因出售产出所产生的收入；</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确认单独所发生的费用，以及按其份额确认共同经营发生的费用。</w:t>
      </w:r>
    </w:p>
    <w:p>
      <w:pPr>
        <w:pStyle w:val="Style31"/>
        <w:keepNext w:val="0"/>
        <w:keepLines w:val="0"/>
        <w:widowControl w:val="0"/>
        <w:shd w:val="clear" w:color="auto" w:fill="auto"/>
        <w:tabs>
          <w:tab w:pos="704" w:val="left"/>
        </w:tabs>
        <w:bidi w:val="0"/>
        <w:spacing w:before="0" w:after="680" w:line="319" w:lineRule="exact"/>
        <w:ind w:left="0" w:right="0"/>
        <w:jc w:val="left"/>
      </w:pPr>
      <w:bookmarkStart w:id="746" w:name="bookmark746"/>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合营企业是指本公司仅对该安排的净资产享有权利的合营安排。本公司按照长期股权投资有关权益法核算的规定对 合营企业的投资进行会计处理。</w:t>
      </w:r>
    </w:p>
    <w:p>
      <w:pPr>
        <w:pStyle w:val="Style35"/>
        <w:keepNext/>
        <w:keepLines/>
        <w:widowControl w:val="0"/>
        <w:shd w:val="clear" w:color="auto" w:fill="auto"/>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、现金及现金等价物的确定标准</w:t>
      </w:r>
      <w:bookmarkEnd w:id="747"/>
      <w:bookmarkEnd w:id="748"/>
      <w:bookmarkEnd w:id="750"/>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公司在编制现金流量表时所确定的现金等价物，是指公司持有的期限短（一般是指从购买日起三个月内到期）、流动性 强、易于转换为已知金额现金、价值变动风险很小的投资。</w:t>
      </w:r>
    </w:p>
    <w:p>
      <w:pPr>
        <w:pStyle w:val="Style31"/>
        <w:keepNext w:val="0"/>
        <w:keepLines w:val="0"/>
        <w:widowControl w:val="0"/>
        <w:shd w:val="clear" w:color="auto" w:fill="auto"/>
        <w:bidi w:val="0"/>
        <w:spacing w:before="0" w:after="680" w:line="312" w:lineRule="exact"/>
        <w:ind w:left="0" w:right="0"/>
        <w:jc w:val="left"/>
      </w:pPr>
      <w:r>
        <w:rPr>
          <w:color w:val="000000"/>
          <w:spacing w:val="0"/>
          <w:w w:val="100"/>
          <w:position w:val="0"/>
        </w:rPr>
        <w:t>受到限制的银行存款，不作为现金流量表中的现金及现金等价物。</w:t>
      </w:r>
    </w:p>
    <w:p>
      <w:pPr>
        <w:pStyle w:val="Style35"/>
        <w:keepNext/>
        <w:keepLines/>
        <w:widowControl w:val="0"/>
        <w:shd w:val="clear" w:color="auto" w:fill="auto"/>
        <w:tabs>
          <w:tab w:pos="378" w:val="left"/>
        </w:tabs>
        <w:bidi w:val="0"/>
        <w:spacing w:before="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9</w:t>
      </w:r>
      <w:bookmarkEnd w:id="753"/>
      <w:r>
        <w:rPr>
          <w:color w:val="000000"/>
          <w:spacing w:val="0"/>
          <w:w w:val="100"/>
          <w:position w:val="0"/>
        </w:rPr>
        <w:t>、</w:t>
        <w:tab/>
        <w:t>外币业务和外币报表折算</w:t>
      </w:r>
      <w:bookmarkEnd w:id="751"/>
      <w:bookmarkEnd w:id="752"/>
      <w:bookmarkEnd w:id="754"/>
    </w:p>
    <w:p>
      <w:pPr>
        <w:pStyle w:val="Style35"/>
        <w:keepNext/>
        <w:keepLines/>
        <w:widowControl w:val="0"/>
        <w:shd w:val="clear" w:color="auto" w:fill="auto"/>
        <w:tabs>
          <w:tab w:pos="474" w:val="left"/>
        </w:tabs>
        <w:bidi w:val="0"/>
        <w:spacing w:before="0" w:after="280" w:line="240" w:lineRule="auto"/>
        <w:ind w:left="0" w:right="0" w:firstLine="0"/>
        <w:jc w:val="left"/>
      </w:pPr>
      <w:bookmarkStart w:id="751" w:name="bookmark751"/>
      <w:bookmarkStart w:id="752" w:name="bookmark752"/>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51"/>
      <w:bookmarkEnd w:id="752"/>
      <w:bookmarkEnd w:id="756"/>
    </w:p>
    <w:p>
      <w:pPr>
        <w:pStyle w:val="Style31"/>
        <w:keepNext w:val="0"/>
        <w:keepLines w:val="0"/>
        <w:widowControl w:val="0"/>
        <w:shd w:val="clear" w:color="auto" w:fill="auto"/>
        <w:tabs>
          <w:tab w:pos="714" w:val="left"/>
        </w:tabs>
        <w:bidi w:val="0"/>
        <w:spacing w:before="0" w:after="0" w:line="312" w:lineRule="exact"/>
        <w:ind w:left="0" w:right="0"/>
        <w:jc w:val="both"/>
      </w:pPr>
      <w:bookmarkStart w:id="757" w:name="bookmark757"/>
      <w:r>
        <w:rPr>
          <w:rFonts w:ascii="Times New Roman" w:eastAsia="Times New Roman" w:hAnsi="Times New Roman" w:cs="Times New Roman"/>
          <w:color w:val="000000"/>
          <w:spacing w:val="0"/>
          <w:w w:val="100"/>
          <w:position w:val="0"/>
        </w:rPr>
        <w:t>1</w:t>
      </w:r>
      <w:bookmarkEnd w:id="757"/>
      <w:r>
        <w:rPr>
          <w:color w:val="000000"/>
          <w:spacing w:val="0"/>
          <w:w w:val="100"/>
          <w:position w:val="0"/>
        </w:rPr>
        <w:t>、</w:t>
        <w:tab/>
        <w:t>金融工具分为下列五类</w:t>
      </w:r>
    </w:p>
    <w:p>
      <w:pPr>
        <w:pStyle w:val="Style31"/>
        <w:keepNext w:val="0"/>
        <w:keepLines w:val="0"/>
        <w:widowControl w:val="0"/>
        <w:shd w:val="clear" w:color="auto" w:fill="auto"/>
        <w:tabs>
          <w:tab w:pos="891" w:val="left"/>
        </w:tabs>
        <w:bidi w:val="0"/>
        <w:spacing w:before="0" w:after="0" w:line="312"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以公允价值计量且其变动计入当期损益的金融资产或金融负债，包括交易性金融资产或金融负债和直接指定为以 公允价值计量且其变动计入当期损益的金融资产或金融负债；</w:t>
      </w:r>
    </w:p>
    <w:p>
      <w:pPr>
        <w:pStyle w:val="Style31"/>
        <w:keepNext w:val="0"/>
        <w:keepLines w:val="0"/>
        <w:widowControl w:val="0"/>
        <w:shd w:val="clear" w:color="auto" w:fill="auto"/>
        <w:tabs>
          <w:tab w:pos="820" w:val="left"/>
        </w:tabs>
        <w:bidi w:val="0"/>
        <w:spacing w:before="0" w:after="0" w:line="312"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31"/>
        <w:keepNext w:val="0"/>
        <w:keepLines w:val="0"/>
        <w:widowControl w:val="0"/>
        <w:shd w:val="clear" w:color="auto" w:fill="auto"/>
        <w:tabs>
          <w:tab w:pos="820" w:val="left"/>
        </w:tabs>
        <w:bidi w:val="0"/>
        <w:spacing w:before="0" w:after="0" w:line="312" w:lineRule="exact"/>
        <w:ind w:left="0" w:right="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3</w:t>
      </w:r>
      <w:r>
        <w:rPr>
          <w:color w:val="000000"/>
          <w:spacing w:val="0"/>
          <w:w w:val="100"/>
          <w:position w:val="0"/>
        </w:rPr>
        <w:t>）</w:t>
        <w:tab/>
        <w:t>贷款和应收款项；</w:t>
      </w:r>
    </w:p>
    <w:p>
      <w:pPr>
        <w:pStyle w:val="Style31"/>
        <w:keepNext w:val="0"/>
        <w:keepLines w:val="0"/>
        <w:widowControl w:val="0"/>
        <w:shd w:val="clear" w:color="auto" w:fill="auto"/>
        <w:tabs>
          <w:tab w:pos="820" w:val="left"/>
        </w:tabs>
        <w:bidi w:val="0"/>
        <w:spacing w:before="0" w:after="0" w:line="312" w:lineRule="exact"/>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31"/>
        <w:keepNext w:val="0"/>
        <w:keepLines w:val="0"/>
        <w:widowControl w:val="0"/>
        <w:shd w:val="clear" w:color="auto" w:fill="auto"/>
        <w:tabs>
          <w:tab w:pos="820" w:val="left"/>
        </w:tabs>
        <w:bidi w:val="0"/>
        <w:spacing w:before="0" w:after="0" w:line="312"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31"/>
        <w:keepNext w:val="0"/>
        <w:keepLines w:val="0"/>
        <w:widowControl w:val="0"/>
        <w:shd w:val="clear" w:color="auto" w:fill="auto"/>
        <w:tabs>
          <w:tab w:pos="734" w:val="left"/>
        </w:tabs>
        <w:bidi w:val="0"/>
        <w:spacing w:before="0" w:after="0" w:line="312" w:lineRule="exact"/>
        <w:ind w:left="0" w:right="0"/>
        <w:jc w:val="both"/>
      </w:pPr>
      <w:bookmarkStart w:id="763" w:name="bookmark763"/>
      <w:r>
        <w:rPr>
          <w:rFonts w:ascii="Times New Roman" w:eastAsia="Times New Roman" w:hAnsi="Times New Roman" w:cs="Times New Roman"/>
          <w:color w:val="000000"/>
          <w:spacing w:val="0"/>
          <w:w w:val="100"/>
          <w:position w:val="0"/>
        </w:rPr>
        <w:t>2</w:t>
      </w:r>
      <w:bookmarkEnd w:id="763"/>
      <w:r>
        <w:rPr>
          <w:color w:val="000000"/>
          <w:spacing w:val="0"/>
          <w:w w:val="100"/>
          <w:position w:val="0"/>
        </w:rPr>
        <w:t>、</w:t>
        <w:tab/>
        <w:t>确认依据和计量方法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金融工具的确认依据：当公司成为金融工具合同的一方时，确认与之相关的金融资产或金融负债。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金融工具的计量方法：</w:t>
      </w:r>
    </w:p>
    <w:p>
      <w:pPr>
        <w:pStyle w:val="Style31"/>
        <w:keepNext w:val="0"/>
        <w:keepLines w:val="0"/>
        <w:widowControl w:val="0"/>
        <w:shd w:val="clear" w:color="auto" w:fill="auto"/>
        <w:bidi w:val="0"/>
        <w:spacing w:before="0" w:after="0" w:line="312" w:lineRule="exact"/>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 xml:space="preserve">）以公允价值计量且其变动计入当期损益的金融资产或金融负债：按照取得时的公允价值作为初始确认金额，相关 </w:t>
      </w:r>
      <w:r>
        <w:rPr>
          <w:color w:val="000000"/>
          <w:spacing w:val="0"/>
          <w:w w:val="100"/>
          <w:position w:val="0"/>
        </w:rPr>
        <w:t>的交易费用在发生时计入当期损益。支付的价款中包含已宣告发放的现金股利或债券利息，单独确认为应收项目。持有期间 取得的利息或现金股利，确认为投资收益。资产负债表日，将其公允价值变动计入当期损益。处置时，其公允价值与初始入 账金额之间的差额确认为投资收益，同时调整公允价值变动损益。</w:t>
      </w:r>
    </w:p>
    <w:p>
      <w:pPr>
        <w:pStyle w:val="Style31"/>
        <w:keepNext w:val="0"/>
        <w:keepLines w:val="0"/>
        <w:widowControl w:val="0"/>
        <w:shd w:val="clear" w:color="auto" w:fill="auto"/>
        <w:tabs>
          <w:tab w:pos="867" w:val="left"/>
        </w:tabs>
        <w:bidi w:val="0"/>
        <w:spacing w:before="0" w:after="0" w:line="315" w:lineRule="exact"/>
        <w:ind w:left="0" w:right="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持有至到期投资：按取得时的公允价值和相关交易费用之和作为初始确认金额。支付的价款中包含已宣告发放债 券利息的，单独确认为应收项目。持有期间按照实际利率法确认利息收入，计入投资收益。实际利率与票面利率差别很小的， 可按票面利率计算利息收入，计入投资收益。处置持有至到期投资时，将所取得价款与该投资账面价值之间的差额计入投资 收益。</w:t>
      </w:r>
    </w:p>
    <w:p>
      <w:pPr>
        <w:pStyle w:val="Style31"/>
        <w:keepNext w:val="0"/>
        <w:keepLines w:val="0"/>
        <w:widowControl w:val="0"/>
        <w:shd w:val="clear" w:color="auto" w:fill="auto"/>
        <w:tabs>
          <w:tab w:pos="862" w:val="left"/>
        </w:tabs>
        <w:bidi w:val="0"/>
        <w:spacing w:before="0" w:after="0" w:line="315" w:lineRule="exact"/>
        <w:ind w:left="0" w:right="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应收款项：按从购货方应收的合同或协议价款作为初始入账金额。单项金额重大的应收款项持有期间采用实际利 率法，按摊余成本进行后续计量。</w:t>
      </w:r>
    </w:p>
    <w:p>
      <w:pPr>
        <w:pStyle w:val="Style31"/>
        <w:keepNext w:val="0"/>
        <w:keepLines w:val="0"/>
        <w:widowControl w:val="0"/>
        <w:shd w:val="clear" w:color="auto" w:fill="auto"/>
        <w:tabs>
          <w:tab w:pos="862" w:val="left"/>
        </w:tabs>
        <w:bidi w:val="0"/>
        <w:spacing w:before="0" w:after="0" w:line="315" w:lineRule="exact"/>
        <w:ind w:left="0" w:right="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可供出售金融资产：按取得该金融资产的公允价值和相关费用之和作为初始确认金额。支付的价款中包含了已宣 告发放的债券利息或现金股利的，单独确认为应收项目。持有期间取得的利息或现金股利，计入投资收益。期末，可供出售 金融资产以公允价值计量，且公允价值变动计入其他综合收益。</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对于在活跃市场中没有报价且其公允价值不能可靠计量的权益工具投资，以及与该权益工具挂钩并须通过交付该权益工 具结算的衍生金融资产，按成本计量。</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处置可供出售金融资产时，将取得的价款与该金融资产账面价值之间的差额，计入当期损益；同时，将原直接计入其他 综合收益的公允价值变动累计额对应处置部分的金额转出，计入当期损益。</w:t>
      </w:r>
    </w:p>
    <w:p>
      <w:pPr>
        <w:pStyle w:val="Style31"/>
        <w:keepNext w:val="0"/>
        <w:keepLines w:val="0"/>
        <w:widowControl w:val="0"/>
        <w:shd w:val="clear" w:color="auto" w:fill="auto"/>
        <w:tabs>
          <w:tab w:pos="862" w:val="left"/>
        </w:tabs>
        <w:bidi w:val="0"/>
        <w:spacing w:before="0" w:after="80" w:line="315" w:lineRule="exact"/>
        <w:ind w:left="0" w:right="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其他金融负债：按其公允价值和相关交易费用之和作为初始入账金额，除《企业会计准则第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 认与计量》第三十三条规定的三种情况外，按摊余成本进行后续计量。</w:t>
      </w:r>
    </w:p>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p>
    <w:tbl>
      <w:tblPr>
        <w:tblOverlap w:val="never"/>
        <w:jc w:val="left"/>
        <w:tblLayout w:type="fixed"/>
      </w:tblPr>
      <w:tblGrid>
        <w:gridCol w:w="5976"/>
        <w:gridCol w:w="3038"/>
      </w:tblGrid>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确认结果</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已转移金融资产所有权上几乎所有的风险和报酬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终止确认该金融资产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确认新</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既没有转移也没有保留金放弃了对该金融资产控制</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负债</w:t>
            </w:r>
            <w:r>
              <w:rPr>
                <w:color w:val="000000"/>
                <w:spacing w:val="0"/>
                <w:w w:val="100"/>
                <w:position w:val="0"/>
                <w:sz w:val="20"/>
                <w:szCs w:val="20"/>
              </w:rPr>
              <w:t>）</w:t>
            </w:r>
          </w:p>
        </w:tc>
      </w:tr>
      <w:tr>
        <w:trPr>
          <w:trHeight w:val="97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融资产所有权上几乎所有的风险未放弃对该金融资产控制 和报酬</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400"/>
              <w:jc w:val="both"/>
              <w:rPr>
                <w:sz w:val="20"/>
                <w:szCs w:val="20"/>
              </w:rPr>
            </w:pPr>
            <w:r>
              <w:rPr>
                <w:color w:val="000000"/>
                <w:spacing w:val="0"/>
                <w:w w:val="100"/>
                <w:position w:val="0"/>
                <w:sz w:val="20"/>
                <w:szCs w:val="20"/>
              </w:rPr>
              <w:t>按照继续涉入所转移金融资 产的程度确认有关资产和负债及 任何保留权益</w:t>
            </w:r>
          </w:p>
        </w:tc>
      </w:tr>
      <w:tr>
        <w:trPr>
          <w:trHeight w:val="677" w:hRule="exact"/>
        </w:trPr>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3392" w:val="left"/>
              </w:tabs>
              <w:bidi w:val="0"/>
              <w:spacing w:before="0" w:after="60" w:line="240" w:lineRule="auto"/>
              <w:ind w:left="0" w:right="0" w:firstLine="440"/>
              <w:jc w:val="left"/>
              <w:rPr>
                <w:sz w:val="20"/>
                <w:szCs w:val="20"/>
              </w:rPr>
            </w:pPr>
            <w:r>
              <w:rPr>
                <w:color w:val="000000"/>
                <w:spacing w:val="0"/>
                <w:w w:val="100"/>
                <w:position w:val="0"/>
                <w:sz w:val="20"/>
                <w:szCs w:val="20"/>
              </w:rPr>
              <w:t>保留了金融资产所有权上几</w:t>
              <w:tab/>
              <w:t>继续确认该金融资产</w:t>
            </w:r>
            <w:r>
              <w:rPr>
                <w:color w:val="000000"/>
                <w:spacing w:val="0"/>
                <w:w w:val="100"/>
                <w:position w:val="0"/>
                <w:sz w:val="20"/>
                <w:szCs w:val="20"/>
              </w:rPr>
              <w:t>，</w:t>
            </w:r>
            <w:r>
              <w:rPr>
                <w:color w:val="000000"/>
                <w:spacing w:val="0"/>
                <w:w w:val="100"/>
                <w:position w:val="0"/>
                <w:sz w:val="20"/>
                <w:szCs w:val="20"/>
              </w:rPr>
              <w:t>并将收益确认为负债</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乎所有的风险和报酬</w:t>
            </w:r>
          </w:p>
        </w:tc>
      </w:tr>
    </w:tbl>
    <w:p>
      <w:pPr>
        <w:pStyle w:val="Style29"/>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公司将金融资产转移区分为金融资产整体转移和部分转移。</w:t>
      </w:r>
    </w:p>
    <w:p>
      <w:pPr>
        <w:pStyle w:val="Style31"/>
        <w:keepNext w:val="0"/>
        <w:keepLines w:val="0"/>
        <w:widowControl w:val="0"/>
        <w:shd w:val="clear" w:color="auto" w:fill="auto"/>
        <w:tabs>
          <w:tab w:pos="852" w:val="left"/>
        </w:tabs>
        <w:bidi w:val="0"/>
        <w:spacing w:before="0" w:after="0" w:line="315" w:lineRule="exact"/>
        <w:ind w:left="0" w:right="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金融资产整体转移满足终止确认条件的，应当将下列两项金额的差额计入当期损益：所转移金融资产的账面价值; 因转移而收到的对价，与原直接计入所有者权益的公允价值变动累计额之和。</w:t>
      </w:r>
    </w:p>
    <w:p>
      <w:pPr>
        <w:pStyle w:val="Style31"/>
        <w:keepNext w:val="0"/>
        <w:keepLines w:val="0"/>
        <w:widowControl w:val="0"/>
        <w:shd w:val="clear" w:color="auto" w:fill="auto"/>
        <w:tabs>
          <w:tab w:pos="862" w:val="left"/>
        </w:tabs>
        <w:bidi w:val="0"/>
        <w:spacing w:before="0" w:after="0" w:line="315" w:lineRule="exact"/>
        <w:ind w:left="0" w:right="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金融资产部分转移满足终止确认条件的，应当将所转移金融资产整体的账面价值，在终止确认部分和未终止确认 部分之间，按照各自的相对公允价值进行分摊，并将下列两项金额的差额计入当期损益：终止确认部分的账面价值；终止确 认部分的对价，与原直接计入所有者权益的公允价值变动累计额中对应终止确认部分的金额之和。</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金融资产转移不满足终止确认条件的，继续确认所转移的金融资产整体，并将收到的对价确认为一项金融负债。</w:t>
      </w:r>
    </w:p>
    <w:p>
      <w:pPr>
        <w:pStyle w:val="Style31"/>
        <w:keepNext w:val="0"/>
        <w:keepLines w:val="0"/>
        <w:widowControl w:val="0"/>
        <w:shd w:val="clear" w:color="auto" w:fill="auto"/>
        <w:tabs>
          <w:tab w:pos="773" w:val="left"/>
        </w:tabs>
        <w:bidi w:val="0"/>
        <w:spacing w:before="0" w:after="0" w:line="315" w:lineRule="exact"/>
        <w:ind w:left="0" w:right="0"/>
        <w:jc w:val="both"/>
      </w:pPr>
      <w:bookmarkStart w:id="771" w:name="bookmark771"/>
      <w:r>
        <w:rPr>
          <w:rFonts w:ascii="Times New Roman" w:eastAsia="Times New Roman" w:hAnsi="Times New Roman" w:cs="Times New Roman"/>
          <w:color w:val="000000"/>
          <w:spacing w:val="0"/>
          <w:w w:val="100"/>
          <w:position w:val="0"/>
        </w:rPr>
        <w:t>4</w:t>
      </w:r>
      <w:bookmarkEnd w:id="771"/>
      <w:r>
        <w:rPr>
          <w:color w:val="000000"/>
          <w:spacing w:val="0"/>
          <w:w w:val="100"/>
          <w:position w:val="0"/>
        </w:rPr>
        <w:t>、</w:t>
        <w:tab/>
        <w:t>金融负债的终止确认条件</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金融负债的现时义务全部或部分已经解除的，才能终止确认该金融负债或其一部分。如存在下列情况：</w:t>
      </w:r>
    </w:p>
    <w:p>
      <w:pPr>
        <w:pStyle w:val="Style31"/>
        <w:keepNext w:val="0"/>
        <w:keepLines w:val="0"/>
        <w:widowControl w:val="0"/>
        <w:shd w:val="clear" w:color="auto" w:fill="auto"/>
        <w:tabs>
          <w:tab w:pos="786" w:val="left"/>
        </w:tabs>
        <w:bidi w:val="0"/>
        <w:spacing w:before="0" w:after="0" w:line="315" w:lineRule="exact"/>
        <w:ind w:left="0" w:right="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w:t>
        <w:tab/>
        <w:t>公司将用于偿付金融负债的资产转入某个机构或设立信托，不应当终止确认该金融负债。</w:t>
      </w:r>
    </w:p>
    <w:p>
      <w:pPr>
        <w:pStyle w:val="Style31"/>
        <w:keepNext w:val="0"/>
        <w:keepLines w:val="0"/>
        <w:widowControl w:val="0"/>
        <w:shd w:val="clear" w:color="auto" w:fill="auto"/>
        <w:tabs>
          <w:tab w:pos="867" w:val="left"/>
        </w:tabs>
        <w:bidi w:val="0"/>
        <w:spacing w:before="0" w:after="0" w:line="315" w:lineRule="exact"/>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t>公司与债权人之间签订协议</w:t>
      </w:r>
      <w:r>
        <w:rPr>
          <w:rFonts w:ascii="Times New Roman" w:eastAsia="Times New Roman" w:hAnsi="Times New Roman" w:cs="Times New Roman"/>
          <w:color w:val="000000"/>
          <w:spacing w:val="0"/>
          <w:w w:val="100"/>
          <w:position w:val="0"/>
        </w:rPr>
        <w:t>（</w:t>
      </w:r>
      <w:r>
        <w:rPr>
          <w:color w:val="000000"/>
          <w:spacing w:val="0"/>
          <w:w w:val="100"/>
          <w:position w:val="0"/>
        </w:rPr>
        <w:t>不涉及债务重组所指情形</w:t>
      </w:r>
      <w:r>
        <w:rPr>
          <w:rFonts w:ascii="Times New Roman" w:eastAsia="Times New Roman" w:hAnsi="Times New Roman" w:cs="Times New Roman"/>
          <w:color w:val="000000"/>
          <w:spacing w:val="0"/>
          <w:w w:val="100"/>
          <w:position w:val="0"/>
        </w:rPr>
        <w:t>）</w:t>
      </w:r>
      <w:r>
        <w:rPr>
          <w:color w:val="000000"/>
          <w:spacing w:val="0"/>
          <w:w w:val="100"/>
          <w:position w:val="0"/>
        </w:rPr>
        <w:t>，以承担新金融负债方式替换现存金融负债，且新金融负 债与现存金融负债的合同条款实质上不同的，应当终止确认现存金融负债，并同时确认新金融负债。</w:t>
      </w:r>
    </w:p>
    <w:p>
      <w:pPr>
        <w:pStyle w:val="Style31"/>
        <w:keepNext w:val="0"/>
        <w:keepLines w:val="0"/>
        <w:widowControl w:val="0"/>
        <w:shd w:val="clear" w:color="auto" w:fill="auto"/>
        <w:tabs>
          <w:tab w:pos="773" w:val="left"/>
        </w:tabs>
        <w:bidi w:val="0"/>
        <w:spacing w:before="0" w:after="0" w:line="315" w:lineRule="exact"/>
        <w:ind w:left="0" w:right="0"/>
        <w:jc w:val="both"/>
      </w:pPr>
      <w:bookmarkStart w:id="774" w:name="bookmark774"/>
      <w:r>
        <w:rPr>
          <w:rFonts w:ascii="Times New Roman" w:eastAsia="Times New Roman" w:hAnsi="Times New Roman" w:cs="Times New Roman"/>
          <w:color w:val="000000"/>
          <w:spacing w:val="0"/>
          <w:w w:val="100"/>
          <w:position w:val="0"/>
        </w:rPr>
        <w:t>5</w:t>
      </w:r>
      <w:bookmarkEnd w:id="774"/>
      <w:r>
        <w:rPr>
          <w:color w:val="000000"/>
          <w:spacing w:val="0"/>
          <w:w w:val="100"/>
          <w:position w:val="0"/>
        </w:rPr>
        <w:t>、</w:t>
        <w:tab/>
        <w:t>金融资产和金融负债的公允价值确定方法</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1"/>
        <w:keepNext w:val="0"/>
        <w:keepLines w:val="0"/>
        <w:widowControl w:val="0"/>
        <w:shd w:val="clear" w:color="auto" w:fill="auto"/>
        <w:bidi w:val="0"/>
        <w:spacing w:before="0" w:after="0" w:line="312" w:lineRule="exact"/>
        <w:ind w:left="0" w:right="0"/>
        <w:jc w:val="both"/>
      </w:pPr>
      <w:bookmarkStart w:id="775" w:name="bookmark775"/>
      <w:r>
        <w:rPr>
          <w:rFonts w:ascii="Times New Roman" w:eastAsia="Times New Roman" w:hAnsi="Times New Roman" w:cs="Times New Roman"/>
          <w:color w:val="000000"/>
          <w:spacing w:val="0"/>
          <w:w w:val="100"/>
          <w:position w:val="0"/>
        </w:rPr>
        <w:t>6</w:t>
      </w:r>
      <w:bookmarkEnd w:id="775"/>
      <w:r>
        <w:rPr>
          <w:color w:val="000000"/>
          <w:spacing w:val="0"/>
          <w:w w:val="100"/>
          <w:position w:val="0"/>
        </w:rPr>
        <w:t>、金融资产（不含应收款项）减值测试方法及会计处理方法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以公允价值计量且其变动计入当期损益的金融资产不需要进行减值测试。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期末，对持有至到期投资的账面价值进行检查，有客观证据表明其发生了减值的，根据其账面价值与预计未来现金流量 现值之间差额计算确认减值损失；计提后如有证据表明其价值已恢复且客观上与确认该损失后发生的事项有关，原确认的减 值损失可予以转回，计入当期损益,但该转回的账面价值不超过假定不计提减值准备情况下该金融资产在转回日的摊余成本。</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期末，如果可供出售金融资产的公允价值发生严重下降，或在综合考虑各种相关因素后，预期这种下降趋势属于非暂时 性的，认定该可供出售金融资产已发生减值，并确认减值损失。在确认减值损失时，将原直接计入其他综合收益的公允价值 下降形成的累计损失一并转出，计入当期损失。该转出的累计损失，为可供出售金融资产的初始取得成本扣除已收回本金和 已摊销金额、当前公允价值和原已计入损益的减值损失后的余额。对于已确认减值损失的可供出售债务工具，在随后的会计 期间公允价值已上升且客观上与确认原减值损失确认后发生的事项有关的，原确认的减值损失予以转回，计入当期损益。可 供出售权益工具投资发生的减值损失，不通过损益转回。同时，在活跃市场中没有报价且其公允价值不能可靠计量的权益工 具投资或与该权益工具挂钩并须通过交付该权益工具结算的衍生金融资产发生的减值损失，不予转回。</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对可供出售债务工具确认资产减值损失后，如有客观证据表明该金融资产价值已经恢复，且客观上与确认损失后发生的 事项有关，原确认的减值损失予以转回，计入当期损益。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的标准为：公允价值低于其成本累计超过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31"/>
        <w:keepNext w:val="0"/>
        <w:keepLines w:val="0"/>
        <w:widowControl w:val="0"/>
        <w:shd w:val="clear" w:color="auto" w:fill="auto"/>
        <w:bidi w:val="0"/>
        <w:spacing w:before="0" w:after="60" w:line="312" w:lineRule="exact"/>
        <w:ind w:left="0" w:right="0"/>
        <w:jc w:val="left"/>
      </w:pPr>
      <w:r>
        <w:rPr>
          <w:color w:val="000000"/>
          <w:spacing w:val="0"/>
          <w:w w:val="100"/>
          <w:position w:val="0"/>
        </w:rPr>
        <w:t>公司公允价值下跌</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的标准为：公允价值低于其成本持续时间超过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1"/>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在活跃市场中没有报价且其公允价值不能可靠计量的可供出售权益工具投资，或与该权益工具挂钩并须通过交付该权益工具 结算的衍生金融资产发生减值时，本公司将该权益工具投资或衍生金融资产的账面价值，与按照类似金融资产当时市场收益 率对未来现金流量折现确定的现值之间的差额，确认为减值损失，计入当期损益。</w:t>
      </w:r>
    </w:p>
    <w:p>
      <w:pPr>
        <w:pStyle w:val="Style35"/>
        <w:keepNext/>
        <w:keepLines/>
        <w:widowControl w:val="0"/>
        <w:shd w:val="clear" w:color="auto" w:fill="auto"/>
        <w:bidi w:val="0"/>
        <w:spacing w:before="0" w:after="320" w:line="24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6"/>
      <w:bookmarkEnd w:id="777"/>
      <w:bookmarkEnd w:id="779"/>
    </w:p>
    <w:p>
      <w:pPr>
        <w:pStyle w:val="Style35"/>
        <w:keepNext/>
        <w:keepLines/>
        <w:widowControl w:val="0"/>
        <w:shd w:val="clear" w:color="auto" w:fill="auto"/>
        <w:bidi w:val="0"/>
        <w:spacing w:before="0" w:after="320" w:line="240" w:lineRule="auto"/>
        <w:ind w:left="0" w:right="0" w:firstLine="140"/>
        <w:jc w:val="left"/>
      </w:pPr>
      <w:bookmarkStart w:id="776" w:name="bookmark776"/>
      <w:bookmarkStart w:id="777" w:name="bookmark777"/>
      <w:bookmarkStart w:id="780" w:name="bookmark780"/>
      <w:bookmarkStart w:id="781" w:name="bookmark781"/>
      <w:r>
        <w:rPr>
          <w:rFonts w:ascii="Times New Roman" w:eastAsia="Times New Roman" w:hAnsi="Times New Roman" w:cs="Times New Roman"/>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6"/>
      <w:bookmarkEnd w:id="777"/>
      <w:bookmarkEnd w:id="781"/>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单项金额超过期末余额的</w:t>
            </w:r>
            <w:r>
              <w:rPr>
                <w:rFonts w:ascii="Times New Roman" w:eastAsia="Times New Roman" w:hAnsi="Times New Roman" w:cs="Times New Roman"/>
                <w:color w:val="000000"/>
                <w:spacing w:val="0"/>
                <w:w w:val="100"/>
                <w:position w:val="0"/>
              </w:rPr>
              <w:t>10%</w:t>
            </w:r>
            <w:r>
              <w:rPr>
                <w:color w:val="000000"/>
                <w:spacing w:val="0"/>
                <w:w w:val="100"/>
                <w:position w:val="0"/>
              </w:rPr>
              <w:t>且单项金额超过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万元人民 币的应收款项。</w:t>
            </w:r>
          </w:p>
        </w:tc>
      </w:tr>
      <w:tr>
        <w:trPr>
          <w:trHeight w:val="165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单独进行减值测试，有客观证据表明其发生了减值的，应当 根据其未来现金流量现值低于其账面价值的差额确认减值损 失，个别认定计提坏账准备，经减值测试后不存在减值的， 应当包括在具有类似风险组合特征的应收款项中计提坏账准 备。</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14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82"/>
      <w:bookmarkEnd w:id="783"/>
      <w:bookmarkEnd w:id="78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bl>
    <w:p>
      <w:pPr>
        <w:widowControl w:val="0"/>
        <w:spacing w:line="1" w:lineRule="exact"/>
      </w:pP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14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86"/>
      <w:bookmarkEnd w:id="787"/>
      <w:bookmarkEnd w:id="789"/>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299" w:line="1" w:lineRule="exact"/>
      </w:pPr>
    </w:p>
    <w:p>
      <w:pPr>
        <w:pStyle w:val="Style35"/>
        <w:keepNext/>
        <w:keepLines/>
        <w:widowControl w:val="0"/>
        <w:shd w:val="clear" w:color="auto" w:fill="auto"/>
        <w:tabs>
          <w:tab w:pos="474" w:val="left"/>
        </w:tabs>
        <w:bidi w:val="0"/>
        <w:spacing w:before="0" w:after="30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90"/>
      <w:bookmarkEnd w:id="791"/>
      <w:bookmarkEnd w:id="793"/>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714" w:val="left"/>
        </w:tabs>
        <w:bidi w:val="0"/>
        <w:spacing w:before="0" w:after="0" w:line="312" w:lineRule="exact"/>
        <w:ind w:left="0" w:right="0"/>
        <w:jc w:val="both"/>
      </w:pPr>
      <w:bookmarkStart w:id="794" w:name="bookmark794"/>
      <w:r>
        <w:rPr>
          <w:rFonts w:ascii="Times New Roman" w:eastAsia="Times New Roman" w:hAnsi="Times New Roman" w:cs="Times New Roman"/>
          <w:color w:val="000000"/>
          <w:spacing w:val="0"/>
          <w:w w:val="100"/>
          <w:position w:val="0"/>
        </w:rPr>
        <w:t>1</w:t>
      </w:r>
      <w:bookmarkEnd w:id="794"/>
      <w:r>
        <w:rPr>
          <w:color w:val="000000"/>
          <w:spacing w:val="0"/>
          <w:w w:val="100"/>
          <w:position w:val="0"/>
        </w:rPr>
        <w:t>、</w:t>
        <w:tab/>
        <w:t>存货的分类</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存货是指本公司在日常活动中持有以备出售的库存商品或者提供劳务过程中所耗用的劳务成本等。</w:t>
      </w:r>
    </w:p>
    <w:p>
      <w:pPr>
        <w:pStyle w:val="Style31"/>
        <w:keepNext w:val="0"/>
        <w:keepLines w:val="0"/>
        <w:widowControl w:val="0"/>
        <w:shd w:val="clear" w:color="auto" w:fill="auto"/>
        <w:tabs>
          <w:tab w:pos="734" w:val="left"/>
        </w:tabs>
        <w:bidi w:val="0"/>
        <w:spacing w:before="0" w:after="0" w:line="312" w:lineRule="exact"/>
        <w:ind w:left="0" w:right="0"/>
        <w:jc w:val="both"/>
      </w:pPr>
      <w:bookmarkStart w:id="795" w:name="bookmark795"/>
      <w:r>
        <w:rPr>
          <w:rFonts w:ascii="Times New Roman" w:eastAsia="Times New Roman" w:hAnsi="Times New Roman" w:cs="Times New Roman"/>
          <w:color w:val="000000"/>
          <w:spacing w:val="0"/>
          <w:w w:val="100"/>
          <w:position w:val="0"/>
        </w:rPr>
        <w:t>2</w:t>
      </w:r>
      <w:bookmarkEnd w:id="795"/>
      <w:r>
        <w:rPr>
          <w:color w:val="000000"/>
          <w:spacing w:val="0"/>
          <w:w w:val="100"/>
          <w:position w:val="0"/>
        </w:rPr>
        <w:t>、</w:t>
        <w:tab/>
        <w:t>存货取得和发出的计价方法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存货按照成本进行初始计量。存货成本包括采购成本、加工成本和其他成本。应计入存货成本的借款费用，按照《企业 会计准则第</w:t>
      </w:r>
      <w:r>
        <w:rPr>
          <w:rFonts w:ascii="Times New Roman" w:eastAsia="Times New Roman" w:hAnsi="Times New Roman" w:cs="Times New Roman"/>
          <w:color w:val="000000"/>
          <w:spacing w:val="0"/>
          <w:w w:val="100"/>
          <w:position w:val="0"/>
        </w:rPr>
        <w:t>17</w:t>
      </w:r>
      <w:r>
        <w:rPr>
          <w:color w:val="000000"/>
          <w:spacing w:val="0"/>
          <w:w w:val="100"/>
          <w:position w:val="0"/>
        </w:rPr>
        <w:t>号一■借款费用》处理。投资者投入存货的成本，应当按照投资合同或协议约定的价值确定，但合同或协议约 定价值不公允的除外。</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发出存货的计价方法：采购存货专门用于单项业务时，按个别计价法确认；非为单项业务单独采购的存货，按加权平均 价格计价确认。</w:t>
      </w:r>
    </w:p>
    <w:p>
      <w:pPr>
        <w:pStyle w:val="Style31"/>
        <w:keepNext w:val="0"/>
        <w:keepLines w:val="0"/>
        <w:widowControl w:val="0"/>
        <w:shd w:val="clear" w:color="auto" w:fill="auto"/>
        <w:tabs>
          <w:tab w:pos="734" w:val="left"/>
        </w:tabs>
        <w:bidi w:val="0"/>
        <w:spacing w:before="0" w:after="0" w:line="312" w:lineRule="exact"/>
        <w:ind w:left="0" w:right="0"/>
        <w:jc w:val="both"/>
      </w:pPr>
      <w:bookmarkStart w:id="796" w:name="bookmark796"/>
      <w:r>
        <w:rPr>
          <w:rFonts w:ascii="Times New Roman" w:eastAsia="Times New Roman" w:hAnsi="Times New Roman" w:cs="Times New Roman"/>
          <w:color w:val="000000"/>
          <w:spacing w:val="0"/>
          <w:w w:val="100"/>
          <w:position w:val="0"/>
        </w:rPr>
        <w:t>3</w:t>
      </w:r>
      <w:bookmarkEnd w:id="796"/>
      <w:r>
        <w:rPr>
          <w:color w:val="000000"/>
          <w:spacing w:val="0"/>
          <w:w w:val="100"/>
          <w:position w:val="0"/>
        </w:rPr>
        <w:t>、</w:t>
        <w:tab/>
        <w:t>存货可变现净值的确定依据及存货跌价准备计提方法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期末存货按成本与可变现净值孰低计价，存货期末可变现净值低于账面成本的，按差额计提存货跌价准备。可变现净值, 是指在日常活动中，存货的估计售价减去至完工时估计将要发生的成本、估计的销售费用以及相关税费后的金额。</w:t>
      </w:r>
    </w:p>
    <w:p>
      <w:pPr>
        <w:pStyle w:val="Style31"/>
        <w:keepNext w:val="0"/>
        <w:keepLines w:val="0"/>
        <w:widowControl w:val="0"/>
        <w:shd w:val="clear" w:color="auto" w:fill="auto"/>
        <w:tabs>
          <w:tab w:pos="896" w:val="left"/>
        </w:tabs>
        <w:bidi w:val="0"/>
        <w:spacing w:before="0" w:after="0" w:line="312" w:lineRule="exact"/>
        <w:ind w:left="0" w:right="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存货可变现净值的确定依据：为执行销售合同或者劳务合同而持有的存货，其可变现净值应当以合同价格为基础 计算。企业持有存货的数量多于销售合同订购数量的，超出部分的存货的可变现净值应当以一般销售价格为基础计算。</w:t>
      </w:r>
    </w:p>
    <w:p>
      <w:pPr>
        <w:pStyle w:val="Style31"/>
        <w:keepNext w:val="0"/>
        <w:keepLines w:val="0"/>
        <w:widowControl w:val="0"/>
        <w:shd w:val="clear" w:color="auto" w:fill="auto"/>
        <w:tabs>
          <w:tab w:pos="896" w:val="left"/>
        </w:tabs>
        <w:bidi w:val="0"/>
        <w:spacing w:before="0" w:after="0" w:line="312"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存货跌价准备的计提方法：按单个存货项目的成本与可变现净值孰低法计提存货跌价准备</w:t>
      </w:r>
      <w:r>
        <w:rPr>
          <w:rFonts w:ascii="Times New Roman" w:eastAsia="Times New Roman" w:hAnsi="Times New Roman" w:cs="Times New Roman"/>
          <w:color w:val="000000"/>
          <w:spacing w:val="0"/>
          <w:w w:val="100"/>
          <w:position w:val="0"/>
        </w:rPr>
        <w:t>;</w:t>
      </w:r>
      <w:r>
        <w:rPr>
          <w:color w:val="000000"/>
          <w:spacing w:val="0"/>
          <w:w w:val="100"/>
          <w:position w:val="0"/>
        </w:rPr>
        <w:t>但对于数量繁多、单价 较低的存货按存货类别计提存货跌价准备。</w:t>
      </w:r>
    </w:p>
    <w:p>
      <w:pPr>
        <w:pStyle w:val="Style31"/>
        <w:keepNext w:val="0"/>
        <w:keepLines w:val="0"/>
        <w:widowControl w:val="0"/>
        <w:shd w:val="clear" w:color="auto" w:fill="auto"/>
        <w:tabs>
          <w:tab w:pos="734" w:val="left"/>
        </w:tabs>
        <w:bidi w:val="0"/>
        <w:spacing w:before="0" w:after="0" w:line="312" w:lineRule="exact"/>
        <w:ind w:left="0" w:right="0"/>
        <w:jc w:val="both"/>
      </w:pPr>
      <w:bookmarkStart w:id="799" w:name="bookmark799"/>
      <w:r>
        <w:rPr>
          <w:rFonts w:ascii="Times New Roman" w:eastAsia="Times New Roman" w:hAnsi="Times New Roman" w:cs="Times New Roman"/>
          <w:color w:val="000000"/>
          <w:spacing w:val="0"/>
          <w:w w:val="100"/>
          <w:position w:val="0"/>
        </w:rPr>
        <w:t>4</w:t>
      </w:r>
      <w:bookmarkEnd w:id="799"/>
      <w:r>
        <w:rPr>
          <w:color w:val="000000"/>
          <w:spacing w:val="0"/>
          <w:w w:val="100"/>
          <w:position w:val="0"/>
        </w:rPr>
        <w:t>、</w:t>
        <w:tab/>
        <w:t>存货的盘存制度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采用永续盘存制。</w:t>
      </w:r>
    </w:p>
    <w:p>
      <w:pPr>
        <w:pStyle w:val="Style35"/>
        <w:keepNext/>
        <w:keepLines/>
        <w:widowControl w:val="0"/>
        <w:shd w:val="clear" w:color="auto" w:fill="auto"/>
        <w:tabs>
          <w:tab w:pos="474" w:val="left"/>
        </w:tabs>
        <w:bidi w:val="0"/>
        <w:spacing w:before="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00"/>
      <w:bookmarkEnd w:id="801"/>
      <w:bookmarkEnd w:id="803"/>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本公司将同时满足下列条件的组成部分（或非流动资产）确认为持有待售组成部分：</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、该组成部分必须在其当前状况下仅根据出售此类组成部分的惯常条款即可立即出售;</w:t>
      </w:r>
    </w:p>
    <w:p>
      <w:pPr>
        <w:pStyle w:val="Style31"/>
        <w:keepNext w:val="0"/>
        <w:keepLines w:val="0"/>
        <w:widowControl w:val="0"/>
        <w:shd w:val="clear" w:color="auto" w:fill="auto"/>
        <w:tabs>
          <w:tab w:pos="324" w:val="left"/>
        </w:tabs>
        <w:bidi w:val="0"/>
        <w:spacing w:before="0" w:after="0" w:line="314" w:lineRule="exact"/>
        <w:ind w:left="0" w:right="0" w:firstLine="0"/>
        <w:jc w:val="left"/>
      </w:pPr>
      <w:bookmarkStart w:id="804" w:name="bookmark804"/>
      <w:r>
        <w:rPr>
          <w:rFonts w:ascii="Times New Roman" w:eastAsia="Times New Roman" w:hAnsi="Times New Roman" w:cs="Times New Roman"/>
          <w:color w:val="000000"/>
          <w:spacing w:val="0"/>
          <w:w w:val="100"/>
          <w:position w:val="0"/>
        </w:rPr>
        <w:t>2</w:t>
      </w:r>
      <w:bookmarkEnd w:id="804"/>
      <w:r>
        <w:rPr>
          <w:color w:val="000000"/>
          <w:spacing w:val="0"/>
          <w:w w:val="100"/>
          <w:position w:val="0"/>
        </w:rPr>
        <w:t>、</w:t>
        <w:tab/>
        <w:t>企业已经就处置该组成部分作出决议，如按规定需得到股东批准的，已经取得股东大会或相应权力机构的批准；</w:t>
      </w:r>
    </w:p>
    <w:p>
      <w:pPr>
        <w:pStyle w:val="Style31"/>
        <w:keepNext w:val="0"/>
        <w:keepLines w:val="0"/>
        <w:widowControl w:val="0"/>
        <w:shd w:val="clear" w:color="auto" w:fill="auto"/>
        <w:tabs>
          <w:tab w:pos="324" w:val="left"/>
        </w:tabs>
        <w:bidi w:val="0"/>
        <w:spacing w:before="0" w:after="0" w:line="314" w:lineRule="exact"/>
        <w:ind w:left="0" w:right="0" w:firstLine="0"/>
        <w:jc w:val="left"/>
      </w:pPr>
      <w:bookmarkStart w:id="805" w:name="bookmark805"/>
      <w:r>
        <w:rPr>
          <w:rFonts w:ascii="Times New Roman" w:eastAsia="Times New Roman" w:hAnsi="Times New Roman" w:cs="Times New Roman"/>
          <w:color w:val="000000"/>
          <w:spacing w:val="0"/>
          <w:w w:val="100"/>
          <w:position w:val="0"/>
        </w:rPr>
        <w:t>3</w:t>
      </w:r>
      <w:bookmarkEnd w:id="805"/>
      <w:r>
        <w:rPr>
          <w:color w:val="000000"/>
          <w:spacing w:val="0"/>
          <w:w w:val="100"/>
          <w:position w:val="0"/>
        </w:rPr>
        <w:t>、</w:t>
        <w:tab/>
        <w:t>企业已经与受让方签订了不可撤销的转让协议；</w:t>
      </w:r>
    </w:p>
    <w:p>
      <w:pPr>
        <w:pStyle w:val="Style31"/>
        <w:keepNext w:val="0"/>
        <w:keepLines w:val="0"/>
        <w:widowControl w:val="0"/>
        <w:shd w:val="clear" w:color="auto" w:fill="auto"/>
        <w:tabs>
          <w:tab w:pos="324" w:val="left"/>
        </w:tabs>
        <w:bidi w:val="0"/>
        <w:spacing w:before="0" w:after="360" w:line="314" w:lineRule="exact"/>
        <w:ind w:left="0" w:right="0" w:firstLine="0"/>
        <w:jc w:val="left"/>
      </w:pPr>
      <w:bookmarkStart w:id="806" w:name="bookmark806"/>
      <w:r>
        <w:rPr>
          <w:rFonts w:ascii="Times New Roman" w:eastAsia="Times New Roman" w:hAnsi="Times New Roman" w:cs="Times New Roman"/>
          <w:color w:val="000000"/>
          <w:spacing w:val="0"/>
          <w:w w:val="100"/>
          <w:position w:val="0"/>
        </w:rPr>
        <w:t>4</w:t>
      </w:r>
      <w:bookmarkEnd w:id="806"/>
      <w:r>
        <w:rPr>
          <w:color w:val="000000"/>
          <w:spacing w:val="0"/>
          <w:w w:val="100"/>
          <w:position w:val="0"/>
        </w:rPr>
        <w:t>、</w:t>
        <w:tab/>
        <w:t>该项转让将在一年内完成。</w:t>
      </w:r>
    </w:p>
    <w:p>
      <w:pPr>
        <w:pStyle w:val="Style35"/>
        <w:keepNext/>
        <w:keepLines/>
        <w:widowControl w:val="0"/>
        <w:shd w:val="clear" w:color="auto" w:fill="auto"/>
        <w:bidi w:val="0"/>
        <w:spacing w:before="0" w:after="30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07"/>
      <w:bookmarkEnd w:id="808"/>
      <w:bookmarkEnd w:id="810"/>
    </w:p>
    <w:p>
      <w:pPr>
        <w:pStyle w:val="Style31"/>
        <w:keepNext w:val="0"/>
        <w:keepLines w:val="0"/>
        <w:widowControl w:val="0"/>
        <w:shd w:val="clear" w:color="auto" w:fill="auto"/>
        <w:tabs>
          <w:tab w:pos="685" w:val="left"/>
        </w:tabs>
        <w:bidi w:val="0"/>
        <w:spacing w:before="0" w:after="0" w:line="314" w:lineRule="exact"/>
        <w:ind w:left="0" w:right="0"/>
        <w:jc w:val="both"/>
      </w:pPr>
      <w:bookmarkStart w:id="811" w:name="bookmark811"/>
      <w:r>
        <w:rPr>
          <w:rFonts w:ascii="Times New Roman" w:eastAsia="Times New Roman" w:hAnsi="Times New Roman" w:cs="Times New Roman"/>
          <w:color w:val="000000"/>
          <w:spacing w:val="0"/>
          <w:w w:val="100"/>
          <w:position w:val="0"/>
        </w:rPr>
        <w:t>1</w:t>
      </w:r>
      <w:bookmarkEnd w:id="811"/>
      <w:r>
        <w:rPr>
          <w:color w:val="000000"/>
          <w:spacing w:val="0"/>
          <w:w w:val="100"/>
          <w:position w:val="0"/>
        </w:rPr>
        <w:t>、</w:t>
        <w:tab/>
        <w:t>确定对被投资单位具有共同控制、重大影响的依据</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共同控制是指按照相关约定对某项安排所共有的控制，并且该安排的相关活动必须经过分享控制权的参与方一致同意后 才能决策。在判断是否存在共同控制时，首先判断所有参与方或参与方组合是否集体控制该安排，如果所有参与方或一组参 与方必须一致行动才能决定某项安排的相关活动，则认为所有参与方或一组参与方集体控制该安排。其次再判断该安排相关 活动的决策是否必须经过这些集体控制该安排的参与方一致同意，当且仅当相关活动的决策要求集体控制该安排的参与方一 致同意时，才形成共同控制。如果存在两个或两个以上的参与方组合能够集体控制某项安排的，不构成共同控制。判断是否 存在共同控制时，不考虑享有的保护性权利。</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重大影响是指投资方对被投资单位的财务和经营政策有参与决策的权力，但并不能够控制或者与其他方一起共同控制这 些政策的制定。在确定能否对被投资单位施加重大影响时，考虑投资方直接或间接持有被投资单位的表决权股份以及投资方 及其他方持有的当期可执行潜在表决权在假定转换为对被投资方单位的股权后产生的影响，包括被投资单位发行的当期可转 换的认股权证、股份期权及可转换公司债券等的影响。对外投资符合下列情况时，一般确定为对投资单位具有重大影响：① 在被投资单位的董事会或类似权力机构中派有代表；②参与被投资单位财务和经营政策的制定过程；③与被投资单位之间发 生重要交易；④向被投资单位派出管理人员；⑤向被投资单位提供关键技术资料。直接或通过子公司间接拥有被投资企业</w:t>
      </w:r>
      <w:r>
        <w:rPr>
          <w:rFonts w:ascii="Times New Roman" w:eastAsia="Times New Roman" w:hAnsi="Times New Roman" w:cs="Times New Roman"/>
          <w:color w:val="000000"/>
          <w:spacing w:val="0"/>
          <w:w w:val="100"/>
          <w:position w:val="0"/>
        </w:rPr>
        <w:t xml:space="preserve">20% </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的表决权股份时，一般认为对被投资单位具有重大影响。</w:t>
      </w:r>
    </w:p>
    <w:p>
      <w:pPr>
        <w:pStyle w:val="Style31"/>
        <w:keepNext w:val="0"/>
        <w:keepLines w:val="0"/>
        <w:widowControl w:val="0"/>
        <w:shd w:val="clear" w:color="auto" w:fill="auto"/>
        <w:tabs>
          <w:tab w:pos="704" w:val="left"/>
        </w:tabs>
        <w:bidi w:val="0"/>
        <w:spacing w:before="0" w:after="0" w:line="314" w:lineRule="exact"/>
        <w:ind w:left="0" w:right="0"/>
        <w:jc w:val="both"/>
      </w:pPr>
      <w:bookmarkStart w:id="812" w:name="bookmark812"/>
      <w:r>
        <w:rPr>
          <w:rFonts w:ascii="Times New Roman" w:eastAsia="Times New Roman" w:hAnsi="Times New Roman" w:cs="Times New Roman"/>
          <w:color w:val="000000"/>
          <w:spacing w:val="0"/>
          <w:w w:val="100"/>
          <w:position w:val="0"/>
        </w:rPr>
        <w:t>2</w:t>
      </w:r>
      <w:bookmarkEnd w:id="812"/>
      <w:r>
        <w:rPr>
          <w:color w:val="000000"/>
          <w:spacing w:val="0"/>
          <w:w w:val="100"/>
          <w:position w:val="0"/>
        </w:rPr>
        <w:t>、</w:t>
        <w:tab/>
        <w:t>初始投资成本确定</w:t>
      </w:r>
    </w:p>
    <w:p>
      <w:pPr>
        <w:pStyle w:val="Style31"/>
        <w:keepNext w:val="0"/>
        <w:keepLines w:val="0"/>
        <w:widowControl w:val="0"/>
        <w:shd w:val="clear" w:color="auto" w:fill="auto"/>
        <w:tabs>
          <w:tab w:pos="811" w:val="left"/>
        </w:tabs>
        <w:bidi w:val="0"/>
        <w:spacing w:before="0" w:after="0" w:line="314"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31"/>
        <w:keepNext w:val="0"/>
        <w:keepLines w:val="0"/>
        <w:widowControl w:val="0"/>
        <w:numPr>
          <w:ilvl w:val="0"/>
          <w:numId w:val="13"/>
        </w:numPr>
        <w:shd w:val="clear" w:color="auto" w:fill="auto"/>
        <w:tabs>
          <w:tab w:pos="680" w:val="left"/>
        </w:tabs>
        <w:bidi w:val="0"/>
        <w:spacing w:before="0" w:after="0" w:line="314" w:lineRule="exact"/>
        <w:ind w:left="0" w:right="0"/>
        <w:jc w:val="both"/>
      </w:pPr>
      <w:bookmarkStart w:id="814" w:name="bookmark814"/>
      <w:bookmarkEnd w:id="814"/>
      <w:r>
        <w:rPr>
          <w:color w:val="000000"/>
          <w:spacing w:val="0"/>
          <w:w w:val="100"/>
          <w:position w:val="0"/>
        </w:rPr>
        <w:t>同一控制下的企业合并</w:t>
      </w:r>
      <w:r>
        <w:rPr>
          <w:rFonts w:ascii="Times New Roman" w:eastAsia="Times New Roman" w:hAnsi="Times New Roman" w:cs="Times New Roman"/>
          <w:color w:val="000000"/>
          <w:spacing w:val="0"/>
          <w:w w:val="100"/>
          <w:position w:val="0"/>
        </w:rPr>
        <w:t>,</w:t>
      </w:r>
      <w:r>
        <w:rPr>
          <w:color w:val="000000"/>
          <w:spacing w:val="0"/>
          <w:w w:val="100"/>
          <w:position w:val="0"/>
        </w:rPr>
        <w:t>以支付现金、转让非现金资产或承担债务方式以及以发行权益性证券作为合并对价的，在合 并日按照取得被合并方所有者权益在最终控制方合并财务报表中的账面价值的份额作为长期股权投资的初始投资成本。因追 加投资等原因能够对同一控制下的被投资单位实施控制的，在合并日根据合并后应享有被合并方净资产在最终控制方合并财 务报表中的账面价值的份额，确定长期股权投资的初始投资成本。合并日长期股权投资的初始投资成本，与达到合并前的长 期股权投资账面价值加上合并日进一步取得股份新支付对价的账面价值之和的差额，调整股本溢价，股本溢价不足冲减的， 冲减留存收益。</w:t>
      </w:r>
    </w:p>
    <w:p>
      <w:pPr>
        <w:pStyle w:val="Style31"/>
        <w:keepNext w:val="0"/>
        <w:keepLines w:val="0"/>
        <w:widowControl w:val="0"/>
        <w:numPr>
          <w:ilvl w:val="0"/>
          <w:numId w:val="13"/>
        </w:numPr>
        <w:shd w:val="clear" w:color="auto" w:fill="auto"/>
        <w:tabs>
          <w:tab w:pos="689" w:val="left"/>
        </w:tabs>
        <w:bidi w:val="0"/>
        <w:spacing w:before="0" w:after="0" w:line="314" w:lineRule="exact"/>
        <w:ind w:left="0" w:right="0"/>
        <w:jc w:val="both"/>
      </w:pPr>
      <w:bookmarkStart w:id="815" w:name="bookmark815"/>
      <w:bookmarkEnd w:id="815"/>
      <w:r>
        <w:rPr>
          <w:color w:val="000000"/>
          <w:spacing w:val="0"/>
          <w:w w:val="100"/>
          <w:position w:val="0"/>
        </w:rPr>
        <w:t>非同一控制下的企业合并</w:t>
      </w:r>
      <w:r>
        <w:rPr>
          <w:rFonts w:ascii="Times New Roman" w:eastAsia="Times New Roman" w:hAnsi="Times New Roman" w:cs="Times New Roman"/>
          <w:color w:val="000000"/>
          <w:spacing w:val="0"/>
          <w:w w:val="100"/>
          <w:position w:val="0"/>
        </w:rPr>
        <w:t>,</w:t>
      </w:r>
      <w:r>
        <w:rPr>
          <w:color w:val="000000"/>
          <w:spacing w:val="0"/>
          <w:w w:val="100"/>
          <w:position w:val="0"/>
        </w:rPr>
        <w:t>在购买日按照《企业会计准则第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号——企业合并》的相关规定确定的合并成本作为长期 股权投资的初始投资成本。因追加投资等原因能够对非同一控制下的被投资单位实施控制的，按照原持有的股权投资账面价 值加上新增投资成本之和，作为改按成本法核算的初始投资成本。</w:t>
      </w:r>
    </w:p>
    <w:p>
      <w:pPr>
        <w:pStyle w:val="Style31"/>
        <w:keepNext w:val="0"/>
        <w:keepLines w:val="0"/>
        <w:widowControl w:val="0"/>
        <w:shd w:val="clear" w:color="auto" w:fill="auto"/>
        <w:tabs>
          <w:tab w:pos="811" w:val="left"/>
        </w:tabs>
        <w:bidi w:val="0"/>
        <w:spacing w:before="0" w:after="0" w:line="314" w:lineRule="exact"/>
        <w:ind w:left="0" w:right="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除企业合并形成的长期股权投资以外，其他方式取得的长期股权投资，按照下列规定确定其初始投资成本：</w:t>
      </w:r>
    </w:p>
    <w:p>
      <w:pPr>
        <w:pStyle w:val="Style31"/>
        <w:keepNext w:val="0"/>
        <w:keepLines w:val="0"/>
        <w:widowControl w:val="0"/>
        <w:numPr>
          <w:ilvl w:val="0"/>
          <w:numId w:val="15"/>
        </w:numPr>
        <w:shd w:val="clear" w:color="auto" w:fill="auto"/>
        <w:tabs>
          <w:tab w:pos="680" w:val="left"/>
        </w:tabs>
        <w:bidi w:val="0"/>
        <w:spacing w:before="0" w:after="80" w:line="314" w:lineRule="exact"/>
        <w:ind w:left="0" w:right="0"/>
        <w:jc w:val="both"/>
      </w:pPr>
      <w:bookmarkStart w:id="817" w:name="bookmark817"/>
      <w:bookmarkEnd w:id="817"/>
      <w:r>
        <w:rPr>
          <w:color w:val="000000"/>
          <w:spacing w:val="0"/>
          <w:w w:val="100"/>
          <w:position w:val="0"/>
        </w:rPr>
        <w:t>以支付现金取得的长期股权投资，应当按照实际支付的购买价款作为初始投资成本。初始投资成本包括与取得长期股 权投资直接相关的费用、税金及其他必要支出。</w:t>
      </w:r>
    </w:p>
    <w:p>
      <w:pPr>
        <w:pStyle w:val="Style31"/>
        <w:keepNext w:val="0"/>
        <w:keepLines w:val="0"/>
        <w:widowControl w:val="0"/>
        <w:numPr>
          <w:ilvl w:val="0"/>
          <w:numId w:val="15"/>
        </w:numPr>
        <w:shd w:val="clear" w:color="auto" w:fill="auto"/>
        <w:tabs>
          <w:tab w:pos="714" w:val="left"/>
        </w:tabs>
        <w:bidi w:val="0"/>
        <w:spacing w:before="0" w:after="0"/>
        <w:ind w:left="0" w:right="0"/>
        <w:jc w:val="both"/>
      </w:pPr>
      <w:bookmarkStart w:id="818" w:name="bookmark818"/>
      <w:bookmarkEnd w:id="818"/>
      <w:r>
        <w:rPr>
          <w:color w:val="000000"/>
          <w:spacing w:val="0"/>
          <w:w w:val="100"/>
          <w:position w:val="0"/>
        </w:rPr>
        <w:t>以发行权益性证券取得的长期股权投资，按照发行权益性证券的公允价值作为初始投资成本。</w:t>
      </w:r>
    </w:p>
    <w:p>
      <w:pPr>
        <w:pStyle w:val="Style31"/>
        <w:keepNext w:val="0"/>
        <w:keepLines w:val="0"/>
        <w:widowControl w:val="0"/>
        <w:numPr>
          <w:ilvl w:val="0"/>
          <w:numId w:val="15"/>
        </w:numPr>
        <w:shd w:val="clear" w:color="auto" w:fill="auto"/>
        <w:tabs>
          <w:tab w:pos="684" w:val="left"/>
        </w:tabs>
        <w:bidi w:val="0"/>
        <w:spacing w:before="0" w:after="80" w:line="314" w:lineRule="exact"/>
        <w:ind w:left="0" w:right="0"/>
        <w:jc w:val="both"/>
      </w:pPr>
      <w:bookmarkStart w:id="819" w:name="bookmark819"/>
      <w:bookmarkEnd w:id="819"/>
      <w:r>
        <w:rPr>
          <w:color w:val="000000"/>
          <w:spacing w:val="0"/>
          <w:w w:val="100"/>
          <w:position w:val="0"/>
        </w:rPr>
        <w:t>通过非货币性资产交换取得的长期股权投资，其初始投资成本按照《企业会计准则第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 定。</w:t>
      </w:r>
    </w:p>
    <w:p>
      <w:pPr>
        <w:pStyle w:val="Style31"/>
        <w:keepNext w:val="0"/>
        <w:keepLines w:val="0"/>
        <w:widowControl w:val="0"/>
        <w:numPr>
          <w:ilvl w:val="0"/>
          <w:numId w:val="15"/>
        </w:numPr>
        <w:shd w:val="clear" w:color="auto" w:fill="auto"/>
        <w:tabs>
          <w:tab w:pos="714" w:val="left"/>
        </w:tabs>
        <w:bidi w:val="0"/>
        <w:spacing w:before="0" w:after="0"/>
        <w:ind w:left="0" w:right="0"/>
        <w:jc w:val="both"/>
      </w:pPr>
      <w:bookmarkStart w:id="820" w:name="bookmark820"/>
      <w:bookmarkEnd w:id="820"/>
      <w:r>
        <w:rPr>
          <w:color w:val="000000"/>
          <w:spacing w:val="0"/>
          <w:w w:val="100"/>
          <w:position w:val="0"/>
        </w:rPr>
        <w:t>通过债务重组取得的长期股权投资，其初始投资成本按照《企业会计准则第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w:t>
      </w:r>
    </w:p>
    <w:p>
      <w:pPr>
        <w:pStyle w:val="Style31"/>
        <w:keepNext w:val="0"/>
        <w:keepLines w:val="0"/>
        <w:widowControl w:val="0"/>
        <w:shd w:val="clear" w:color="auto" w:fill="auto"/>
        <w:tabs>
          <w:tab w:pos="704" w:val="left"/>
        </w:tabs>
        <w:bidi w:val="0"/>
        <w:spacing w:before="0" w:after="0" w:line="314" w:lineRule="exact"/>
        <w:ind w:left="0" w:right="0"/>
        <w:jc w:val="both"/>
      </w:pPr>
      <w:bookmarkStart w:id="821" w:name="bookmark821"/>
      <w:r>
        <w:rPr>
          <w:rFonts w:ascii="Times New Roman" w:eastAsia="Times New Roman" w:hAnsi="Times New Roman" w:cs="Times New Roman"/>
          <w:color w:val="000000"/>
          <w:spacing w:val="0"/>
          <w:w w:val="100"/>
          <w:position w:val="0"/>
        </w:rPr>
        <w:t>3</w:t>
      </w:r>
      <w:bookmarkEnd w:id="821"/>
      <w:r>
        <w:rPr>
          <w:color w:val="000000"/>
          <w:spacing w:val="0"/>
          <w:w w:val="100"/>
          <w:position w:val="0"/>
        </w:rPr>
        <w:t>、</w:t>
        <w:tab/>
        <w:t>后续计量和损益确认方法</w:t>
      </w:r>
    </w:p>
    <w:p>
      <w:pPr>
        <w:pStyle w:val="Style31"/>
        <w:keepNext w:val="0"/>
        <w:keepLines w:val="0"/>
        <w:widowControl w:val="0"/>
        <w:shd w:val="clear" w:color="auto" w:fill="auto"/>
        <w:tabs>
          <w:tab w:pos="867" w:val="left"/>
        </w:tabs>
        <w:bidi w:val="0"/>
        <w:spacing w:before="0" w:after="0" w:line="314"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成本法核算：能够对被投资单位实施控制的长期股权投资，采用成本法核算。采用成本法核算时，追加或收回投 资调整长期股权投资的成本。采用成本法核算的长期股权投资，除取得投资时实际支付的价款或对价中包含的已宣告但尚未 发放的现金股利或利润外，公司应当按照享有被投资单位宣告发放的现金股利或利润确认投资收益，不再划分是否属于投资 前和投资后被投资单位实现的净利润。</w:t>
      </w:r>
    </w:p>
    <w:p>
      <w:pPr>
        <w:pStyle w:val="Style31"/>
        <w:keepNext w:val="0"/>
        <w:keepLines w:val="0"/>
        <w:widowControl w:val="0"/>
        <w:shd w:val="clear" w:color="auto" w:fill="auto"/>
        <w:tabs>
          <w:tab w:pos="431" w:val="left"/>
        </w:tabs>
        <w:bidi w:val="0"/>
        <w:spacing w:before="0" w:after="0" w:line="314" w:lineRule="exact"/>
        <w:ind w:left="0" w:right="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权益法核算：对被投资单位共同控制或重大影响的长期股权投资，除</w:t>
      </w:r>
      <w:r>
        <w:rPr>
          <w:rFonts w:ascii="Times New Roman" w:eastAsia="Times New Roman" w:hAnsi="Times New Roman" w:cs="Times New Roman"/>
          <w:color w:val="000000"/>
          <w:spacing w:val="0"/>
          <w:w w:val="100"/>
          <w:position w:val="0"/>
        </w:rPr>
        <w:t>“</w:t>
      </w:r>
      <w:r>
        <w:rPr>
          <w:color w:val="000000"/>
          <w:spacing w:val="0"/>
          <w:w w:val="100"/>
          <w:position w:val="0"/>
        </w:rPr>
        <w:t xml:space="preserve">对联营企业的权益性投资，其中一部分通过 </w:t>
      </w:r>
      <w:r>
        <w:rPr>
          <w:color w:val="000000"/>
          <w:spacing w:val="0"/>
          <w:w w:val="100"/>
          <w:position w:val="0"/>
        </w:rPr>
        <w:t>风险投资机构、共同基金、信托公司或包括投连险基金在内的类似主体间接持有的，无论以上主体是否对这部分投资具有重 大影响，公司按照《企业会计准则第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号——金融工具确认和计量》的有关规定，对间接持有的该部分投资选择以公允价值 计量且其变动计入损益</w:t>
      </w:r>
      <w:r>
        <w:rPr>
          <w:rFonts w:ascii="Times New Roman" w:eastAsia="Times New Roman" w:hAnsi="Times New Roman" w:cs="Times New Roman"/>
          <w:color w:val="000000"/>
          <w:spacing w:val="0"/>
          <w:w w:val="100"/>
          <w:position w:val="0"/>
        </w:rPr>
        <w:t>”</w:t>
      </w:r>
      <w:r>
        <w:rPr>
          <w:color w:val="000000"/>
          <w:spacing w:val="0"/>
          <w:w w:val="100"/>
          <w:position w:val="0"/>
        </w:rPr>
        <w:t>外，采用权益法核算。采用权益法核算时，公司取得长期股权投资后，按照应享有或应分担的被投 资单位实现的净损益和其他综合收益的份额，分别确认投资收益和其他综合收益，同时调整长期股权投资的账面价值；公司 按照被投资单位宣告分派的利润或现金股利计算应享有的部分，相应减少长期股权投资的账面价值；公司对于被投资单位除 净损益、其他综合收益和利润分配以外所有者权益的其他变动，应当调整长期股权投资的账面价值并计入所有者权益。公司 确认被投资单位发生的净亏损，以长期股权投资的账面价值以及其他实质上构成对被投资单位净投资的长期权益减记至零为 限，公司负有承担额外损失义务的除外。被投资单位以后实现净利润的，公司在收益分享额弥补未确认的亏损分担额后，恢 复确认收益分享额。公司在确认应享有被投资单位净损益的份额时，以取得投资时被投资单位各项可辨认资产的公允价值为 基础，对被投资单位的净利润进行调整，并且将公司与联营企业及合营企业之间发生的内部交易损益予以抵销，在此基础上 确认投资损益。公司与被投资单位发生的内部交易损失，按照《企业会计准则第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号一资产减值》等规定属于资产减值损 失的则全额确认。如果被投资单位采用的会计政策及会计期间与公司不一致的，按照公司的会计政策及会计期间对被投资单 位的财务报表进行调整，并据以确认投资损益。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对于首次执行日之前已经持有的对联营企业和合营企业的长期股权投资，如存在与该投资相关的股权投资借方差额，按 原剩余期限直线法摊销，摊销金额计入当期损益。</w:t>
      </w:r>
    </w:p>
    <w:p>
      <w:pPr>
        <w:pStyle w:val="Style31"/>
        <w:keepNext w:val="0"/>
        <w:keepLines w:val="0"/>
        <w:widowControl w:val="0"/>
        <w:shd w:val="clear" w:color="auto" w:fill="auto"/>
        <w:bidi w:val="0"/>
        <w:spacing w:before="0" w:after="360" w:line="317" w:lineRule="exact"/>
        <w:ind w:left="0" w:right="0" w:firstLine="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）处置长期股权投资，其账面价值与实际取得价款差额，计入当期损益。采用权益法核算的长期股权投资，因被投资单 位除净损益以外所有者权益的其他变动而计入所有者权益的，处置该项投资时将原计入所有者权益的部分按相应比例转入当 期损益，由于被投资方重新计量设定受益计划净负债或净资产变动而产生的其他综合收益除外。</w:t>
      </w:r>
    </w:p>
    <w:p>
      <w:pPr>
        <w:pStyle w:val="Style35"/>
        <w:keepNext/>
        <w:keepLines/>
        <w:widowControl w:val="0"/>
        <w:shd w:val="clear" w:color="auto" w:fill="auto"/>
        <w:tabs>
          <w:tab w:pos="425" w:val="left"/>
        </w:tabs>
        <w:bidi w:val="0"/>
        <w:spacing w:before="0" w:after="28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25"/>
      <w:bookmarkEnd w:id="826"/>
      <w:bookmarkEnd w:id="828"/>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投资性房地产是指为赚取租金或资本增值，或两者兼有而持有的房地产。主要包括已出租的土地使用权、持有并准备增 值后转让的土地使用权以及已出租的建筑物。当公司能够取得与投资性房地产相关的租金收入或增值收益以及投资性房地产 的成本能够可靠计量时，公司按购置或建造的实际支出对其进行初始计量。</w:t>
      </w:r>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公司在资产负债表日采用成本模式对投资性房地产进行后续计量。在成本模式下，公司按照本会计政策之第（十五）项 固定资产及折旧和第（十八）项无形资产的规定，对投资性房地产进行计量，计提折旧或摊销。当投资性房地产被处置，或 者永久退出使用且预计不能从其处置中取得经济利益时，应当终止确认该项投资性房地产。公司出售、转让、报废投资性房 地产或者发生投资性房地产毁损，应当将处置收入扣除其账面价值和相关税费后的金额计入当期损益。</w:t>
      </w:r>
    </w:p>
    <w:p>
      <w:pPr>
        <w:pStyle w:val="Style35"/>
        <w:keepNext/>
        <w:keepLines/>
        <w:widowControl w:val="0"/>
        <w:shd w:val="clear" w:color="auto" w:fill="auto"/>
        <w:tabs>
          <w:tab w:pos="425" w:val="left"/>
        </w:tabs>
        <w:bidi w:val="0"/>
        <w:spacing w:before="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29"/>
      <w:bookmarkEnd w:id="830"/>
      <w:bookmarkEnd w:id="832"/>
    </w:p>
    <w:p>
      <w:pPr>
        <w:pStyle w:val="Style35"/>
        <w:keepNext/>
        <w:keepLines/>
        <w:widowControl w:val="0"/>
        <w:shd w:val="clear" w:color="auto" w:fill="auto"/>
        <w:bidi w:val="0"/>
        <w:spacing w:before="0" w:after="280" w:line="240" w:lineRule="auto"/>
        <w:ind w:left="0" w:right="0" w:firstLine="0"/>
        <w:jc w:val="left"/>
      </w:pPr>
      <w:bookmarkStart w:id="829" w:name="bookmark829"/>
      <w:bookmarkStart w:id="830" w:name="bookmark830"/>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9"/>
      <w:bookmarkEnd w:id="830"/>
      <w:bookmarkEnd w:id="834"/>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固定资产系使用寿命超过一个会计年度，为生产商品、提供劳务、出租或经营管理所持有的有形资产。</w:t>
      </w:r>
    </w:p>
    <w:p>
      <w:pPr>
        <w:pStyle w:val="Style35"/>
        <w:keepNext/>
        <w:keepLines/>
        <w:widowControl w:val="0"/>
        <w:shd w:val="clear" w:color="auto" w:fill="auto"/>
        <w:bidi w:val="0"/>
        <w:spacing w:before="0" w:line="240" w:lineRule="auto"/>
        <w:ind w:left="0" w:right="0" w:firstLine="14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5"/>
      <w:bookmarkEnd w:id="836"/>
      <w:bookmarkEnd w:id="838"/>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19.00%-23.75%</w:t>
            </w:r>
          </w:p>
        </w:tc>
      </w:tr>
    </w:tbl>
    <w:p>
      <w:pPr>
        <w:widowControl w:val="0"/>
        <w:spacing w:line="1" w:lineRule="exact"/>
      </w:pP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19.00%-23.75%</w:t>
            </w:r>
          </w:p>
        </w:tc>
      </w:tr>
    </w:tbl>
    <w:p>
      <w:pPr>
        <w:widowControl w:val="0"/>
        <w:spacing w:after="279" w:line="1" w:lineRule="exact"/>
      </w:pPr>
    </w:p>
    <w:p>
      <w:pPr>
        <w:pStyle w:val="Style35"/>
        <w:keepNext/>
        <w:keepLines/>
        <w:widowControl w:val="0"/>
        <w:shd w:val="clear" w:color="auto" w:fill="auto"/>
        <w:bidi w:val="0"/>
        <w:spacing w:before="0" w:after="28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9"/>
      <w:bookmarkEnd w:id="840"/>
      <w:bookmarkEnd w:id="842"/>
    </w:p>
    <w:p>
      <w:pPr>
        <w:pStyle w:val="Style31"/>
        <w:keepNext w:val="0"/>
        <w:keepLines w:val="0"/>
        <w:widowControl w:val="0"/>
        <w:shd w:val="clear" w:color="auto" w:fill="auto"/>
        <w:tabs>
          <w:tab w:pos="2410" w:val="left"/>
        </w:tabs>
        <w:bidi w:val="0"/>
        <w:spacing w:before="0" w:after="0" w:line="312" w:lineRule="exact"/>
        <w:ind w:left="0" w:right="0" w:firstLine="0"/>
        <w:jc w:val="both"/>
      </w:pPr>
      <w:r>
        <w:rPr>
          <w:color w:val="000000"/>
          <w:spacing w:val="0"/>
          <w:w w:val="100"/>
          <w:position w:val="0"/>
        </w:rPr>
        <w:t>公司租赁资产符合下列一项或数项标准的，认定为融资租赁固定资产：（</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 承租人； （</w:t>
      </w:r>
      <w:r>
        <w:rPr>
          <w:rFonts w:ascii="Times New Roman" w:eastAsia="Times New Roman" w:hAnsi="Times New Roman" w:cs="Times New Roman"/>
          <w:color w:val="000000"/>
          <w:spacing w:val="0"/>
          <w:w w:val="100"/>
          <w:position w:val="0"/>
        </w:rPr>
        <w:t>2</w:t>
      </w:r>
      <w:r>
        <w:rPr>
          <w:color w:val="000000"/>
          <w:spacing w:val="0"/>
          <w:w w:val="100"/>
          <w:position w:val="0"/>
        </w:rPr>
        <w:t>）承租人有购买租赁资产的选择权，所订立的购买价款预计将远低于行使选择权时租赁资产的公允价值，因 而在租赁开始日就可以合理确定承租人将会行使这种选择权；（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）即使资产的所有权不转移，但租赁期占租赁资产使用寿命 的</w:t>
      </w:r>
      <w:r>
        <w:rPr>
          <w:rFonts w:ascii="Times New Roman" w:eastAsia="Times New Roman" w:hAnsi="Times New Roman" w:cs="Times New Roman"/>
          <w:color w:val="000000"/>
          <w:spacing w:val="0"/>
          <w:w w:val="100"/>
          <w:position w:val="0"/>
        </w:rPr>
        <w:t>75%</w:t>
      </w:r>
      <w:r>
        <w:rPr>
          <w:color w:val="000000"/>
          <w:spacing w:val="0"/>
          <w:w w:val="100"/>
          <w:position w:val="0"/>
        </w:rPr>
        <w:t>以上；（</w:t>
      </w:r>
      <w:r>
        <w:rPr>
          <w:rFonts w:ascii="Times New Roman" w:eastAsia="Times New Roman" w:hAnsi="Times New Roman" w:cs="Times New Roman"/>
          <w:color w:val="000000"/>
          <w:spacing w:val="0"/>
          <w:w w:val="100"/>
          <w:position w:val="0"/>
        </w:rPr>
        <w:t>4</w:t>
      </w:r>
      <w:r>
        <w:rPr>
          <w:color w:val="000000"/>
          <w:spacing w:val="0"/>
          <w:w w:val="100"/>
          <w:position w:val="0"/>
        </w:rPr>
        <w:t>）承租人在租赁开始日的最低租赁付款额现值，几乎相当于租赁开始日租赁资产公允价值；出租人在租 赁开始日的最低租赁收款额现值，几乎相当于租赁开始日租赁资产公允价值；（</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 只有承租人才能使用。</w:t>
        <w:tab/>
        <w:t>在租赁开始日，公司将租赁开始日租赁资产公允价值与最低租赁付款额现值两者中较低者作</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为租入资产的入账价值，将最低租赁付款额作为长期应付款的入账价值，其差额作为未确认融资费用，融资租入固定资产的 折旧政策与自有固定资产一致。</w:t>
      </w:r>
    </w:p>
    <w:p>
      <w:pPr>
        <w:pStyle w:val="Style35"/>
        <w:keepNext/>
        <w:keepLines/>
        <w:widowControl w:val="0"/>
        <w:shd w:val="clear" w:color="auto" w:fill="auto"/>
        <w:tabs>
          <w:tab w:pos="474"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43"/>
      <w:bookmarkEnd w:id="844"/>
      <w:bookmarkEnd w:id="846"/>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680" w:line="317" w:lineRule="exact"/>
        <w:ind w:left="0" w:right="0" w:firstLine="0"/>
        <w:jc w:val="left"/>
      </w:pPr>
      <w:r>
        <w:rPr>
          <w:color w:val="000000"/>
          <w:spacing w:val="0"/>
          <w:w w:val="100"/>
          <w:position w:val="0"/>
        </w:rPr>
        <w:t>在建工程以实际成本计价。其中为工程建设项目而发生的借款利息支出和外币折算差额按照《企业会计准则第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 费用》的有关规定资本化或计入当期损益。在建工程在达到预计使用状态之日起不论工程是否办理竣工决算均转入固定资产， 对于未办理竣工决算手续的待办理完毕后再作调整。</w:t>
      </w:r>
    </w:p>
    <w:p>
      <w:pPr>
        <w:pStyle w:val="Style35"/>
        <w:keepNext/>
        <w:keepLines/>
        <w:widowControl w:val="0"/>
        <w:shd w:val="clear" w:color="auto" w:fill="auto"/>
        <w:tabs>
          <w:tab w:pos="474"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47"/>
      <w:bookmarkEnd w:id="848"/>
      <w:bookmarkEnd w:id="850"/>
    </w:p>
    <w:p>
      <w:pPr>
        <w:pStyle w:val="Style31"/>
        <w:keepNext w:val="0"/>
        <w:keepLines w:val="0"/>
        <w:widowControl w:val="0"/>
        <w:shd w:val="clear" w:color="auto" w:fill="auto"/>
        <w:tabs>
          <w:tab w:pos="835" w:val="left"/>
        </w:tabs>
        <w:bidi w:val="0"/>
        <w:spacing w:before="0" w:after="0" w:line="313" w:lineRule="exact"/>
        <w:ind w:left="0" w:right="0" w:firstLine="500"/>
        <w:jc w:val="left"/>
      </w:pPr>
      <w:bookmarkStart w:id="851" w:name="bookmark851"/>
      <w:r>
        <w:rPr>
          <w:rFonts w:ascii="Times New Roman" w:eastAsia="Times New Roman" w:hAnsi="Times New Roman" w:cs="Times New Roman"/>
          <w:color w:val="000000"/>
          <w:spacing w:val="0"/>
          <w:w w:val="100"/>
          <w:position w:val="0"/>
        </w:rPr>
        <w:t>1</w:t>
      </w:r>
      <w:bookmarkEnd w:id="851"/>
      <w:r>
        <w:rPr>
          <w:color w:val="000000"/>
          <w:spacing w:val="0"/>
          <w:w w:val="100"/>
          <w:position w:val="0"/>
        </w:rPr>
        <w:t>、</w:t>
        <w:tab/>
        <w:t>借款费用资本化的确认原则</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借款费用包括因借款发生的利息、折价或溢价的摊销和辅助费用，以及因外币借款而发生的汇兑差额。公司发生的借 款费用，可直接归属于符合资本化条件的资产的购建或者生产的，应予以资本化，计入相关资产成本；其他借款费用，在发 生时根据其发生额确认为费用，计入当期损益。</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符合资本化条件的资产，包括需要经过相当长时间的购建或者生产活动才能达到预定可使用或者可销售状态的固定资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借款费用同时满足下列条件，开始资本化：</w:t>
      </w:r>
    </w:p>
    <w:p>
      <w:pPr>
        <w:pStyle w:val="Style31"/>
        <w:keepNext w:val="0"/>
        <w:keepLines w:val="0"/>
        <w:widowControl w:val="0"/>
        <w:shd w:val="clear" w:color="auto" w:fill="auto"/>
        <w:tabs>
          <w:tab w:pos="1021" w:val="left"/>
        </w:tabs>
        <w:bidi w:val="0"/>
        <w:spacing w:before="0" w:after="0" w:line="313" w:lineRule="exact"/>
        <w:ind w:left="0" w:right="0" w:firstLine="50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 承担带息债务形式发生的支出</w:t>
      </w:r>
      <w:r>
        <w:rPr>
          <w:color w:val="000000"/>
          <w:spacing w:val="0"/>
          <w:w w:val="100"/>
          <w:position w:val="0"/>
        </w:rPr>
        <w:t>；</w:t>
      </w:r>
    </w:p>
    <w:p>
      <w:pPr>
        <w:pStyle w:val="Style31"/>
        <w:keepNext w:val="0"/>
        <w:keepLines w:val="0"/>
        <w:widowControl w:val="0"/>
        <w:shd w:val="clear" w:color="auto" w:fill="auto"/>
        <w:tabs>
          <w:tab w:pos="945" w:val="left"/>
        </w:tabs>
        <w:bidi w:val="0"/>
        <w:spacing w:before="0" w:after="0" w:line="313" w:lineRule="exact"/>
        <w:ind w:left="0" w:right="0" w:firstLine="50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借款费用已发生</w:t>
      </w:r>
      <w:r>
        <w:rPr>
          <w:color w:val="000000"/>
          <w:spacing w:val="0"/>
          <w:w w:val="100"/>
          <w:position w:val="0"/>
        </w:rPr>
        <w:t>；</w:t>
      </w:r>
    </w:p>
    <w:p>
      <w:pPr>
        <w:pStyle w:val="Style31"/>
        <w:keepNext w:val="0"/>
        <w:keepLines w:val="0"/>
        <w:widowControl w:val="0"/>
        <w:shd w:val="clear" w:color="auto" w:fill="auto"/>
        <w:tabs>
          <w:tab w:pos="945" w:val="left"/>
        </w:tabs>
        <w:bidi w:val="0"/>
        <w:spacing w:before="0" w:after="0" w:line="313" w:lineRule="exact"/>
        <w:ind w:left="0" w:right="0" w:firstLine="50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为使资产达到预计可使用或者可销售状态所必要的购建或者生产活动已经开始。</w:t>
      </w:r>
    </w:p>
    <w:p>
      <w:pPr>
        <w:pStyle w:val="Style31"/>
        <w:keepNext w:val="0"/>
        <w:keepLines w:val="0"/>
        <w:widowControl w:val="0"/>
        <w:shd w:val="clear" w:color="auto" w:fill="auto"/>
        <w:tabs>
          <w:tab w:pos="854" w:val="left"/>
        </w:tabs>
        <w:bidi w:val="0"/>
        <w:spacing w:before="0" w:after="0" w:line="313" w:lineRule="exact"/>
        <w:ind w:left="0" w:right="0" w:firstLine="50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借款费用资本化的期间</w:t>
      </w:r>
    </w:p>
    <w:p>
      <w:pPr>
        <w:pStyle w:val="Style31"/>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为购建或者生产符合资本化条件的资产发生的借款费用，满足上述资本化条件的，在该资产达到预定可使用或者可销 售状态前所发生的，计入该资产的成本，若资产的购建或者生产活动发生非正常中断，并且中断时间连续超过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 借款费用的资本化，将其确认为当期费用，直至资产的购建或者生产活动重新开始；当所购建或生产的资产达到预定可使用 或者销售状态时，停止其借款费用的资本化。在达到预定可使用或者可销售状态后所发生的借款费用，于发生当期直接计入 财务费用。</w:t>
      </w:r>
    </w:p>
    <w:p>
      <w:pPr>
        <w:pStyle w:val="Style31"/>
        <w:keepNext w:val="0"/>
        <w:keepLines w:val="0"/>
        <w:widowControl w:val="0"/>
        <w:shd w:val="clear" w:color="auto" w:fill="auto"/>
        <w:bidi w:val="0"/>
        <w:spacing w:before="0" w:after="80" w:line="240" w:lineRule="auto"/>
        <w:ind w:left="0" w:right="0" w:firstLine="500"/>
        <w:jc w:val="both"/>
      </w:pPr>
      <w:bookmarkStart w:id="856" w:name="bookmark856"/>
      <w:r>
        <w:rPr>
          <w:rFonts w:ascii="Times New Roman" w:eastAsia="Times New Roman" w:hAnsi="Times New Roman" w:cs="Times New Roman"/>
          <w:color w:val="000000"/>
          <w:spacing w:val="0"/>
          <w:w w:val="100"/>
          <w:position w:val="0"/>
        </w:rPr>
        <w:t>3</w:t>
      </w:r>
      <w:bookmarkEnd w:id="856"/>
      <w:r>
        <w:rPr>
          <w:color w:val="000000"/>
          <w:spacing w:val="0"/>
          <w:w w:val="100"/>
          <w:position w:val="0"/>
        </w:rPr>
        <w:t>、借款费用资本化金额的计算方法</w:t>
      </w:r>
    </w:p>
    <w:p>
      <w:pPr>
        <w:pStyle w:val="Style3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在资本化期间内，每一会计期间的利息（包括折价或溢价的摊销）资本化金额，按照下列规定确定:</w:t>
      </w:r>
    </w:p>
    <w:p>
      <w:pPr>
        <w:pStyle w:val="Style31"/>
        <w:keepNext w:val="0"/>
        <w:keepLines w:val="0"/>
        <w:widowControl w:val="0"/>
        <w:shd w:val="clear" w:color="auto" w:fill="auto"/>
        <w:tabs>
          <w:tab w:pos="1021" w:val="left"/>
        </w:tabs>
        <w:bidi w:val="0"/>
        <w:spacing w:before="0" w:after="0" w:line="317" w:lineRule="exact"/>
        <w:ind w:left="0" w:right="0" w:firstLine="50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为购建或者生产符合资本化条件的资产而借入专门借款的，以专门借款当期实际发生的利息费用，减去将尚未 动用的借款资金存入银行取得的利息收入或进行暂时性投资取得的投资收益后的金额确定。</w:t>
      </w:r>
    </w:p>
    <w:p>
      <w:pPr>
        <w:pStyle w:val="Style31"/>
        <w:keepNext w:val="0"/>
        <w:keepLines w:val="0"/>
        <w:widowControl w:val="0"/>
        <w:shd w:val="clear" w:color="auto" w:fill="auto"/>
        <w:tabs>
          <w:tab w:pos="1021" w:val="left"/>
        </w:tabs>
        <w:bidi w:val="0"/>
        <w:spacing w:before="0" w:after="340" w:line="317" w:lineRule="exact"/>
        <w:ind w:left="0" w:right="0" w:firstLine="50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为购建或者生产符合资本化条件的资产而占用了一般借款的，根据累计资产支出超过专门借款部分的资产支出 加权平均数乘以所占用一般借款的资本化率，计算确定一般借款应予资本化的利息金额。</w:t>
      </w:r>
    </w:p>
    <w:p>
      <w:pPr>
        <w:pStyle w:val="Style56"/>
        <w:keepNext w:val="0"/>
        <w:keepLines w:val="0"/>
        <w:widowControl w:val="0"/>
        <w:shd w:val="clear" w:color="auto" w:fill="auto"/>
        <w:tabs>
          <w:tab w:pos="474" w:val="left"/>
        </w:tabs>
        <w:bidi w:val="0"/>
        <w:spacing w:before="0" w:line="240" w:lineRule="auto"/>
        <w:ind w:left="0" w:right="0" w:firstLine="0"/>
        <w:jc w:val="left"/>
      </w:pPr>
      <w:bookmarkStart w:id="859" w:name="bookmark859"/>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p>
    <w:p>
      <w:pPr>
        <w:pStyle w:val="Style56"/>
        <w:keepNext w:val="0"/>
        <w:keepLines w:val="0"/>
        <w:widowControl w:val="0"/>
        <w:shd w:val="clear" w:color="auto" w:fill="auto"/>
        <w:tabs>
          <w:tab w:pos="483" w:val="left"/>
        </w:tabs>
        <w:bidi w:val="0"/>
        <w:spacing w:before="0" w:line="240" w:lineRule="auto"/>
        <w:ind w:left="0" w:right="0" w:firstLine="0"/>
        <w:jc w:val="left"/>
      </w:pPr>
      <w:bookmarkStart w:id="860" w:name="bookmark860"/>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p>
    <w:p>
      <w:pPr>
        <w:pStyle w:val="Style56"/>
        <w:keepNext w:val="0"/>
        <w:keepLines w:val="0"/>
        <w:widowControl w:val="0"/>
        <w:shd w:val="clear" w:color="auto" w:fill="auto"/>
        <w:tabs>
          <w:tab w:pos="483" w:val="left"/>
        </w:tabs>
        <w:bidi w:val="0"/>
        <w:spacing w:before="0" w:line="240" w:lineRule="auto"/>
        <w:ind w:left="0" w:right="0" w:firstLine="0"/>
        <w:jc w:val="left"/>
      </w:pPr>
      <w:bookmarkStart w:id="861" w:name="bookmark861"/>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p>
    <w:p>
      <w:pPr>
        <w:pStyle w:val="Style56"/>
        <w:keepNext w:val="0"/>
        <w:keepLines w:val="0"/>
        <w:widowControl w:val="0"/>
        <w:shd w:val="clear" w:color="auto" w:fill="auto"/>
        <w:bidi w:val="0"/>
        <w:spacing w:before="0" w:after="260" w:line="240" w:lineRule="auto"/>
        <w:ind w:left="0" w:right="0" w:firstLine="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1" w:lineRule="exact"/>
        <w:ind w:left="0" w:right="0"/>
        <w:jc w:val="both"/>
      </w:pPr>
      <w:bookmarkStart w:id="863" w:name="bookmark863"/>
      <w:r>
        <w:rPr>
          <w:rFonts w:ascii="Times New Roman" w:eastAsia="Times New Roman" w:hAnsi="Times New Roman" w:cs="Times New Roman"/>
          <w:color w:val="000000"/>
          <w:spacing w:val="0"/>
          <w:w w:val="100"/>
          <w:position w:val="0"/>
        </w:rPr>
        <w:t>1</w:t>
      </w:r>
      <w:bookmarkEnd w:id="863"/>
      <w:r>
        <w:rPr>
          <w:color w:val="000000"/>
          <w:spacing w:val="0"/>
          <w:w w:val="100"/>
          <w:position w:val="0"/>
        </w:rPr>
        <w:t>、无形资产的计价方法、使用寿命、减值测试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无形资产按实际成本计量。外购的无形资产，其成本包括购买价款、相关税费以及直接归属于使该项资产达到预定用途 所发生的其他支出。采用分期付款方式购买无形资产，购买无形资产的价款超过正常信用条件延期支付，实际上具有融资性 质的，无形资产的成本为购买价款的现值。投资者投入的无形资产的成本，应当按照投资合同或协议约定的价值确定，在投 资合同或协议约定价值不公允的情况下，应按无形资产的公允价值入账。通过非货币性资产交换取得的无形资产，其初始投 资成本按照《企业会计准则第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号——非货币性资产交换》确定。通过债务重组取得的无形资产，其初始投资成本按照《企 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号——债务重组》确定。以同一控制下的企业吸收合并方式取得的无形资产按被合并方的账面价值确定其入 账价值；以非同一控制下的企业吸收合并方式取得的无形资产按公允价值确定其入账价值。</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公司于取得无形资产时分析判断其使用寿命。使用寿命有限的无形资产自无形资产可供使用时起，至不再作为无形资产 确认时止，采用直线法分期平均摊销，计入损益。对于使用寿命不确定的无形资产不进行摊销。</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公司于每年年度终了，对使用寿命有限的无形资产的使用寿命及摊销方法进行复核。如果无形资产的使用寿命及摊销方 法与以前估计不同的，改变摊销期限和摊销方法。公司在每个会计期间对使用寿命不确定的无形资产的使用寿命进行复核。 如果有证据表明无形资产的使用寿命是有限的，估计其使用寿命，并按上述规定处理。</w:t>
      </w:r>
    </w:p>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类别及摊销期限如下:</w:t>
      </w:r>
    </w:p>
    <w:tbl>
      <w:tblPr>
        <w:tblOverlap w:val="never"/>
        <w:jc w:val="left"/>
        <w:tblLayout w:type="fixed"/>
      </w:tblPr>
      <w:tblGrid>
        <w:gridCol w:w="4512"/>
        <w:gridCol w:w="4507"/>
      </w:tblGrid>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无形资产摊销年限</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按土地尚可使用年限</w:t>
            </w:r>
          </w:p>
        </w:tc>
      </w:tr>
      <w:tr>
        <w:trPr>
          <w:trHeight w:val="36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办公软件</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预计可使用年限</w:t>
            </w:r>
          </w:p>
        </w:tc>
      </w:tr>
    </w:tbl>
    <w:p>
      <w:pPr>
        <w:widowControl w:val="0"/>
        <w:spacing w:after="939" w:line="1" w:lineRule="exact"/>
      </w:pPr>
    </w:p>
    <w:p>
      <w:pPr>
        <w:pStyle w:val="Style56"/>
        <w:keepNext w:val="0"/>
        <w:keepLines w:val="0"/>
        <w:widowControl w:val="0"/>
        <w:shd w:val="clear" w:color="auto" w:fill="auto"/>
        <w:bidi w:val="0"/>
        <w:spacing w:before="0" w:after="260" w:line="240" w:lineRule="auto"/>
        <w:ind w:left="0" w:right="0" w:firstLine="0"/>
        <w:jc w:val="left"/>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研究开发项目研究阶段支出与开发阶段支出的划分标准:研究阶段支出指为获取并理解新的科学或技术知识而进行的独 创性的有计划调查所发生的支出；开发阶段支出是指在进行商业性生产或使用前，将研究成果或其他知识应用于某项计划或 设计，以生产出新的或具有实质性改进的材料、装置、产品等所发生的支出。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公司内部自行开发的无形资产，在研究开发项目研究阶段的支出，于发生时计入当期损益。开发项目开发阶段的支出， 只有同时满足下列条件的，才能确认为无形资产：</w:t>
      </w:r>
    </w:p>
    <w:p>
      <w:pPr>
        <w:pStyle w:val="Style31"/>
        <w:keepNext w:val="0"/>
        <w:keepLines w:val="0"/>
        <w:widowControl w:val="0"/>
        <w:shd w:val="clear" w:color="auto" w:fill="auto"/>
        <w:tabs>
          <w:tab w:pos="820" w:val="left"/>
        </w:tabs>
        <w:bidi w:val="0"/>
        <w:spacing w:before="0" w:after="0" w:line="312" w:lineRule="exact"/>
        <w:ind w:left="0" w:right="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r>
        <w:rPr>
          <w:color w:val="000000"/>
          <w:spacing w:val="0"/>
          <w:w w:val="100"/>
          <w:position w:val="0"/>
        </w:rPr>
        <w:t>；</w:t>
      </w:r>
    </w:p>
    <w:p>
      <w:pPr>
        <w:pStyle w:val="Style31"/>
        <w:keepNext w:val="0"/>
        <w:keepLines w:val="0"/>
        <w:widowControl w:val="0"/>
        <w:shd w:val="clear" w:color="auto" w:fill="auto"/>
        <w:tabs>
          <w:tab w:pos="820" w:val="left"/>
        </w:tabs>
        <w:bidi w:val="0"/>
        <w:spacing w:before="0" w:after="260" w:line="312" w:lineRule="exact"/>
        <w:ind w:left="0" w:right="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r>
        <w:rPr>
          <w:color w:val="000000"/>
          <w:spacing w:val="0"/>
          <w:w w:val="100"/>
          <w:position w:val="0"/>
        </w:rPr>
        <w:t>；</w:t>
      </w:r>
    </w:p>
    <w:p>
      <w:pPr>
        <w:pStyle w:val="Style31"/>
        <w:keepNext w:val="0"/>
        <w:keepLines w:val="0"/>
        <w:widowControl w:val="0"/>
        <w:shd w:val="clear" w:color="auto" w:fill="auto"/>
        <w:tabs>
          <w:tab w:pos="870" w:val="left"/>
        </w:tabs>
        <w:bidi w:val="0"/>
        <w:spacing w:before="0" w:after="0" w:line="317" w:lineRule="exact"/>
        <w:ind w:left="0" w:right="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无形资产产生经济利益的方式，包括能够证明运用该无形资产生产的产品存在市场或无形资产自身存在市场，无 形资产将在内部使用的，应当证明其有用性</w:t>
      </w:r>
      <w:r>
        <w:rPr>
          <w:color w:val="000000"/>
          <w:spacing w:val="0"/>
          <w:w w:val="100"/>
          <w:position w:val="0"/>
        </w:rPr>
        <w:t>；</w:t>
      </w:r>
    </w:p>
    <w:p>
      <w:pPr>
        <w:pStyle w:val="Style31"/>
        <w:keepNext w:val="0"/>
        <w:keepLines w:val="0"/>
        <w:widowControl w:val="0"/>
        <w:shd w:val="clear" w:color="auto" w:fill="auto"/>
        <w:tabs>
          <w:tab w:pos="794" w:val="left"/>
        </w:tabs>
        <w:bidi w:val="0"/>
        <w:spacing w:before="0" w:after="0" w:line="317" w:lineRule="exact"/>
        <w:ind w:left="0" w:right="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有足够的技术、财务资源和其他资源支持，以完成该无形资产的开发，并有能力使用或出售无形资产</w:t>
      </w:r>
      <w:r>
        <w:rPr>
          <w:color w:val="000000"/>
          <w:spacing w:val="0"/>
          <w:w w:val="100"/>
          <w:position w:val="0"/>
        </w:rPr>
        <w:t>；</w:t>
      </w:r>
    </w:p>
    <w:p>
      <w:pPr>
        <w:pStyle w:val="Style31"/>
        <w:keepNext w:val="0"/>
        <w:keepLines w:val="0"/>
        <w:widowControl w:val="0"/>
        <w:shd w:val="clear" w:color="auto" w:fill="auto"/>
        <w:tabs>
          <w:tab w:pos="794" w:val="left"/>
        </w:tabs>
        <w:bidi w:val="0"/>
        <w:spacing w:before="0" w:after="0" w:line="317" w:lineRule="exact"/>
        <w:ind w:left="0" w:right="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对于以前期间已经费用化的开发阶段的支出不再调整。</w:t>
      </w:r>
    </w:p>
    <w:p>
      <w:pPr>
        <w:pStyle w:val="Style35"/>
        <w:keepNext/>
        <w:keepLines/>
        <w:widowControl w:val="0"/>
        <w:shd w:val="clear" w:color="auto" w:fill="auto"/>
        <w:bidi w:val="0"/>
        <w:spacing w:before="0" w:after="2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70"/>
      <w:bookmarkEnd w:id="871"/>
      <w:bookmarkEnd w:id="873"/>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长期股权投资、采用成本模式计量的投资性房地产、固定资产、在建工程、无形资产等长期资产，于资产负债表日存在 减值迹象的，进行减值测试。减值测试结果表明资产的可收回金额低于其账面价值的，按其差额计提减值准备并计入减值损 失。可收回金额为资产的公允价值减去处置费用后的净额与资产预计未来现金流量的现值两者之间的较高者。资产减值准备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商誉至少在每年年度终了进行减值测试。本公司进行商誉减值测试，对于因企业合并形成的商誉的账面价值，自购买日 起按照合理的方法分摊至相关的资产组；难以分摊至相关的资产组的，将其分摊至相关的资产组组合。在将商誉的账面价值 分摊至相关的资产组或者资产组组合时,按照各资产组或者资产组组合的公允价值占相关资产组或者资产组组合公允价值总 额的比例进行分摊。公允价值难以可靠计量的，按照各资产组或者资产组组合的账面价值占相关资产组或者资产组组合账面 价值总额的比例进行分摊。在对包含商誉的相关资产组或者资产组组合进行减值测试时，如与商誉相关的资产组或者资产组 组合存在减值迹象的，先对不包含商誉的资产组或者资产组组合进行减值测试，计算可收回金额，并与相关账面价值相比较, 确认相应的减值损失。再对包含商誉的资产组或者资产组组合进行减值测试，比较这些相关资产组或者资产组组合的账面价 值（包括所分摊的商誉的账面价值部分）与其可收回金额，如相关资产组或者资产组组合的可收回金额低于其账面价值的， 确认商誉的减值损失。</w:t>
      </w:r>
    </w:p>
    <w:p>
      <w:pPr>
        <w:pStyle w:val="Style31"/>
        <w:keepNext w:val="0"/>
        <w:keepLines w:val="0"/>
        <w:widowControl w:val="0"/>
        <w:shd w:val="clear" w:color="auto" w:fill="auto"/>
        <w:bidi w:val="0"/>
        <w:spacing w:before="0" w:after="680" w:line="312" w:lineRule="exact"/>
        <w:ind w:left="0" w:right="0"/>
        <w:jc w:val="both"/>
      </w:pPr>
      <w:r>
        <w:rPr>
          <w:color w:val="000000"/>
          <w:spacing w:val="0"/>
          <w:w w:val="100"/>
          <w:position w:val="0"/>
        </w:rPr>
        <w:t>上述资产减值损失一经确认，在以后会计期间不予转回。</w:t>
      </w:r>
    </w:p>
    <w:p>
      <w:pPr>
        <w:pStyle w:val="Style35"/>
        <w:keepNext/>
        <w:keepLines/>
        <w:widowControl w:val="0"/>
        <w:shd w:val="clear" w:color="auto" w:fill="auto"/>
        <w:bidi w:val="0"/>
        <w:spacing w:before="0" w:after="2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74"/>
      <w:bookmarkEnd w:id="875"/>
      <w:bookmarkEnd w:id="877"/>
    </w:p>
    <w:p>
      <w:pPr>
        <w:pStyle w:val="Style31"/>
        <w:keepNext w:val="0"/>
        <w:keepLines w:val="0"/>
        <w:widowControl w:val="0"/>
        <w:shd w:val="clear" w:color="auto" w:fill="auto"/>
        <w:bidi w:val="0"/>
        <w:spacing w:before="0" w:after="680" w:line="307" w:lineRule="exact"/>
        <w:ind w:left="0" w:right="0" w:firstLine="500"/>
        <w:jc w:val="both"/>
      </w:pPr>
      <w:r>
        <w:rPr>
          <w:color w:val="000000"/>
          <w:spacing w:val="0"/>
          <w:w w:val="100"/>
          <w:position w:val="0"/>
        </w:rPr>
        <w:t>长期待摊费用是指公司已经发生但应由本期和以后各期负担的分摊期限在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年以上的各项费用，包括以经营租赁方式 租入的固定资产发生的改良支出等。长期待摊费用在相关项目的受益期内平均摊销。</w:t>
      </w:r>
    </w:p>
    <w:p>
      <w:pPr>
        <w:pStyle w:val="Style35"/>
        <w:keepNext/>
        <w:keepLines/>
        <w:widowControl w:val="0"/>
        <w:shd w:val="clear" w:color="auto" w:fill="auto"/>
        <w:bidi w:val="0"/>
        <w:spacing w:before="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78"/>
      <w:bookmarkEnd w:id="879"/>
      <w:bookmarkEnd w:id="881"/>
    </w:p>
    <w:p>
      <w:pPr>
        <w:pStyle w:val="Style35"/>
        <w:keepNext/>
        <w:keepLines/>
        <w:widowControl w:val="0"/>
        <w:shd w:val="clear" w:color="auto" w:fill="auto"/>
        <w:bidi w:val="0"/>
        <w:spacing w:before="0" w:after="280" w:line="240" w:lineRule="auto"/>
        <w:ind w:left="0" w:right="0" w:firstLine="0"/>
        <w:jc w:val="left"/>
      </w:pPr>
      <w:bookmarkStart w:id="878" w:name="bookmark878"/>
      <w:bookmarkStart w:id="879" w:name="bookmark879"/>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78"/>
      <w:bookmarkEnd w:id="879"/>
      <w:bookmarkEnd w:id="883"/>
    </w:p>
    <w:p>
      <w:pPr>
        <w:pStyle w:val="Style31"/>
        <w:keepNext w:val="0"/>
        <w:keepLines w:val="0"/>
        <w:widowControl w:val="0"/>
        <w:shd w:val="clear" w:color="auto" w:fill="auto"/>
        <w:bidi w:val="0"/>
        <w:spacing w:before="0" w:after="680" w:line="312" w:lineRule="exact"/>
        <w:ind w:left="0" w:right="0" w:firstLine="50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35"/>
        <w:keepNext/>
        <w:keepLines/>
        <w:widowControl w:val="0"/>
        <w:shd w:val="clear" w:color="auto" w:fill="auto"/>
        <w:bidi w:val="0"/>
        <w:spacing w:before="0" w:after="2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84"/>
      <w:bookmarkEnd w:id="885"/>
      <w:bookmarkEnd w:id="887"/>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离职后福利是指公司为获得职工提供的服务而在职工退休或与公司解除劳动关系后，提供的各种形式的报酬和福利，短 期薪酬和辞退福利除外。离职后福利计划包括设定提存计划和设定受益计划。其中，设定提存计划，是指向独立的基金缴存 固定费用后，本公司不再承担进一步支付义务的离职后福利计划；设定受益计划，是指除设定提存计划以外的离职后福利计 </w:t>
      </w:r>
      <w:r>
        <w:rPr>
          <w:color w:val="000000"/>
          <w:spacing w:val="0"/>
          <w:w w:val="100"/>
          <w:position w:val="0"/>
        </w:rPr>
        <w:t>划。</w:t>
      </w:r>
    </w:p>
    <w:p>
      <w:pPr>
        <w:pStyle w:val="Style31"/>
        <w:keepNext w:val="0"/>
        <w:keepLines w:val="0"/>
        <w:widowControl w:val="0"/>
        <w:shd w:val="clear" w:color="auto" w:fill="auto"/>
        <w:tabs>
          <w:tab w:pos="814" w:val="left"/>
        </w:tabs>
        <w:bidi w:val="0"/>
        <w:spacing w:before="0" w:after="0" w:line="316" w:lineRule="exact"/>
        <w:ind w:left="0" w:right="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设定提存计划包括基本养老保险、失业保险。在职工为本公司提供服务的会计期间，按以当地规定的缴纳基数和比例计 算应缴纳金额，确认为负债，并计入当期损益或相关资产成本。</w:t>
      </w:r>
    </w:p>
    <w:p>
      <w:pPr>
        <w:pStyle w:val="Style31"/>
        <w:keepNext w:val="0"/>
        <w:keepLines w:val="0"/>
        <w:widowControl w:val="0"/>
        <w:shd w:val="clear" w:color="auto" w:fill="auto"/>
        <w:bidi w:val="0"/>
        <w:spacing w:before="0" w:after="0" w:line="316" w:lineRule="exact"/>
        <w:ind w:left="0" w:right="0"/>
        <w:jc w:val="left"/>
      </w:pPr>
      <w:r>
        <w:rPr>
          <w:color w:val="000000"/>
          <w:spacing w:val="0"/>
          <w:w w:val="100"/>
          <w:position w:val="0"/>
        </w:rPr>
        <w:t>在职工提供服务的会计期间，根据设定提存计划计算的应缴存金额确认为负债，并计入当期损益或相关资产成本。</w:t>
      </w:r>
    </w:p>
    <w:p>
      <w:pPr>
        <w:pStyle w:val="Style31"/>
        <w:keepNext w:val="0"/>
        <w:keepLines w:val="0"/>
        <w:widowControl w:val="0"/>
        <w:shd w:val="clear" w:color="auto" w:fill="auto"/>
        <w:tabs>
          <w:tab w:pos="814" w:val="left"/>
        </w:tabs>
        <w:bidi w:val="0"/>
        <w:spacing w:before="0" w:after="0" w:line="316" w:lineRule="exact"/>
        <w:ind w:left="0" w:right="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益或相关资产成本。本公司设定受益计划导致的职工薪酬成本包括下列组成部分：</w:t>
      </w:r>
    </w:p>
    <w:p>
      <w:pPr>
        <w:pStyle w:val="Style31"/>
        <w:keepNext w:val="0"/>
        <w:keepLines w:val="0"/>
        <w:widowControl w:val="0"/>
        <w:numPr>
          <w:ilvl w:val="0"/>
          <w:numId w:val="17"/>
        </w:numPr>
        <w:shd w:val="clear" w:color="auto" w:fill="auto"/>
        <w:tabs>
          <w:tab w:pos="794" w:val="left"/>
        </w:tabs>
        <w:bidi w:val="0"/>
        <w:spacing w:before="0" w:after="0" w:line="316" w:lineRule="exact"/>
        <w:ind w:left="0" w:right="0" w:firstLine="460"/>
        <w:jc w:val="both"/>
      </w:pPr>
      <w:bookmarkStart w:id="890" w:name="bookmark890"/>
      <w:bookmarkEnd w:id="890"/>
      <w:r>
        <w:rPr>
          <w:color w:val="000000"/>
          <w:spacing w:val="0"/>
          <w:w w:val="100"/>
          <w:position w:val="0"/>
        </w:rPr>
        <w:t>服务成本，包括当期服务成本、过去服务成本和结算利得或损失。其中，当期服务成本，是指职工当期提供服务所 导致的设定受益计划义务现值的增加额；过去服务成本，是指设定受益计划修改所导致的与以前期间职工服务相关的设定受 益计划义务现值的增加或减少。</w:t>
      </w:r>
    </w:p>
    <w:p>
      <w:pPr>
        <w:pStyle w:val="Style31"/>
        <w:keepNext w:val="0"/>
        <w:keepLines w:val="0"/>
        <w:widowControl w:val="0"/>
        <w:numPr>
          <w:ilvl w:val="0"/>
          <w:numId w:val="17"/>
        </w:numPr>
        <w:shd w:val="clear" w:color="auto" w:fill="auto"/>
        <w:tabs>
          <w:tab w:pos="799" w:val="left"/>
        </w:tabs>
        <w:bidi w:val="0"/>
        <w:spacing w:before="0" w:after="0" w:line="316" w:lineRule="exact"/>
        <w:ind w:left="0" w:right="0" w:firstLine="460"/>
        <w:jc w:val="both"/>
      </w:pPr>
      <w:bookmarkStart w:id="891" w:name="bookmark891"/>
      <w:bookmarkEnd w:id="891"/>
      <w:r>
        <w:rPr>
          <w:color w:val="000000"/>
          <w:spacing w:val="0"/>
          <w:w w:val="100"/>
          <w:position w:val="0"/>
        </w:rPr>
        <w:t>设定受益计划净负债或净资产的利息净额，包括计划资产的利息收益、设定受益计划义务的利息费用以及资产上限 影响的利息。</w:t>
      </w:r>
    </w:p>
    <w:p>
      <w:pPr>
        <w:pStyle w:val="Style31"/>
        <w:keepNext w:val="0"/>
        <w:keepLines w:val="0"/>
        <w:widowControl w:val="0"/>
        <w:numPr>
          <w:ilvl w:val="0"/>
          <w:numId w:val="17"/>
        </w:numPr>
        <w:shd w:val="clear" w:color="auto" w:fill="auto"/>
        <w:tabs>
          <w:tab w:pos="817" w:val="left"/>
        </w:tabs>
        <w:bidi w:val="0"/>
        <w:spacing w:before="0" w:after="0" w:line="316" w:lineRule="exact"/>
        <w:ind w:left="0" w:right="0" w:firstLine="460"/>
        <w:jc w:val="both"/>
      </w:pPr>
      <w:bookmarkStart w:id="892" w:name="bookmark892"/>
      <w:bookmarkEnd w:id="892"/>
      <w:r>
        <w:rPr>
          <w:color w:val="000000"/>
          <w:spacing w:val="0"/>
          <w:w w:val="100"/>
          <w:position w:val="0"/>
        </w:rPr>
        <w:t>重新计量设定受益计划净负债或净资产所产生的变动。</w:t>
      </w:r>
    </w:p>
    <w:p>
      <w:pPr>
        <w:pStyle w:val="Style31"/>
        <w:keepNext w:val="0"/>
        <w:keepLines w:val="0"/>
        <w:widowControl w:val="0"/>
        <w:shd w:val="clear" w:color="auto" w:fill="auto"/>
        <w:bidi w:val="0"/>
        <w:spacing w:before="0" w:after="680" w:line="316" w:lineRule="exact"/>
        <w:ind w:left="0" w:right="0"/>
        <w:jc w:val="both"/>
      </w:pPr>
      <w:r>
        <w:rPr>
          <w:color w:val="000000"/>
          <w:spacing w:val="0"/>
          <w:w w:val="100"/>
          <w:position w:val="0"/>
        </w:rPr>
        <w:t>除非其他会计准则要求或允许职工福利成本计入资产成本，本公司将上述第</w:t>
      </w:r>
      <w:r>
        <w:rPr>
          <w:rFonts w:ascii="Times New Roman" w:eastAsia="Times New Roman" w:hAnsi="Times New Roman" w:cs="Times New Roman"/>
          <w:color w:val="000000"/>
          <w:spacing w:val="0"/>
          <w:w w:val="100"/>
          <w:position w:val="0"/>
        </w:rPr>
        <w:t>A</w:t>
      </w:r>
      <w:r>
        <w:rPr>
          <w:color w:val="000000"/>
          <w:spacing w:val="0"/>
          <w:w w:val="100"/>
          <w:position w:val="0"/>
        </w:rPr>
        <w:t>和</w:t>
      </w:r>
      <w:r>
        <w:rPr>
          <w:rFonts w:ascii="Times New Roman" w:eastAsia="Times New Roman" w:hAnsi="Times New Roman" w:cs="Times New Roman"/>
          <w:color w:val="000000"/>
          <w:spacing w:val="0"/>
          <w:w w:val="100"/>
          <w:position w:val="0"/>
        </w:rPr>
        <w:t>B</w:t>
      </w:r>
      <w:r>
        <w:rPr>
          <w:color w:val="000000"/>
          <w:spacing w:val="0"/>
          <w:w w:val="100"/>
          <w:position w:val="0"/>
        </w:rPr>
        <w:t>项计入当期损益；第</w:t>
      </w:r>
      <w:r>
        <w:rPr>
          <w:rFonts w:ascii="Times New Roman" w:eastAsia="Times New Roman" w:hAnsi="Times New Roman" w:cs="Times New Roman"/>
          <w:color w:val="000000"/>
          <w:spacing w:val="0"/>
          <w:w w:val="100"/>
          <w:position w:val="0"/>
        </w:rPr>
        <w:t>C</w:t>
      </w:r>
      <w:r>
        <w:rPr>
          <w:color w:val="000000"/>
          <w:spacing w:val="0"/>
          <w:w w:val="100"/>
          <w:position w:val="0"/>
        </w:rPr>
        <w:t>项计入其他综 合收益且不会在后续会计期间转回至损益，但可以在权益范围内转移这些在其他综合收益中确认的金额。</w:t>
      </w:r>
    </w:p>
    <w:p>
      <w:pPr>
        <w:pStyle w:val="Style35"/>
        <w:keepNext/>
        <w:keepLines/>
        <w:widowControl w:val="0"/>
        <w:shd w:val="clear" w:color="auto" w:fill="auto"/>
        <w:tabs>
          <w:tab w:pos="482" w:val="left"/>
        </w:tabs>
        <w:bidi w:val="0"/>
        <w:spacing w:before="0" w:after="26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3"/>
      <w:bookmarkEnd w:id="894"/>
      <w:bookmarkEnd w:id="896"/>
    </w:p>
    <w:p>
      <w:pPr>
        <w:pStyle w:val="Style31"/>
        <w:keepNext w:val="0"/>
        <w:keepLines w:val="0"/>
        <w:widowControl w:val="0"/>
        <w:shd w:val="clear" w:color="auto" w:fill="auto"/>
        <w:bidi w:val="0"/>
        <w:spacing w:before="0" w:after="360" w:line="314" w:lineRule="exact"/>
        <w:ind w:left="0" w:right="0"/>
        <w:jc w:val="left"/>
      </w:pPr>
      <w:r>
        <w:rPr>
          <w:color w:val="000000"/>
          <w:spacing w:val="0"/>
          <w:w w:val="100"/>
          <w:position w:val="0"/>
        </w:rPr>
        <w:t>辞退福利是指公司在职工劳动合同到期之前解除与职工的劳动关系，或者为鼓励职工自愿接受裁减而给予职工的补偿。 公司向职工提供辞退福利的，在下列两者孰早日确认辞退福利产生的职工薪酬负债，并计入当期损益：公司不能单方面撤回 因解除劳动关系计划或裁减建议所提供的辞退福利时；公司确认与涉及支付辞退福利的重组相关的成本或费用时。</w:t>
      </w:r>
    </w:p>
    <w:p>
      <w:pPr>
        <w:pStyle w:val="Style35"/>
        <w:keepNext/>
        <w:keepLines/>
        <w:widowControl w:val="0"/>
        <w:shd w:val="clear" w:color="auto" w:fill="auto"/>
        <w:tabs>
          <w:tab w:pos="482" w:val="left"/>
        </w:tabs>
        <w:bidi w:val="0"/>
        <w:spacing w:before="0" w:after="26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7"/>
      <w:bookmarkEnd w:id="898"/>
      <w:bookmarkEnd w:id="900"/>
    </w:p>
    <w:p>
      <w:pPr>
        <w:pStyle w:val="Style31"/>
        <w:keepNext w:val="0"/>
        <w:keepLines w:val="0"/>
        <w:widowControl w:val="0"/>
        <w:shd w:val="clear" w:color="auto" w:fill="auto"/>
        <w:bidi w:val="0"/>
        <w:spacing w:before="0" w:after="680" w:line="312" w:lineRule="exact"/>
        <w:ind w:left="0" w:right="0"/>
        <w:jc w:val="left"/>
      </w:pPr>
      <w:r>
        <w:rPr>
          <w:color w:val="000000"/>
          <w:spacing w:val="0"/>
          <w:w w:val="100"/>
          <w:position w:val="0"/>
        </w:rPr>
        <w:t>其他长期职工福利，是指除短期薪酬、离职后福利、辞退福利之外所有的职工薪酬，包括长期带薪缺勤、长期残疾福利、 长期利润分享计划等。本公司向职工提供的其他长期职工福利，符合设定提存计划条件的，按照设定提存计划的有关规定进 行处理</w:t>
      </w:r>
      <w:r>
        <w:rPr>
          <w:rFonts w:ascii="Times New Roman" w:eastAsia="Times New Roman" w:hAnsi="Times New Roman" w:cs="Times New Roman"/>
          <w:color w:val="000000"/>
          <w:spacing w:val="0"/>
          <w:w w:val="100"/>
          <w:position w:val="0"/>
        </w:rPr>
        <w:t>;</w:t>
      </w:r>
      <w:r>
        <w:rPr>
          <w:color w:val="000000"/>
          <w:spacing w:val="0"/>
          <w:w w:val="100"/>
          <w:position w:val="0"/>
        </w:rPr>
        <w:t>除上述情形外的其他长期职工福利，按照设定受益计划的有关规定，确认和计量其他长期职工福利净负债或净资产。 在报告期末，公司将其他长期职工福利产生的福利义务归属于职工提供服务期间，并计入当期损益或相关资产成本。</w:t>
      </w:r>
    </w:p>
    <w:p>
      <w:pPr>
        <w:pStyle w:val="Style35"/>
        <w:keepNext/>
        <w:keepLines/>
        <w:widowControl w:val="0"/>
        <w:shd w:val="clear" w:color="auto" w:fill="auto"/>
        <w:bidi w:val="0"/>
        <w:spacing w:before="0" w:after="2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01"/>
      <w:bookmarkEnd w:id="902"/>
      <w:bookmarkEnd w:id="904"/>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公司如果与或有事项相关的义务同时符合以下条件，则将其确认为负债：（</w:t>
      </w:r>
      <w:r>
        <w:rPr>
          <w:rFonts w:ascii="Times New Roman" w:eastAsia="Times New Roman" w:hAnsi="Times New Roman" w:cs="Times New Roman"/>
          <w:color w:val="000000"/>
          <w:spacing w:val="0"/>
          <w:w w:val="100"/>
          <w:position w:val="0"/>
        </w:rPr>
        <w:t>1</w:t>
      </w:r>
      <w:r>
        <w:rPr>
          <w:color w:val="000000"/>
          <w:spacing w:val="0"/>
          <w:w w:val="100"/>
          <w:position w:val="0"/>
        </w:rPr>
        <w:t>）该义务是公司承担的现时义务；（</w:t>
      </w:r>
      <w:r>
        <w:rPr>
          <w:rFonts w:ascii="Times New Roman" w:eastAsia="Times New Roman" w:hAnsi="Times New Roman" w:cs="Times New Roman"/>
          <w:color w:val="000000"/>
          <w:spacing w:val="0"/>
          <w:w w:val="100"/>
          <w:position w:val="0"/>
        </w:rPr>
        <w:t>2</w:t>
      </w:r>
      <w:r>
        <w:rPr>
          <w:color w:val="000000"/>
          <w:spacing w:val="0"/>
          <w:w w:val="100"/>
          <w:position w:val="0"/>
        </w:rPr>
        <w:t>）该 义务的履行可能导致经济利益的流出；（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预计负债所需支出全部或部分预期由第三方或其他方补偿时，或者补偿金额在基本确定能收到时，作为资产单独确认， 确认的补偿金额不超过所确认负债的账面价值。预计负债按照履行相关现时义务所需支出的最佳估计数进行初始计量，并综 合考虑与或有事项有关的风险、不确定性和货币时间价值等因素。货币时间价值影响重大的，通过对相关未来现金流出进行 折现后确定最佳估计数。</w:t>
      </w:r>
    </w:p>
    <w:p>
      <w:pPr>
        <w:pStyle w:val="Style31"/>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在资产负债表日，公司对预计负债的账面价值进行复核，有确凿证据表明该账面价值不能真实反映当前最佳估计数的，按照 当前最佳估计数对该账面价值进行调整。</w:t>
      </w:r>
    </w:p>
    <w:p>
      <w:pPr>
        <w:pStyle w:val="Style35"/>
        <w:keepNext/>
        <w:keepLines/>
        <w:widowControl w:val="0"/>
        <w:shd w:val="clear" w:color="auto" w:fill="auto"/>
        <w:tabs>
          <w:tab w:pos="465" w:val="left"/>
        </w:tabs>
        <w:bidi w:val="0"/>
        <w:spacing w:before="0" w:after="34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5"/>
      <w:bookmarkEnd w:id="906"/>
      <w:bookmarkEnd w:id="908"/>
    </w:p>
    <w:p>
      <w:pPr>
        <w:pStyle w:val="Style35"/>
        <w:keepNext/>
        <w:keepLines/>
        <w:widowControl w:val="0"/>
        <w:shd w:val="clear" w:color="auto" w:fill="auto"/>
        <w:tabs>
          <w:tab w:pos="465" w:val="left"/>
        </w:tabs>
        <w:bidi w:val="0"/>
        <w:spacing w:before="0" w:after="340" w:line="240" w:lineRule="auto"/>
        <w:ind w:left="0" w:right="0" w:firstLine="0"/>
        <w:jc w:val="left"/>
      </w:pPr>
      <w:bookmarkStart w:id="905" w:name="bookmark905"/>
      <w:bookmarkStart w:id="906" w:name="bookmark906"/>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5"/>
      <w:bookmarkEnd w:id="906"/>
      <w:bookmarkEnd w:id="910"/>
    </w:p>
    <w:p>
      <w:pPr>
        <w:pStyle w:val="Style35"/>
        <w:keepNext/>
        <w:keepLines/>
        <w:widowControl w:val="0"/>
        <w:shd w:val="clear" w:color="auto" w:fill="auto"/>
        <w:tabs>
          <w:tab w:pos="465" w:val="left"/>
        </w:tabs>
        <w:bidi w:val="0"/>
        <w:spacing w:before="0" w:after="280" w:line="240" w:lineRule="auto"/>
        <w:ind w:left="0" w:right="0" w:firstLine="0"/>
        <w:jc w:val="left"/>
      </w:pPr>
      <w:bookmarkStart w:id="905" w:name="bookmark905"/>
      <w:bookmarkStart w:id="906" w:name="bookmark906"/>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5"/>
      <w:bookmarkEnd w:id="906"/>
      <w:bookmarkEnd w:id="912"/>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本公司对收入的具体确认原则如下：</w:t>
      </w:r>
    </w:p>
    <w:p>
      <w:pPr>
        <w:pStyle w:val="Style31"/>
        <w:keepNext w:val="0"/>
        <w:keepLines w:val="0"/>
        <w:widowControl w:val="0"/>
        <w:shd w:val="clear" w:color="auto" w:fill="auto"/>
        <w:tabs>
          <w:tab w:pos="956" w:val="left"/>
        </w:tabs>
        <w:bidi w:val="0"/>
        <w:spacing w:before="0" w:after="0" w:line="314" w:lineRule="exact"/>
        <w:ind w:left="0" w:right="0" w:firstLine="640"/>
        <w:jc w:val="both"/>
      </w:pPr>
      <w:bookmarkStart w:id="913" w:name="bookmark913"/>
      <w:r>
        <w:rPr>
          <w:rFonts w:ascii="Times New Roman" w:eastAsia="Times New Roman" w:hAnsi="Times New Roman" w:cs="Times New Roman"/>
          <w:color w:val="000000"/>
          <w:spacing w:val="0"/>
          <w:w w:val="100"/>
          <w:position w:val="0"/>
        </w:rPr>
        <w:t>1</w:t>
      </w:r>
      <w:bookmarkEnd w:id="913"/>
      <w:r>
        <w:rPr>
          <w:color w:val="000000"/>
          <w:spacing w:val="0"/>
          <w:w w:val="100"/>
          <w:position w:val="0"/>
        </w:rPr>
        <w:t>、</w:t>
        <w:tab/>
        <w:t>销售商品</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在公司已将商品所有权上的主要风险和报酬转移给购货方；公司既没有保留通常与所有权相联系的继续管理权，也没有 对已售出的商品实施有效控制；收入的金额能够可靠地计量；相关的经济利益很可能流入企业；相关的已发生或将发生的成 本能够可靠地计量时，确认销售商品收入的实现。</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本公司商品销售主要包括产品化软件销售收入和硬件及耗材销售收入，其收入的具体确认原则如下：</w:t>
      </w:r>
    </w:p>
    <w:p>
      <w:pPr>
        <w:pStyle w:val="Style31"/>
        <w:keepNext w:val="0"/>
        <w:keepLines w:val="0"/>
        <w:widowControl w:val="0"/>
        <w:numPr>
          <w:ilvl w:val="0"/>
          <w:numId w:val="19"/>
        </w:numPr>
        <w:shd w:val="clear" w:color="auto" w:fill="auto"/>
        <w:tabs>
          <w:tab w:pos="787" w:val="left"/>
        </w:tabs>
        <w:bidi w:val="0"/>
        <w:spacing w:before="0" w:after="0" w:line="312" w:lineRule="exact"/>
        <w:ind w:left="0" w:right="0" w:firstLine="280"/>
        <w:jc w:val="both"/>
      </w:pPr>
      <w:bookmarkStart w:id="914" w:name="bookmark914"/>
      <w:bookmarkEnd w:id="914"/>
      <w:r>
        <w:rPr>
          <w:color w:val="000000"/>
          <w:spacing w:val="0"/>
          <w:w w:val="100"/>
          <w:position w:val="0"/>
        </w:rPr>
        <w:t>产品化软件销售收入是指本公司销售自主研发的软件产品收入。公司自主研发的软件产品是指获得了软件产品登记 证书，具有较强的行业通用性，客户需求差异性较小，并且可以批量复制销售的应用软件。对于产品化软件销售，本公司在 按照合同约定内容向购买方移交，并完成安装、调试工作，取得了购买方的确认单，并同时满足上述销售商品收入确认条件 时确认软件产品销售收入。</w:t>
      </w:r>
    </w:p>
    <w:p>
      <w:pPr>
        <w:pStyle w:val="Style31"/>
        <w:keepNext w:val="0"/>
        <w:keepLines w:val="0"/>
        <w:widowControl w:val="0"/>
        <w:numPr>
          <w:ilvl w:val="0"/>
          <w:numId w:val="19"/>
        </w:numPr>
        <w:shd w:val="clear" w:color="auto" w:fill="auto"/>
        <w:tabs>
          <w:tab w:pos="787" w:val="left"/>
        </w:tabs>
        <w:bidi w:val="0"/>
        <w:spacing w:before="0" w:after="0" w:line="317" w:lineRule="exact"/>
        <w:ind w:left="0" w:right="0" w:firstLine="280"/>
        <w:jc w:val="both"/>
      </w:pPr>
      <w:bookmarkStart w:id="915" w:name="bookmark915"/>
      <w:bookmarkEnd w:id="915"/>
      <w:r>
        <w:rPr>
          <w:color w:val="000000"/>
          <w:spacing w:val="0"/>
          <w:w w:val="100"/>
          <w:position w:val="0"/>
        </w:rPr>
        <w:t>硬件及耗材销售收入是指公司应客户要求代其外购硬件系统及相关第三方软件等，并安装调试所获得的收入。硬件 销售收入在按照合同约定内容向购买方移交了所提供的代购硬件设备或第三方软件的所有权，取得了购买方的验收单，并同 时满足上述销售商品收入确认条件时确认硬件销售收入。</w:t>
      </w:r>
    </w:p>
    <w:p>
      <w:pPr>
        <w:pStyle w:val="Style31"/>
        <w:keepNext w:val="0"/>
        <w:keepLines w:val="0"/>
        <w:widowControl w:val="0"/>
        <w:shd w:val="clear" w:color="auto" w:fill="auto"/>
        <w:tabs>
          <w:tab w:pos="976" w:val="left"/>
        </w:tabs>
        <w:bidi w:val="0"/>
        <w:spacing w:before="0" w:after="0" w:line="314" w:lineRule="exact"/>
        <w:ind w:left="0" w:right="0" w:firstLine="640"/>
        <w:jc w:val="both"/>
      </w:pPr>
      <w:bookmarkStart w:id="916" w:name="bookmark916"/>
      <w:r>
        <w:rPr>
          <w:rFonts w:ascii="Times New Roman" w:eastAsia="Times New Roman" w:hAnsi="Times New Roman" w:cs="Times New Roman"/>
          <w:color w:val="000000"/>
          <w:spacing w:val="0"/>
          <w:w w:val="100"/>
          <w:position w:val="0"/>
        </w:rPr>
        <w:t>2</w:t>
      </w:r>
      <w:bookmarkEnd w:id="916"/>
      <w:r>
        <w:rPr>
          <w:color w:val="000000"/>
          <w:spacing w:val="0"/>
          <w:w w:val="100"/>
          <w:position w:val="0"/>
        </w:rPr>
        <w:t>、</w:t>
        <w:tab/>
        <w:t>提供劳务</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在资产负债表日提供劳务交易的结果能够可靠估计的，采用完工百分比法确认提供劳务的收入。在资产负债表日提供劳 务交易的结果不能够可靠估计的，分别下列情况处理：已经发生的劳务成本预计能够得到补偿的，按照已经发生的劳务成本 金额确认提供劳务收入，并按相同的金额结转劳务成本；已经发生的劳务成本预计不能够得到补偿的，应当将已经发生的劳 务成本转入当期损益，不确认提供劳务收入。</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本公司提供劳务主要包括定制化软件开发收入和技术服务收入，其收入的具体确认原则如下：</w:t>
      </w:r>
    </w:p>
    <w:p>
      <w:pPr>
        <w:pStyle w:val="Style31"/>
        <w:keepNext w:val="0"/>
        <w:keepLines w:val="0"/>
        <w:widowControl w:val="0"/>
        <w:numPr>
          <w:ilvl w:val="0"/>
          <w:numId w:val="21"/>
        </w:numPr>
        <w:shd w:val="clear" w:color="auto" w:fill="auto"/>
        <w:tabs>
          <w:tab w:pos="984" w:val="left"/>
        </w:tabs>
        <w:bidi w:val="0"/>
        <w:spacing w:before="0" w:after="0" w:line="315" w:lineRule="exact"/>
        <w:ind w:left="0" w:right="0" w:firstLine="640"/>
        <w:jc w:val="left"/>
      </w:pPr>
      <w:bookmarkStart w:id="917" w:name="bookmark917"/>
      <w:bookmarkEnd w:id="917"/>
      <w:r>
        <w:rPr>
          <w:color w:val="000000"/>
          <w:spacing w:val="0"/>
          <w:w w:val="100"/>
          <w:position w:val="0"/>
        </w:rPr>
        <w:t>定制化软件开发收入是指公司接受客户委托，针对客户提出的软件需求进行研究开发所获得的收入。定制化软 件一般是公司基于自主研发的软件平台基础上，按照客户的特定需求，进行定制化开发而形成的应用软件。该类软件一般不 具有通用性，该类业务实质上属于提供劳务。对于定制化软件开发，公司在劳务已经提供，收到价款或取得收款的依据，技 术开发项目取得客户的终验报告后确认收入的实现。</w:t>
      </w:r>
    </w:p>
    <w:p>
      <w:pPr>
        <w:pStyle w:val="Style31"/>
        <w:keepNext w:val="0"/>
        <w:keepLines w:val="0"/>
        <w:widowControl w:val="0"/>
        <w:numPr>
          <w:ilvl w:val="0"/>
          <w:numId w:val="21"/>
        </w:numPr>
        <w:shd w:val="clear" w:color="auto" w:fill="auto"/>
        <w:tabs>
          <w:tab w:pos="988" w:val="left"/>
        </w:tabs>
        <w:bidi w:val="0"/>
        <w:spacing w:before="0" w:after="0" w:line="315" w:lineRule="exact"/>
        <w:ind w:left="0" w:right="0" w:firstLine="640"/>
        <w:jc w:val="left"/>
      </w:pPr>
      <w:bookmarkStart w:id="918" w:name="bookmark918"/>
      <w:bookmarkEnd w:id="918"/>
      <w:r>
        <w:rPr>
          <w:color w:val="000000"/>
          <w:spacing w:val="0"/>
          <w:w w:val="100"/>
          <w:position w:val="0"/>
        </w:rPr>
        <w:t>技术服务收入是指公司向客户提供专业的技术服务实现的收入。本公司的技术服务收入通常包含但不限于向客 户提供的与</w:t>
      </w:r>
      <w:r>
        <w:rPr>
          <w:rFonts w:ascii="Times New Roman" w:eastAsia="Times New Roman" w:hAnsi="Times New Roman" w:cs="Times New Roman"/>
          <w:color w:val="000000"/>
          <w:spacing w:val="0"/>
          <w:w w:val="100"/>
          <w:position w:val="0"/>
        </w:rPr>
        <w:t>IT</w:t>
      </w:r>
      <w:r>
        <w:rPr>
          <w:color w:val="000000"/>
          <w:spacing w:val="0"/>
          <w:w w:val="100"/>
          <w:position w:val="0"/>
        </w:rPr>
        <w:t>运维管理相关的技术支持、技术咨询、系统维护、运营管理等服务内容。公司根据与客户签订的相关合同约定 的合同总额与服务期间，按提供劳务的进度确认收入。合同明确约定服务成果需经客户验收确认的，根据取得的客户验收单 据确认收入。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合同中涉及两项以上业务，如合同中能明确区分各项业务合同金额时，按照上述业务收入确认原则分别确认收入；如合 同中未能明确区分各项业务金额时，按照合同主要业务归属收入确认原则确认收入。</w:t>
      </w:r>
    </w:p>
    <w:p>
      <w:pPr>
        <w:pStyle w:val="Style31"/>
        <w:keepNext w:val="0"/>
        <w:keepLines w:val="0"/>
        <w:widowControl w:val="0"/>
        <w:numPr>
          <w:ilvl w:val="0"/>
          <w:numId w:val="19"/>
        </w:numPr>
        <w:shd w:val="clear" w:color="auto" w:fill="auto"/>
        <w:bidi w:val="0"/>
        <w:spacing w:before="0" w:after="0" w:line="314" w:lineRule="exact"/>
        <w:ind w:left="0" w:right="0"/>
        <w:jc w:val="both"/>
      </w:pPr>
      <w:bookmarkStart w:id="919" w:name="bookmark919"/>
      <w:bookmarkEnd w:id="919"/>
      <w:r>
        <w:rPr>
          <w:color w:val="000000"/>
          <w:spacing w:val="0"/>
          <w:w w:val="100"/>
          <w:position w:val="0"/>
        </w:rPr>
        <w:t>让渡资产使用权</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提供资金的利息收入，按照他人使用公司货币资金的时间和实际利率计算确定；他人使用公司非现金资产，发生的使用 费收入按照有关合同或协议约定的收费时间和方法计算确定。让渡资产使用权收入应同时满足下列条件的，予以确认：相关 的经济利益很可能流入企业；收入的金额能够可靠地计量。</w:t>
      </w:r>
    </w:p>
    <w:p>
      <w:pPr>
        <w:pStyle w:val="Style31"/>
        <w:keepNext w:val="0"/>
        <w:keepLines w:val="0"/>
        <w:widowControl w:val="0"/>
        <w:shd w:val="clear" w:color="auto" w:fill="auto"/>
        <w:bidi w:val="0"/>
        <w:spacing w:before="0" w:after="280" w:line="310" w:lineRule="exact"/>
        <w:ind w:left="0" w:right="0" w:firstLine="0"/>
        <w:jc w:val="left"/>
      </w:pPr>
      <w:r>
        <w:rPr>
          <w:rFonts w:ascii="Times New Roman" w:eastAsia="Times New Roman" w:hAnsi="Times New Roman" w:cs="Times New Roman"/>
          <w:b/>
          <w:bCs/>
          <w:color w:val="000000"/>
          <w:spacing w:val="0"/>
          <w:w w:val="100"/>
          <w:position w:val="0"/>
          <w:sz w:val="20"/>
          <w:szCs w:val="20"/>
        </w:rPr>
        <w:t>2</w:t>
      </w:r>
      <w:r>
        <w:rPr>
          <w:rFonts w:ascii="Tahoma" w:eastAsia="Tahoma" w:hAnsi="Tahoma" w:cs="Tahoma"/>
          <w:b/>
          <w:bCs/>
          <w:color w:val="000000"/>
          <w:spacing w:val="0"/>
          <w:w w:val="100"/>
          <w:position w:val="0"/>
          <w:sz w:val="16"/>
          <w:szCs w:val="16"/>
        </w:rPr>
        <w:t>9</w:t>
      </w:r>
      <w:r>
        <w:rPr>
          <w:b/>
          <w:bCs/>
          <w:color w:val="000000"/>
          <w:spacing w:val="0"/>
          <w:w w:val="100"/>
          <w:position w:val="0"/>
        </w:rPr>
        <w:t>、政府补助</w:t>
      </w:r>
    </w:p>
    <w:p>
      <w:pPr>
        <w:pStyle w:val="Style31"/>
        <w:keepNext w:val="0"/>
        <w:keepLines w:val="0"/>
        <w:widowControl w:val="0"/>
        <w:numPr>
          <w:ilvl w:val="0"/>
          <w:numId w:val="23"/>
        </w:numPr>
        <w:shd w:val="clear" w:color="auto" w:fill="auto"/>
        <w:tabs>
          <w:tab w:pos="450" w:val="left"/>
        </w:tabs>
        <w:bidi w:val="0"/>
        <w:spacing w:before="0" w:after="280" w:line="310" w:lineRule="exact"/>
        <w:ind w:left="0" w:right="0" w:firstLine="0"/>
        <w:jc w:val="left"/>
      </w:pPr>
      <w:bookmarkStart w:id="920" w:name="bookmark920"/>
      <w:bookmarkEnd w:id="920"/>
      <w:r>
        <w:rPr>
          <w:b/>
          <w:bCs/>
          <w:color w:val="000000"/>
          <w:spacing w:val="0"/>
          <w:w w:val="100"/>
          <w:position w:val="0"/>
        </w:rPr>
        <w:t>与资产相关的政府补助判断依据及会计处理方法</w:t>
      </w:r>
    </w:p>
    <w:p>
      <w:pPr>
        <w:pStyle w:val="Style31"/>
        <w:keepNext w:val="0"/>
        <w:keepLines w:val="0"/>
        <w:widowControl w:val="0"/>
        <w:shd w:val="clear" w:color="auto" w:fill="auto"/>
        <w:bidi w:val="0"/>
        <w:spacing w:before="0" w:after="280" w:line="310" w:lineRule="exact"/>
        <w:ind w:left="0" w:right="0"/>
        <w:jc w:val="left"/>
      </w:pPr>
      <w:r>
        <w:rPr>
          <w:color w:val="000000"/>
          <w:spacing w:val="0"/>
          <w:w w:val="100"/>
          <w:position w:val="0"/>
        </w:rPr>
        <w:t>本公司将所取得的用于购建或以其他方式形成长期资产的政府补助界定为与资产相关的政府补助。对于政府文件未明确 规定补助对象的，能够形成长期资产的，与资产价值相对应的政府补助部分作为与资产相关的政府补助，其余部分作为与收 益相关的政府补助；难以区分的，将政府补助整体作为与收益相关的政府补助。与资产相关的政府补助，确认为递延收益， 并在相关资产使用寿命内平均分配，计入当期损益。按照名义金额计量的政府补助，直接计入当期损益。</w:t>
      </w:r>
    </w:p>
    <w:p>
      <w:pPr>
        <w:pStyle w:val="Style31"/>
        <w:keepNext w:val="0"/>
        <w:keepLines w:val="0"/>
        <w:widowControl w:val="0"/>
        <w:numPr>
          <w:ilvl w:val="0"/>
          <w:numId w:val="23"/>
        </w:numPr>
        <w:shd w:val="clear" w:color="auto" w:fill="auto"/>
        <w:tabs>
          <w:tab w:pos="450" w:val="left"/>
        </w:tabs>
        <w:bidi w:val="0"/>
        <w:spacing w:before="0" w:after="280" w:line="310" w:lineRule="exact"/>
        <w:ind w:left="0" w:right="0" w:firstLine="0"/>
        <w:jc w:val="left"/>
      </w:pPr>
      <w:bookmarkStart w:id="921" w:name="bookmark921"/>
      <w:bookmarkEnd w:id="921"/>
      <w:r>
        <w:rPr>
          <w:b/>
          <w:bCs/>
          <w:color w:val="000000"/>
          <w:spacing w:val="0"/>
          <w:w w:val="100"/>
          <w:position w:val="0"/>
        </w:rPr>
        <w:t>与收益相关的政府补助判断依据及会计处理方法</w:t>
      </w:r>
    </w:p>
    <w:p>
      <w:pPr>
        <w:pStyle w:val="Style31"/>
        <w:keepNext w:val="0"/>
        <w:keepLines w:val="0"/>
        <w:widowControl w:val="0"/>
        <w:shd w:val="clear" w:color="auto" w:fill="auto"/>
        <w:bidi w:val="0"/>
        <w:spacing w:before="0" w:after="680" w:line="310" w:lineRule="exact"/>
        <w:ind w:left="0" w:right="0"/>
        <w:jc w:val="both"/>
      </w:pPr>
      <w:r>
        <w:rPr>
          <w:color w:val="000000"/>
          <w:spacing w:val="0"/>
          <w:w w:val="100"/>
          <w:position w:val="0"/>
        </w:rPr>
        <w:t>本公司所取得的与资产相关的政府补助之外的政府补助界定为与收益相关的政府补助。与收益相关的政府补助，用于补 偿企业以后期间的相关费用或损失的，确认为递延收益，并在确认相关费用的期间，计入当期损益。用于补偿企业已发生的 相关费用或损失的，直接计入当期损益。</w:t>
      </w:r>
    </w:p>
    <w:p>
      <w:pPr>
        <w:pStyle w:val="Style35"/>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2"/>
      <w:bookmarkEnd w:id="923"/>
      <w:bookmarkEnd w:id="925"/>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公司在取得资产、负债时，确定其计税基础。资产、负债的账面价值与其计税基础存在的暂时性差异，按照规定确认所 产生的递延所得税资产或递延所得税负债。</w:t>
      </w:r>
    </w:p>
    <w:p>
      <w:pPr>
        <w:pStyle w:val="Style31"/>
        <w:keepNext w:val="0"/>
        <w:keepLines w:val="0"/>
        <w:widowControl w:val="0"/>
        <w:shd w:val="clear" w:color="auto" w:fill="auto"/>
        <w:bidi w:val="0"/>
        <w:spacing w:before="0" w:after="0" w:line="319" w:lineRule="exact"/>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、递延所得税资产的确认</w:t>
      </w:r>
    </w:p>
    <w:p>
      <w:pPr>
        <w:pStyle w:val="Style31"/>
        <w:keepNext w:val="0"/>
        <w:keepLines w:val="0"/>
        <w:widowControl w:val="0"/>
        <w:numPr>
          <w:ilvl w:val="0"/>
          <w:numId w:val="25"/>
        </w:numPr>
        <w:shd w:val="clear" w:color="auto" w:fill="auto"/>
        <w:tabs>
          <w:tab w:pos="805" w:val="left"/>
        </w:tabs>
        <w:bidi w:val="0"/>
        <w:spacing w:before="0" w:after="0" w:line="312" w:lineRule="exact"/>
        <w:ind w:left="0" w:right="0" w:firstLine="280"/>
        <w:jc w:val="both"/>
      </w:pPr>
      <w:bookmarkStart w:id="926" w:name="bookmark926"/>
      <w:bookmarkEnd w:id="926"/>
      <w:r>
        <w:rPr>
          <w:color w:val="000000"/>
          <w:spacing w:val="0"/>
          <w:w w:val="100"/>
          <w:position w:val="0"/>
        </w:rPr>
        <w:t>公司以很可能取得用来抵扣可抵扣暂时性差异的应纳税所得额为限，确认由可抵扣暂时性差异产生的递延所得税资 产。但是，同时具有下列特征的交易中因资产或负债的初始确认所产生的递延所得税资产不予确认：①该项交易不是企业合 并；②交易发生时既不影响会计利润也不影响应纳税所得额(或可抵扣亏损)。</w:t>
      </w:r>
    </w:p>
    <w:p>
      <w:pPr>
        <w:pStyle w:val="Style31"/>
        <w:keepNext w:val="0"/>
        <w:keepLines w:val="0"/>
        <w:widowControl w:val="0"/>
        <w:numPr>
          <w:ilvl w:val="0"/>
          <w:numId w:val="25"/>
        </w:numPr>
        <w:shd w:val="clear" w:color="auto" w:fill="auto"/>
        <w:tabs>
          <w:tab w:pos="810" w:val="left"/>
        </w:tabs>
        <w:bidi w:val="0"/>
        <w:spacing w:before="0" w:after="0" w:line="322" w:lineRule="exact"/>
        <w:ind w:left="0" w:right="0" w:firstLine="280"/>
        <w:jc w:val="both"/>
      </w:pPr>
      <w:bookmarkStart w:id="927" w:name="bookmark927"/>
      <w:bookmarkEnd w:id="927"/>
      <w:r>
        <w:rPr>
          <w:color w:val="000000"/>
          <w:spacing w:val="0"/>
          <w:w w:val="100"/>
          <w:position w:val="0"/>
        </w:rPr>
        <w:t>公司对与子公司、联营公司及合营企业投资相关的可抵扣暂时性差异，同时满足下列条件的，确认相应的递延所得 税资产：①暂时性差异在可预见的未来很可能转回；②未来很可能获得用来抵扣可抵扣暂时性差异的应纳税所得额。</w:t>
      </w:r>
    </w:p>
    <w:p>
      <w:pPr>
        <w:pStyle w:val="Style31"/>
        <w:keepNext w:val="0"/>
        <w:keepLines w:val="0"/>
        <w:widowControl w:val="0"/>
        <w:numPr>
          <w:ilvl w:val="0"/>
          <w:numId w:val="25"/>
        </w:numPr>
        <w:shd w:val="clear" w:color="auto" w:fill="auto"/>
        <w:bidi w:val="0"/>
        <w:spacing w:before="0" w:after="0" w:line="322" w:lineRule="exact"/>
        <w:ind w:left="0" w:right="0"/>
        <w:jc w:val="both"/>
      </w:pPr>
      <w:bookmarkStart w:id="928" w:name="bookmark928"/>
      <w:bookmarkEnd w:id="928"/>
      <w:r>
        <w:rPr>
          <w:color w:val="000000"/>
          <w:spacing w:val="0"/>
          <w:w w:val="100"/>
          <w:position w:val="0"/>
        </w:rPr>
        <w:t>对于按照税法规定可以结转以后年度的可抵扣亏损和税款抵减，视同可抵扣暂时性差异处理，以很可能获得用来 抵扣可抵扣亏损和税款抵减的未来应纳税所得额为限，确认相应的递延所得税资产。</w:t>
      </w:r>
    </w:p>
    <w:p>
      <w:pPr>
        <w:pStyle w:val="Style31"/>
        <w:keepNext w:val="0"/>
        <w:keepLines w:val="0"/>
        <w:widowControl w:val="0"/>
        <w:shd w:val="clear" w:color="auto" w:fill="auto"/>
        <w:bidi w:val="0"/>
        <w:spacing w:before="0" w:after="0" w:line="322" w:lineRule="exact"/>
        <w:ind w:left="0" w:right="0" w:firstLine="640"/>
        <w:jc w:val="both"/>
      </w:pPr>
      <w:r>
        <w:rPr>
          <w:rFonts w:ascii="Times New Roman" w:eastAsia="Times New Roman" w:hAnsi="Times New Roman" w:cs="Times New Roman"/>
          <w:color w:val="000000"/>
          <w:spacing w:val="0"/>
          <w:w w:val="100"/>
          <w:position w:val="0"/>
        </w:rPr>
        <w:t>2</w:t>
      </w:r>
      <w:r>
        <w:rPr>
          <w:color w:val="000000"/>
          <w:spacing w:val="0"/>
          <w:w w:val="100"/>
          <w:position w:val="0"/>
        </w:rPr>
        <w:t>、递延所得税负债的确认</w:t>
      </w:r>
    </w:p>
    <w:p>
      <w:pPr>
        <w:pStyle w:val="Style31"/>
        <w:keepNext w:val="0"/>
        <w:keepLines w:val="0"/>
        <w:widowControl w:val="0"/>
        <w:shd w:val="clear" w:color="auto" w:fill="auto"/>
        <w:bidi w:val="0"/>
        <w:spacing w:before="0" w:after="0" w:line="312"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)除下列交易中产生的递延所得税负债以外，公司确认所有应纳税暂时性差异产生的递延所得税负债：①商誉的初始 确认；②同时满足具有下列特征的交易中产生的资产或负债的初始确认：该项交易不是企业合并；交易发生时既不影响会计 利润也不影响应纳税所得额(或可抵扣亏损)。</w:t>
      </w:r>
    </w:p>
    <w:p>
      <w:pPr>
        <w:pStyle w:val="Style31"/>
        <w:keepNext w:val="0"/>
        <w:keepLines w:val="0"/>
        <w:widowControl w:val="0"/>
        <w:shd w:val="clear" w:color="auto" w:fill="auto"/>
        <w:bidi w:val="0"/>
        <w:spacing w:before="0" w:after="102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)公司对与子公司、联营公司及合营企业投资相关的应纳税暂时性差异，确认相应的递延所得税负债。但是，同 时满足下列条件的除外：①投资企业能够控制暂时性差异转回的时间；②该暂时性差异在可预见的未来很可能不会转回。</w:t>
      </w:r>
    </w:p>
    <w:p>
      <w:pPr>
        <w:pStyle w:val="Style35"/>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929"/>
      <w:bookmarkEnd w:id="930"/>
      <w:bookmarkEnd w:id="932"/>
    </w:p>
    <w:p>
      <w:pPr>
        <w:pStyle w:val="Style35"/>
        <w:keepNext/>
        <w:keepLines/>
        <w:widowControl w:val="0"/>
        <w:numPr>
          <w:ilvl w:val="0"/>
          <w:numId w:val="27"/>
        </w:numPr>
        <w:shd w:val="clear" w:color="auto" w:fill="auto"/>
        <w:bidi w:val="0"/>
        <w:spacing w:before="0" w:line="240" w:lineRule="auto"/>
        <w:ind w:left="0" w:right="0" w:firstLine="0"/>
        <w:jc w:val="left"/>
      </w:pPr>
      <w:bookmarkStart w:id="929" w:name="bookmark929"/>
      <w:bookmarkStart w:id="930" w:name="bookmark930"/>
      <w:bookmarkStart w:id="933" w:name="bookmark933"/>
      <w:bookmarkStart w:id="934" w:name="bookmark934"/>
      <w:bookmarkEnd w:id="933"/>
      <w:r>
        <w:rPr>
          <w:color w:val="000000"/>
          <w:spacing w:val="0"/>
          <w:w w:val="100"/>
          <w:position w:val="0"/>
        </w:rPr>
        <w:t>经营租赁的会计处理方法</w:t>
      </w:r>
      <w:bookmarkEnd w:id="929"/>
      <w:bookmarkEnd w:id="930"/>
      <w:bookmarkEnd w:id="934"/>
    </w:p>
    <w:p>
      <w:pPr>
        <w:pStyle w:val="Style31"/>
        <w:keepNext w:val="0"/>
        <w:keepLines w:val="0"/>
        <w:widowControl w:val="0"/>
        <w:shd w:val="clear" w:color="auto" w:fill="auto"/>
        <w:bidi w:val="0"/>
        <w:spacing w:before="0" w:after="360" w:line="240" w:lineRule="auto"/>
        <w:ind w:left="0" w:right="0"/>
        <w:jc w:val="both"/>
      </w:pPr>
      <w:r>
        <w:rPr>
          <w:color w:val="000000"/>
          <w:spacing w:val="0"/>
          <w:w w:val="100"/>
          <w:position w:val="0"/>
        </w:rPr>
        <w:t xml:space="preserve">对于经营租赁的租金，出租人、承租人在租赁期内各个期间按照直线法确认为当期损益。出租人、承租人发生的初始直 </w:t>
      </w:r>
      <w:r>
        <w:rPr>
          <w:color w:val="000000"/>
          <w:spacing w:val="0"/>
          <w:w w:val="100"/>
          <w:position w:val="0"/>
        </w:rPr>
        <w:t>接费用，计入当期损益。或有租金在实际发生时计入当期损益。</w:t>
      </w:r>
    </w:p>
    <w:p>
      <w:pPr>
        <w:pStyle w:val="Style35"/>
        <w:keepNext/>
        <w:keepLines/>
        <w:widowControl w:val="0"/>
        <w:shd w:val="clear" w:color="auto" w:fill="auto"/>
        <w:bidi w:val="0"/>
        <w:spacing w:before="0" w:after="28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35"/>
      <w:bookmarkEnd w:id="936"/>
      <w:bookmarkEnd w:id="938"/>
    </w:p>
    <w:p>
      <w:pPr>
        <w:pStyle w:val="Style31"/>
        <w:keepNext w:val="0"/>
        <w:keepLines w:val="0"/>
        <w:widowControl w:val="0"/>
        <w:shd w:val="clear" w:color="auto" w:fill="auto"/>
        <w:tabs>
          <w:tab w:pos="820" w:val="left"/>
        </w:tabs>
        <w:bidi w:val="0"/>
        <w:spacing w:before="0" w:after="0" w:line="312" w:lineRule="exact"/>
        <w:ind w:left="0" w:right="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承租人的会计处理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在租赁期开始日，将租赁开始日租赁资产公允价值与最低租赁付款额现值两者中较低者作为租入资产的入账价值，将最 低租赁付款额作为长期应付款的入账价值，其差额作为未确认融资费用。在租赁谈判和签订租赁合同过程中发生的可归属于 租赁项目的手续费、律师费、差旅费、印花税等初始直接费用（下同），计入租入资产价值。在计算最低租赁付款额的现值 时，能够取得出租人租赁内含利率的，采用租赁内含利率作为折现率；否则，采用租赁合同规定的利率作为折现率。无法取 得出租人的租赁内含利率且租赁合同没有规定利率的，采用同期银行贷款利率作为折现率。未确认融资费用在租赁期内按照 实际利率法计算确认当期的融资费用。</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公司采用与自有固定资产相一致的折旧政策计提租赁资产折旧。能够合理确定租赁期届满时取得租赁资产所有权的，在 租赁资产使用寿命内计提折旧。无法合理确定租赁期届满时能够取得租赁资产所有权的，在租赁期与租赁资产使用寿命两者 中较短的期间内计提折旧。或有租金在实际发生时计入当期损益。</w:t>
      </w:r>
    </w:p>
    <w:p>
      <w:pPr>
        <w:pStyle w:val="Style31"/>
        <w:keepNext w:val="0"/>
        <w:keepLines w:val="0"/>
        <w:widowControl w:val="0"/>
        <w:shd w:val="clear" w:color="auto" w:fill="auto"/>
        <w:tabs>
          <w:tab w:pos="820" w:val="left"/>
        </w:tabs>
        <w:bidi w:val="0"/>
        <w:spacing w:before="0" w:after="0" w:line="312" w:lineRule="exact"/>
        <w:ind w:left="0" w:right="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出租人的会计处理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在租赁期开始日，出租人将租赁开始日最低租赁收款额与初始直接费用之和作为应收融资租赁款的入账价值，同时记录 未担保余值；将最低租赁收款额、初始直接费用及未担保余值之和与其现值之和的差额确认为未实现融资收益。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未实现融资收益在租赁期内按照实际利率法计算确认当期的融资收入。</w:t>
      </w:r>
    </w:p>
    <w:p>
      <w:pPr>
        <w:pStyle w:val="Style31"/>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或有租金在实际发生时计入当期损益。</w:t>
      </w:r>
    </w:p>
    <w:p>
      <w:pPr>
        <w:pStyle w:val="Style35"/>
        <w:keepNext/>
        <w:keepLines/>
        <w:widowControl w:val="0"/>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941"/>
      <w:bookmarkEnd w:id="942"/>
      <w:bookmarkEnd w:id="944"/>
    </w:p>
    <w:p>
      <w:pPr>
        <w:pStyle w:val="Style31"/>
        <w:keepNext w:val="0"/>
        <w:keepLines w:val="0"/>
        <w:widowControl w:val="0"/>
        <w:numPr>
          <w:ilvl w:val="0"/>
          <w:numId w:val="29"/>
        </w:numPr>
        <w:shd w:val="clear" w:color="auto" w:fill="auto"/>
        <w:tabs>
          <w:tab w:pos="681" w:val="left"/>
        </w:tabs>
        <w:bidi w:val="0"/>
        <w:spacing w:before="0" w:after="0"/>
        <w:ind w:left="0" w:right="0"/>
        <w:jc w:val="both"/>
      </w:pPr>
      <w:bookmarkStart w:id="945" w:name="bookmark945"/>
      <w:bookmarkEnd w:id="945"/>
      <w:r>
        <w:rPr>
          <w:color w:val="000000"/>
          <w:spacing w:val="0"/>
          <w:w w:val="100"/>
          <w:position w:val="0"/>
        </w:rPr>
        <w:t>回购本公司股份</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公司回购自身权益工具支付的对价和交易费用，应当减少所有者权益。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公司按法定程序报经批准采用收购本公司股票方式减资，按注销股票面值总额减少股本，购回股票支付的价款（含交易 费用）与股票面值的差额调整所有者权益，超过面值总额的部分，依次冲减资本公积（股本溢价）、盈余公积和未分配利润； 如低于面值总额的，低于面值总额的部分增加资本公积（股本溢价）。公司回购自身权益工具，不确认利得或损失。</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公司回购的股份在注销或者转让之前，作为库存股管理，回购股份的全部支出转作库存股成本，同时进行备查登记。</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库存股转让时，转让收入高于库存股成本的部分，增加资本公积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；低于库存股成本的部分，依次冲减资本公 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、盈余公积、未分配利润。</w:t>
      </w:r>
    </w:p>
    <w:p>
      <w:pPr>
        <w:pStyle w:val="Style31"/>
        <w:keepNext w:val="0"/>
        <w:keepLines w:val="0"/>
        <w:widowControl w:val="0"/>
        <w:shd w:val="clear" w:color="auto" w:fill="auto"/>
        <w:bidi w:val="0"/>
        <w:spacing w:before="0" w:after="80" w:line="311" w:lineRule="exact"/>
        <w:ind w:left="0" w:right="0"/>
        <w:jc w:val="both"/>
      </w:pPr>
      <w:r>
        <w:rPr>
          <w:color w:val="000000"/>
          <w:spacing w:val="0"/>
          <w:w w:val="100"/>
          <w:position w:val="0"/>
        </w:rPr>
        <w:t>公司回购其普通股形成的库存股不参与公司利润分配，公司将其作为在资产负债表中所有者权益的备抵项目列示。</w:t>
      </w:r>
    </w:p>
    <w:p>
      <w:pPr>
        <w:pStyle w:val="Style31"/>
        <w:keepNext w:val="0"/>
        <w:keepLines w:val="0"/>
        <w:widowControl w:val="0"/>
        <w:numPr>
          <w:ilvl w:val="0"/>
          <w:numId w:val="29"/>
        </w:numPr>
        <w:shd w:val="clear" w:color="auto" w:fill="auto"/>
        <w:tabs>
          <w:tab w:pos="700" w:val="left"/>
        </w:tabs>
        <w:bidi w:val="0"/>
        <w:spacing w:before="0" w:after="0"/>
        <w:ind w:left="0" w:right="0"/>
        <w:jc w:val="both"/>
      </w:pPr>
      <w:bookmarkStart w:id="946" w:name="bookmark946"/>
      <w:bookmarkEnd w:id="946"/>
      <w:r>
        <w:rPr>
          <w:color w:val="000000"/>
          <w:spacing w:val="0"/>
          <w:w w:val="100"/>
          <w:position w:val="0"/>
        </w:rPr>
        <w:t>资产证券化业务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公司设立特殊目的主体作为结构化融资的载体，公司把金融资产转移到特殊目的主体，如果公司能够控制该特殊目的主 体，这些特殊目的主体则视同为子公司而纳入公司合并财务报表的范围。</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公司出售金融资产作出承诺，已转移的金融资产将来发生信用损失时，由公司进行全额补偿，公司实质上保留了该金融 资产所有权上几乎所有的风险和报酬，公司未终止确认所出售的金融资产。</w:t>
      </w:r>
    </w:p>
    <w:p>
      <w:pPr>
        <w:pStyle w:val="Style31"/>
        <w:keepNext w:val="0"/>
        <w:keepLines w:val="0"/>
        <w:widowControl w:val="0"/>
        <w:shd w:val="clear" w:color="auto" w:fill="auto"/>
        <w:bidi w:val="0"/>
        <w:spacing w:before="0" w:after="80" w:line="311" w:lineRule="exact"/>
        <w:ind w:left="0" w:right="0"/>
        <w:jc w:val="both"/>
      </w:pPr>
      <w:r>
        <w:rPr>
          <w:color w:val="000000"/>
          <w:spacing w:val="0"/>
          <w:w w:val="100"/>
          <w:position w:val="0"/>
        </w:rPr>
        <w:t>资产证券化募集的资金列专项应付款，资产证券化融资费用（包括财务顾问费、银行担保费等）列入当期财务费用，收 益权与实际募集的委托资金差额列长期待摊费用，在存续期内按证券化实施的项目进行摊销列入财务费用。</w:t>
      </w:r>
    </w:p>
    <w:p>
      <w:pPr>
        <w:pStyle w:val="Style31"/>
        <w:keepNext w:val="0"/>
        <w:keepLines w:val="0"/>
        <w:widowControl w:val="0"/>
        <w:numPr>
          <w:ilvl w:val="0"/>
          <w:numId w:val="29"/>
        </w:numPr>
        <w:shd w:val="clear" w:color="auto" w:fill="auto"/>
        <w:tabs>
          <w:tab w:pos="700" w:val="left"/>
        </w:tabs>
        <w:bidi w:val="0"/>
        <w:spacing w:before="0" w:after="0"/>
        <w:ind w:left="0" w:right="0"/>
        <w:jc w:val="both"/>
      </w:pPr>
      <w:bookmarkStart w:id="947" w:name="bookmark947"/>
      <w:bookmarkEnd w:id="947"/>
      <w:r>
        <w:rPr>
          <w:color w:val="000000"/>
          <w:spacing w:val="0"/>
          <w:w w:val="100"/>
          <w:position w:val="0"/>
        </w:rPr>
        <w:t>套期会计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套期会计方法是指在相同会计期间将套期工具和被套期项目公允价值变动的抵销结果计入当期损益的方法。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套期工具是指公司为规避外汇风险、利率风险、商品价格风险、股票价格风险、信用风险等所使用的衍生工具，分为公 允价值套期、现金流量套期和境外净投资套期。对于满足下列条件的套期工具，运用套期会计方法进行处理：</w:t>
      </w:r>
    </w:p>
    <w:p>
      <w:pPr>
        <w:pStyle w:val="Style31"/>
        <w:keepNext w:val="0"/>
        <w:keepLines w:val="0"/>
        <w:widowControl w:val="0"/>
        <w:shd w:val="clear" w:color="auto" w:fill="auto"/>
        <w:bidi w:val="0"/>
        <w:spacing w:before="0" w:after="40" w:line="311"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在套期开始时，公司对套期关系</w:t>
      </w:r>
      <w:r>
        <w:rPr>
          <w:rFonts w:ascii="Times New Roman" w:eastAsia="Times New Roman" w:hAnsi="Times New Roman" w:cs="Times New Roman"/>
          <w:color w:val="000000"/>
          <w:spacing w:val="0"/>
          <w:w w:val="100"/>
          <w:position w:val="0"/>
        </w:rPr>
        <w:t>（</w:t>
      </w:r>
      <w:r>
        <w:rPr>
          <w:color w:val="000000"/>
          <w:spacing w:val="0"/>
          <w:w w:val="100"/>
          <w:position w:val="0"/>
        </w:rPr>
        <w:t>即套期工具和被套期项目之间的关系</w:t>
      </w:r>
      <w:r>
        <w:rPr>
          <w:rFonts w:ascii="Times New Roman" w:eastAsia="Times New Roman" w:hAnsi="Times New Roman" w:cs="Times New Roman"/>
          <w:color w:val="000000"/>
          <w:spacing w:val="0"/>
          <w:w w:val="100"/>
          <w:position w:val="0"/>
        </w:rPr>
        <w:t>）</w:t>
      </w:r>
      <w:r>
        <w:rPr>
          <w:color w:val="000000"/>
          <w:spacing w:val="0"/>
          <w:w w:val="100"/>
          <w:position w:val="0"/>
        </w:rPr>
        <w:t>有正式指定，并准备了关于套期关系、风险 管理目标和套期策略的正式书面文件；</w:t>
      </w:r>
    </w:p>
    <w:p>
      <w:pPr>
        <w:pStyle w:val="Style31"/>
        <w:keepNext w:val="0"/>
        <w:keepLines w:val="0"/>
        <w:widowControl w:val="0"/>
        <w:numPr>
          <w:ilvl w:val="0"/>
          <w:numId w:val="27"/>
        </w:numPr>
        <w:shd w:val="clear" w:color="auto" w:fill="auto"/>
        <w:tabs>
          <w:tab w:pos="862" w:val="left"/>
        </w:tabs>
        <w:bidi w:val="0"/>
        <w:spacing w:before="0" w:after="0" w:line="315" w:lineRule="exact"/>
        <w:ind w:left="0" w:right="0" w:firstLine="460"/>
        <w:jc w:val="both"/>
      </w:pPr>
      <w:bookmarkStart w:id="948" w:name="bookmark948"/>
      <w:bookmarkEnd w:id="948"/>
      <w:r>
        <w:rPr>
          <w:color w:val="000000"/>
          <w:spacing w:val="0"/>
          <w:w w:val="100"/>
          <w:position w:val="0"/>
        </w:rPr>
        <w:t>该套期预期高度有效，且符合公司最初为该套期关系所确定的风险管理策略；</w:t>
      </w:r>
    </w:p>
    <w:p>
      <w:pPr>
        <w:pStyle w:val="Style31"/>
        <w:keepNext w:val="0"/>
        <w:keepLines w:val="0"/>
        <w:widowControl w:val="0"/>
        <w:numPr>
          <w:ilvl w:val="0"/>
          <w:numId w:val="27"/>
        </w:numPr>
        <w:shd w:val="clear" w:color="auto" w:fill="auto"/>
        <w:tabs>
          <w:tab w:pos="862" w:val="left"/>
        </w:tabs>
        <w:bidi w:val="0"/>
        <w:spacing w:before="0" w:after="0" w:line="315" w:lineRule="exact"/>
        <w:ind w:left="0" w:right="0" w:firstLine="460"/>
        <w:jc w:val="both"/>
      </w:pPr>
      <w:bookmarkStart w:id="949" w:name="bookmark949"/>
      <w:bookmarkEnd w:id="949"/>
      <w:r>
        <w:rPr>
          <w:color w:val="000000"/>
          <w:spacing w:val="0"/>
          <w:w w:val="100"/>
          <w:position w:val="0"/>
        </w:rPr>
        <w:t>对预期交易的现金流量套期，预期交易应当很可能发生，且必须使公司面临最终将影响损益的现金流量变动风险；</w:t>
      </w:r>
    </w:p>
    <w:p>
      <w:pPr>
        <w:pStyle w:val="Style31"/>
        <w:keepNext w:val="0"/>
        <w:keepLines w:val="0"/>
        <w:widowControl w:val="0"/>
        <w:numPr>
          <w:ilvl w:val="0"/>
          <w:numId w:val="27"/>
        </w:numPr>
        <w:shd w:val="clear" w:color="auto" w:fill="auto"/>
        <w:tabs>
          <w:tab w:pos="862" w:val="left"/>
        </w:tabs>
        <w:bidi w:val="0"/>
        <w:spacing w:before="0" w:after="0" w:line="315" w:lineRule="exact"/>
        <w:ind w:left="0" w:right="0" w:firstLine="460"/>
        <w:jc w:val="both"/>
      </w:pPr>
      <w:bookmarkStart w:id="950" w:name="bookmark950"/>
      <w:bookmarkEnd w:id="950"/>
      <w:r>
        <w:rPr>
          <w:color w:val="000000"/>
          <w:spacing w:val="0"/>
          <w:w w:val="100"/>
          <w:position w:val="0"/>
        </w:rPr>
        <w:t>套期有效性能够可靠地计量；</w:t>
      </w:r>
    </w:p>
    <w:p>
      <w:pPr>
        <w:pStyle w:val="Style31"/>
        <w:keepNext w:val="0"/>
        <w:keepLines w:val="0"/>
        <w:widowControl w:val="0"/>
        <w:numPr>
          <w:ilvl w:val="0"/>
          <w:numId w:val="27"/>
        </w:numPr>
        <w:shd w:val="clear" w:color="auto" w:fill="auto"/>
        <w:tabs>
          <w:tab w:pos="862" w:val="left"/>
        </w:tabs>
        <w:bidi w:val="0"/>
        <w:spacing w:before="0" w:after="0" w:line="315" w:lineRule="exact"/>
        <w:ind w:left="0" w:right="0" w:firstLine="460"/>
        <w:jc w:val="both"/>
      </w:pPr>
      <w:bookmarkStart w:id="951" w:name="bookmark951"/>
      <w:bookmarkEnd w:id="951"/>
      <w:r>
        <w:rPr>
          <w:color w:val="000000"/>
          <w:spacing w:val="0"/>
          <w:w w:val="100"/>
          <w:position w:val="0"/>
        </w:rPr>
        <w:t>公司应当持续地对套期有效性进行评价，并确保该套期在套期关系被指定的会计期间内高度有效。</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公允价值套期满足上述条件的，公允价值变动形成的利得或损失计入当期损益。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现金流量套期满足上述条件的，套期利得或损失中属于有效套期的部分计入其他综合收益，无效部分计入当期损益。对 于被套期项目为预期交易且该预期交易使公司随后确认一项金融资产或金融负债的，原确认为其他综合收益的利得或损失在 该金融资产或金融负债影响公司损益的相同期间转出，计入当期损益。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境外经营净投资套期满足上述条件的，公司应按类似于现金流量套期会计的规定处理：套期工具形成的利得或损失中属 于有效套期的部分，直接确认为所有者权益，并单列项目反映。处置境外经营时，将上述在所有者权益中单列项目反映的套 期工具利得或损失转出，计入当期损益。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套期工具形成的利得或损失中属于无效套期的部分，计入当期损益。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不符合上述条件的其他公允价值套期、现金流量套期和境外净投资套期，其公允价值变动直接计入当期损益。</w:t>
      </w:r>
    </w:p>
    <w:p>
      <w:pPr>
        <w:pStyle w:val="Style31"/>
        <w:keepNext w:val="0"/>
        <w:keepLines w:val="0"/>
        <w:widowControl w:val="0"/>
        <w:numPr>
          <w:ilvl w:val="0"/>
          <w:numId w:val="29"/>
        </w:numPr>
        <w:shd w:val="clear" w:color="auto" w:fill="auto"/>
        <w:tabs>
          <w:tab w:pos="700" w:val="left"/>
        </w:tabs>
        <w:bidi w:val="0"/>
        <w:spacing w:before="0" w:after="0" w:line="315" w:lineRule="exact"/>
        <w:ind w:left="0" w:right="0"/>
        <w:jc w:val="both"/>
      </w:pPr>
      <w:bookmarkStart w:id="952" w:name="bookmark952"/>
      <w:bookmarkEnd w:id="952"/>
      <w:r>
        <w:rPr>
          <w:color w:val="000000"/>
          <w:spacing w:val="0"/>
          <w:w w:val="100"/>
          <w:position w:val="0"/>
        </w:rPr>
        <w:t>建造合同</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在建造合同的结果能够可靠估计的情况下，本公司于资产负债表日按照完工百分比法确认合同收入和合同费用。</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本公司于资产负债表日按照合同总收入乘以完工程度扣除以前会计期间累计已确认收入后的金额，确认为当期合同收 入；同时，按照合同预计总成本乘以完工程度扣除以前会计期间累计已确认费用后的金额，确认为当期合同费用。</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合同预计总成本超过合同总收入的，将预计损失确认为当期费用。</w:t>
      </w:r>
    </w:p>
    <w:p>
      <w:pPr>
        <w:pStyle w:val="Style31"/>
        <w:keepNext w:val="0"/>
        <w:keepLines w:val="0"/>
        <w:widowControl w:val="0"/>
        <w:numPr>
          <w:ilvl w:val="0"/>
          <w:numId w:val="29"/>
        </w:numPr>
        <w:shd w:val="clear" w:color="auto" w:fill="auto"/>
        <w:tabs>
          <w:tab w:pos="700" w:val="left"/>
        </w:tabs>
        <w:bidi w:val="0"/>
        <w:spacing w:before="0" w:after="0" w:line="315" w:lineRule="exact"/>
        <w:ind w:left="0" w:right="0"/>
        <w:jc w:val="both"/>
      </w:pPr>
      <w:bookmarkStart w:id="953" w:name="bookmark953"/>
      <w:bookmarkEnd w:id="953"/>
      <w:r>
        <w:rPr>
          <w:color w:val="000000"/>
          <w:spacing w:val="0"/>
          <w:w w:val="100"/>
          <w:position w:val="0"/>
        </w:rPr>
        <w:t>附回购条件的资产转让</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售后回购是指销售商品的同时，公司同意日后再将同样或类似的商品购回的销售方式。公司根据合同或协议条款判断销 售商品是否满足收入确认条件。若售后回购交易属于融资交易的，商品所有权上的主要风险和报酬没有转移，不应确认收入; 回购价格大于原售价的差额，公司在回购期间按期计提利息费用，计入财务费用。</w:t>
      </w:r>
    </w:p>
    <w:p>
      <w:pPr>
        <w:pStyle w:val="Style31"/>
        <w:keepNext w:val="0"/>
        <w:keepLines w:val="0"/>
        <w:widowControl w:val="0"/>
        <w:numPr>
          <w:ilvl w:val="0"/>
          <w:numId w:val="29"/>
        </w:numPr>
        <w:shd w:val="clear" w:color="auto" w:fill="auto"/>
        <w:tabs>
          <w:tab w:pos="700" w:val="left"/>
        </w:tabs>
        <w:bidi w:val="0"/>
        <w:spacing w:before="0" w:after="0" w:line="315" w:lineRule="exact"/>
        <w:ind w:left="0" w:right="0"/>
        <w:jc w:val="left"/>
      </w:pPr>
      <w:bookmarkStart w:id="954" w:name="bookmark954"/>
      <w:bookmarkEnd w:id="954"/>
      <w:r>
        <w:rPr>
          <w:color w:val="000000"/>
          <w:spacing w:val="0"/>
          <w:w w:val="100"/>
          <w:position w:val="0"/>
        </w:rPr>
        <w:t>衍生金融工具</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衍生金融工具初始以衍生交易合同签订当日的公允价值计量，并以其公允价值进行后续计量。公允价值为正数的衍生金 融工具确认为一项资产，公允价值为负数的衍生金融工具确认为一项负债。</w:t>
      </w:r>
    </w:p>
    <w:p>
      <w:pPr>
        <w:pStyle w:val="Style31"/>
        <w:keepNext w:val="0"/>
        <w:keepLines w:val="0"/>
        <w:widowControl w:val="0"/>
        <w:shd w:val="clear" w:color="auto" w:fill="auto"/>
        <w:bidi w:val="0"/>
        <w:spacing w:before="0" w:after="360" w:line="315" w:lineRule="exact"/>
        <w:ind w:left="0" w:right="0"/>
        <w:jc w:val="left"/>
      </w:pPr>
      <w:r>
        <w:rPr>
          <w:color w:val="000000"/>
          <w:spacing w:val="0"/>
          <w:w w:val="100"/>
          <w:position w:val="0"/>
        </w:rPr>
        <w:t>公司根据政策管理衍生金融工具的应用，并以书面方式列明与公司风险管理策略一致的衍生金融工具应用原则。 衍生金融工具的后续计量时，因公允价值变动而产生的利得或损失在利润表中确认。对于符合套期会计处理的衍生金融工具, 确认任何产生的利得或损失取决于被套期项目的性质。不符合套期会计处理的衍生金融工具分类为以公允价值计量且其变动 计入当期损益的金融资产及金融负债。</w:t>
      </w:r>
    </w:p>
    <w:p>
      <w:pPr>
        <w:pStyle w:val="Style35"/>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955"/>
      <w:bookmarkEnd w:id="956"/>
      <w:bookmarkEnd w:id="958"/>
    </w:p>
    <w:p>
      <w:pPr>
        <w:pStyle w:val="Style35"/>
        <w:keepNext/>
        <w:keepLines/>
        <w:widowControl w:val="0"/>
        <w:numPr>
          <w:ilvl w:val="0"/>
          <w:numId w:val="31"/>
        </w:numPr>
        <w:shd w:val="clear" w:color="auto" w:fill="auto"/>
        <w:tabs>
          <w:tab w:pos="566" w:val="left"/>
        </w:tabs>
        <w:bidi w:val="0"/>
        <w:spacing w:before="0" w:after="280" w:line="240" w:lineRule="auto"/>
        <w:ind w:left="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重要会计政策变更</w:t>
      </w:r>
      <w:bookmarkEnd w:id="955"/>
      <w:bookmarkEnd w:id="956"/>
      <w:bookmarkEnd w:id="960"/>
    </w:p>
    <w:p>
      <w:pPr>
        <w:pStyle w:val="Style31"/>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numPr>
          <w:ilvl w:val="0"/>
          <w:numId w:val="31"/>
        </w:numPr>
        <w:shd w:val="clear" w:color="auto" w:fill="auto"/>
        <w:tabs>
          <w:tab w:pos="566"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重要会计估计变更</w:t>
      </w:r>
      <w:bookmarkEnd w:id="961"/>
      <w:bookmarkEnd w:id="962"/>
      <w:bookmarkEnd w:id="964"/>
    </w:p>
    <w:p>
      <w:pPr>
        <w:pStyle w:val="Style31"/>
        <w:keepNext w:val="0"/>
        <w:keepLines w:val="0"/>
        <w:widowControl w:val="0"/>
        <w:shd w:val="clear" w:color="auto" w:fill="auto"/>
        <w:bidi w:val="0"/>
        <w:spacing w:before="0" w:after="28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965"/>
      <w:bookmarkEnd w:id="966"/>
      <w:bookmarkEnd w:id="968"/>
    </w:p>
    <w:p>
      <w:pPr>
        <w:pStyle w:val="Style27"/>
        <w:keepNext/>
        <w:keepLines/>
        <w:widowControl w:val="0"/>
        <w:shd w:val="clear" w:color="auto" w:fill="auto"/>
        <w:bidi w:val="0"/>
        <w:spacing w:before="0" w:after="300" w:line="240" w:lineRule="auto"/>
        <w:ind w:left="0" w:right="0" w:firstLine="0"/>
        <w:jc w:val="both"/>
      </w:pPr>
      <w:bookmarkStart w:id="969" w:name="bookmark969"/>
      <w:bookmarkStart w:id="970" w:name="bookmark970"/>
      <w:bookmarkStart w:id="971" w:name="bookmark971"/>
      <w:bookmarkStart w:id="972" w:name="bookmark972"/>
      <w:r>
        <w:rPr>
          <w:color w:val="000000"/>
          <w:spacing w:val="0"/>
          <w:w w:val="100"/>
          <w:position w:val="0"/>
          <w:sz w:val="24"/>
          <w:szCs w:val="24"/>
        </w:rPr>
        <w:t>六</w:t>
      </w:r>
      <w:bookmarkEnd w:id="971"/>
      <w:r>
        <w:rPr>
          <w:color w:val="000000"/>
          <w:spacing w:val="0"/>
          <w:w w:val="100"/>
          <w:position w:val="0"/>
          <w:sz w:val="24"/>
          <w:szCs w:val="24"/>
        </w:rPr>
        <w:t>、税项</w:t>
      </w:r>
      <w:bookmarkEnd w:id="969"/>
      <w:bookmarkEnd w:id="970"/>
      <w:bookmarkEnd w:id="972"/>
    </w:p>
    <w:p>
      <w:pPr>
        <w:pStyle w:val="Style35"/>
        <w:keepNext/>
        <w:keepLines/>
        <w:widowControl w:val="0"/>
        <w:shd w:val="clear" w:color="auto" w:fill="auto"/>
        <w:bidi w:val="0"/>
        <w:spacing w:before="0" w:after="30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color w:val="000000"/>
          <w:spacing w:val="0"/>
          <w:w w:val="100"/>
          <w:position w:val="0"/>
        </w:rPr>
        <w:t>、主要税种及税率</w:t>
      </w:r>
      <w:bookmarkEnd w:id="973"/>
      <w:bookmarkEnd w:id="974"/>
      <w:bookmarkEnd w:id="976"/>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销售货物或服务过程中产生的增值额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12.50%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哈尔滨博思伟业科技发展有限公司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福州兴博新中大软件有限公司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北京博思兴华软件有限公司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福州博思兴创信息科技有限公司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北京博思致新互联网科技有限责任公司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北京支点国际资讯投资有限公司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color w:val="000000"/>
          <w:spacing w:val="0"/>
          <w:w w:val="100"/>
          <w:position w:val="0"/>
        </w:rPr>
        <w:t>、税收优惠</w:t>
      </w:r>
      <w:bookmarkEnd w:id="977"/>
      <w:bookmarkEnd w:id="978"/>
      <w:bookmarkEnd w:id="980"/>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根据《中华人民共和国企业所得税法》及《中华人民共和国企业所得税法实施条例》的规定，对国家需要重点扶持的高 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%的税率征收企业所得税。母公司福建博思软件股份有限公司于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月通过高新复审，证书编号为 </w:t>
      </w:r>
      <w:r>
        <w:rPr>
          <w:rFonts w:ascii="Times New Roman" w:eastAsia="Times New Roman" w:hAnsi="Times New Roman" w:cs="Times New Roman"/>
          <w:color w:val="000000"/>
          <w:spacing w:val="0"/>
          <w:w w:val="100"/>
          <w:position w:val="0"/>
        </w:rPr>
        <w:t>GR201535000034</w:t>
      </w:r>
      <w:r>
        <w:rPr>
          <w:color w:val="000000"/>
          <w:spacing w:val="0"/>
          <w:w w:val="100"/>
          <w:position w:val="0"/>
        </w:rPr>
        <w:t>；</w:t>
      </w:r>
      <w:r>
        <w:rPr>
          <w:color w:val="000000"/>
          <w:spacing w:val="0"/>
          <w:w w:val="100"/>
          <w:position w:val="0"/>
        </w:rPr>
        <w:t>子公司福建华兴科技有限责任公司于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月通过高新复审，证书编号为</w:t>
      </w:r>
      <w:r>
        <w:rPr>
          <w:rFonts w:ascii="Times New Roman" w:eastAsia="Times New Roman" w:hAnsi="Times New Roman" w:cs="Times New Roman"/>
          <w:color w:val="000000"/>
          <w:spacing w:val="0"/>
          <w:w w:val="100"/>
          <w:position w:val="0"/>
        </w:rPr>
        <w:t>GR201435000078</w:t>
      </w:r>
      <w:r>
        <w:rPr>
          <w:color w:val="000000"/>
          <w:spacing w:val="0"/>
          <w:w w:val="100"/>
          <w:position w:val="0"/>
        </w:rPr>
        <w:t>；</w:t>
      </w:r>
      <w:r>
        <w:rPr>
          <w:color w:val="000000"/>
          <w:spacing w:val="0"/>
          <w:w w:val="100"/>
          <w:position w:val="0"/>
        </w:rPr>
        <w:t>子公司哈 尔滨博思伟业科技发展有限公司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高新技术企业</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GR201523000138</w:t>
      </w:r>
      <w:r>
        <w:rPr>
          <w:color w:val="000000"/>
          <w:spacing w:val="0"/>
          <w:w w:val="100"/>
          <w:position w:val="0"/>
        </w:rPr>
        <w:t>；</w:t>
      </w:r>
      <w:r>
        <w:rPr>
          <w:color w:val="000000"/>
          <w:spacing w:val="0"/>
          <w:w w:val="100"/>
          <w:position w:val="0"/>
        </w:rPr>
        <w:t>有效期三年。</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根据财政部《国家税务总局关于进一步鼓励软件产业和集成电路产业发展企业所得税政策的通知》（财税〔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27 </w:t>
      </w:r>
      <w:r>
        <w:rPr>
          <w:color w:val="000000"/>
          <w:spacing w:val="0"/>
          <w:w w:val="100"/>
          <w:position w:val="0"/>
        </w:rPr>
        <w:t>号），子公司福州兴博新中大软件有限公司在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日通过软件企业认证，经福州市鼓楼区地方税务局受理备案，可 享受新设软件企业税收优惠政策。福州兴博</w:t>
      </w:r>
      <w:r>
        <w:rPr>
          <w:rFonts w:ascii="Times New Roman" w:eastAsia="Times New Roman" w:hAnsi="Times New Roman" w:cs="Times New Roman"/>
          <w:color w:val="000000"/>
          <w:spacing w:val="0"/>
          <w:w w:val="100"/>
          <w:position w:val="0"/>
        </w:rPr>
        <w:t>2013-2014</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2015-2017</w:t>
      </w:r>
      <w:r>
        <w:rPr>
          <w:color w:val="000000"/>
          <w:spacing w:val="0"/>
          <w:w w:val="100"/>
          <w:position w:val="0"/>
        </w:rPr>
        <w:t>年减半按</w:t>
      </w:r>
      <w:r>
        <w:rPr>
          <w:rFonts w:ascii="Times New Roman" w:eastAsia="Times New Roman" w:hAnsi="Times New Roman" w:cs="Times New Roman"/>
          <w:color w:val="000000"/>
          <w:spacing w:val="0"/>
          <w:w w:val="100"/>
          <w:position w:val="0"/>
        </w:rPr>
        <w:t>12.50%</w:t>
      </w:r>
      <w:r>
        <w:rPr>
          <w:color w:val="000000"/>
          <w:spacing w:val="0"/>
          <w:w w:val="100"/>
          <w:position w:val="0"/>
        </w:rPr>
        <w:t>征收所得税。</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根据财政部《关于软件产品增值税政策的通知》财税〔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号文的规定，增值税一般纳税人销售其自行开发生产 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31"/>
        <w:keepNext w:val="0"/>
        <w:keepLines w:val="0"/>
        <w:widowControl w:val="0"/>
        <w:shd w:val="clear" w:color="auto" w:fill="auto"/>
        <w:bidi w:val="0"/>
        <w:spacing w:before="0" w:after="300" w:line="310" w:lineRule="exact"/>
        <w:ind w:left="0" w:right="0" w:firstLine="0"/>
        <w:jc w:val="both"/>
      </w:pPr>
      <w:r>
        <w:rPr>
          <w:color w:val="333333"/>
          <w:spacing w:val="0"/>
          <w:w w:val="100"/>
          <w:position w:val="0"/>
        </w:rPr>
        <w:t>根据《中华人民共和国企业所得税法》及其实施条例、《财政部国家税务总局关于进一步扩大小型微利企业所得税优惠政 策范围的通知》（财税〔</w:t>
      </w:r>
      <w:r>
        <w:rPr>
          <w:rFonts w:ascii="Times New Roman" w:eastAsia="Times New Roman" w:hAnsi="Times New Roman" w:cs="Times New Roman"/>
          <w:color w:val="333333"/>
          <w:spacing w:val="0"/>
          <w:w w:val="100"/>
          <w:position w:val="0"/>
        </w:rPr>
        <w:t>2015</w:t>
      </w:r>
      <w:r>
        <w:rPr>
          <w:color w:val="333333"/>
          <w:spacing w:val="0"/>
          <w:w w:val="100"/>
          <w:position w:val="0"/>
        </w:rPr>
        <w:t>〕</w:t>
      </w:r>
      <w:r>
        <w:rPr>
          <w:rFonts w:ascii="Times New Roman" w:eastAsia="Times New Roman" w:hAnsi="Times New Roman" w:cs="Times New Roman"/>
          <w:color w:val="333333"/>
          <w:spacing w:val="0"/>
          <w:w w:val="100"/>
          <w:position w:val="0"/>
        </w:rPr>
        <w:t>99</w:t>
      </w:r>
      <w:r>
        <w:rPr>
          <w:color w:val="333333"/>
          <w:spacing w:val="0"/>
          <w:w w:val="100"/>
          <w:position w:val="0"/>
        </w:rPr>
        <w:t>号）等规定，符合规定条件的小型微利企业，无论采取查账征收还是核定征收方式，均可 以享受财税〔</w:t>
      </w:r>
      <w:r>
        <w:rPr>
          <w:rFonts w:ascii="Times New Roman" w:eastAsia="Times New Roman" w:hAnsi="Times New Roman" w:cs="Times New Roman"/>
          <w:color w:val="333333"/>
          <w:spacing w:val="0"/>
          <w:w w:val="100"/>
          <w:position w:val="0"/>
        </w:rPr>
        <w:t>2015</w:t>
      </w:r>
      <w:r>
        <w:rPr>
          <w:color w:val="333333"/>
          <w:spacing w:val="0"/>
          <w:w w:val="100"/>
          <w:position w:val="0"/>
        </w:rPr>
        <w:t>〕</w:t>
      </w:r>
      <w:r>
        <w:rPr>
          <w:rFonts w:ascii="Times New Roman" w:eastAsia="Times New Roman" w:hAnsi="Times New Roman" w:cs="Times New Roman"/>
          <w:color w:val="333333"/>
          <w:spacing w:val="0"/>
          <w:w w:val="100"/>
          <w:position w:val="0"/>
        </w:rPr>
        <w:t>99</w:t>
      </w:r>
      <w:r>
        <w:rPr>
          <w:color w:val="333333"/>
          <w:spacing w:val="0"/>
          <w:w w:val="100"/>
          <w:position w:val="0"/>
        </w:rPr>
        <w:t>号文件规定的小型微利企业所得税优惠政策，即减半征税政策。</w:t>
      </w:r>
    </w:p>
    <w:p>
      <w:pPr>
        <w:pStyle w:val="Style35"/>
        <w:keepNext/>
        <w:keepLines/>
        <w:widowControl w:val="0"/>
        <w:shd w:val="clear" w:color="auto" w:fill="auto"/>
        <w:bidi w:val="0"/>
        <w:spacing w:before="0" w:after="34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color w:val="000000"/>
          <w:spacing w:val="0"/>
          <w:w w:val="100"/>
          <w:position w:val="0"/>
        </w:rPr>
        <w:t>、其他</w:t>
      </w:r>
      <w:bookmarkEnd w:id="981"/>
      <w:bookmarkEnd w:id="982"/>
      <w:bookmarkEnd w:id="984"/>
    </w:p>
    <w:p>
      <w:pPr>
        <w:pStyle w:val="Style27"/>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sz w:val="24"/>
          <w:szCs w:val="24"/>
        </w:rPr>
        <w:t>七</w:t>
      </w:r>
      <w:bookmarkEnd w:id="987"/>
      <w:r>
        <w:rPr>
          <w:color w:val="000000"/>
          <w:spacing w:val="0"/>
          <w:w w:val="100"/>
          <w:position w:val="0"/>
          <w:sz w:val="24"/>
          <w:szCs w:val="24"/>
        </w:rPr>
        <w:t>、合并财务报表项目注释</w:t>
      </w:r>
      <w:bookmarkEnd w:id="985"/>
      <w:bookmarkEnd w:id="986"/>
      <w:bookmarkEnd w:id="988"/>
    </w:p>
    <w:p>
      <w:pPr>
        <w:pStyle w:val="Style35"/>
        <w:keepNext/>
        <w:keepLines/>
        <w:widowControl w:val="0"/>
        <w:shd w:val="clear" w:color="auto" w:fill="auto"/>
        <w:bidi w:val="0"/>
        <w:spacing w:before="0" w:after="34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color w:val="000000"/>
          <w:spacing w:val="0"/>
          <w:w w:val="100"/>
          <w:position w:val="0"/>
        </w:rPr>
        <w:t>、货币资金</w:t>
      </w:r>
      <w:bookmarkEnd w:id="989"/>
      <w:bookmarkEnd w:id="990"/>
      <w:bookmarkEnd w:id="9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202,612.67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202,726.16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259,224,393.37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87,898,525.63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207,860.00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259,634,866.04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89,773,751.79</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其他货币资金期末数中因办理保函而受限的金额</w:t>
      </w:r>
      <w:r>
        <w:rPr>
          <w:rFonts w:ascii="Times New Roman" w:eastAsia="Times New Roman" w:hAnsi="Times New Roman" w:cs="Times New Roman"/>
          <w:color w:val="000000"/>
          <w:spacing w:val="0"/>
          <w:w w:val="100"/>
          <w:position w:val="0"/>
        </w:rPr>
        <w:t>207,860.00</w:t>
      </w:r>
      <w:r>
        <w:rPr>
          <w:color w:val="000000"/>
          <w:spacing w:val="0"/>
          <w:w w:val="100"/>
          <w:position w:val="0"/>
        </w:rPr>
        <w:t>元。除此之外，公司无其他因抵押、质押或冻结等对使用有限制、 存放在境外、有潜在回收风险的款项。</w:t>
      </w:r>
    </w:p>
    <w:p>
      <w:pPr>
        <w:pStyle w:val="Style35"/>
        <w:keepNext/>
        <w:keepLines/>
        <w:widowControl w:val="0"/>
        <w:shd w:val="clear" w:color="auto" w:fill="auto"/>
        <w:bidi w:val="0"/>
        <w:spacing w:before="0" w:after="2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color w:val="000000"/>
          <w:spacing w:val="0"/>
          <w:w w:val="100"/>
          <w:position w:val="0"/>
        </w:rPr>
        <w:t>、以公允价值计量且其变动计入当期损益的金融资产</w:t>
      </w:r>
      <w:bookmarkEnd w:id="993"/>
      <w:bookmarkEnd w:id="994"/>
      <w:bookmarkEnd w:id="996"/>
    </w:p>
    <w:p>
      <w:pPr>
        <w:pStyle w:val="Style31"/>
        <w:keepNext w:val="0"/>
        <w:keepLines w:val="0"/>
        <w:widowControl w:val="0"/>
        <w:shd w:val="clear" w:color="auto" w:fill="auto"/>
        <w:bidi w:val="0"/>
        <w:spacing w:before="0" w:after="80" w:line="322" w:lineRule="exact"/>
        <w:ind w:left="88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tabs>
          <w:tab w:pos="378" w:val="left"/>
        </w:tabs>
        <w:bidi w:val="0"/>
        <w:spacing w:before="0" w:after="34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color w:val="000000"/>
          <w:spacing w:val="0"/>
          <w:w w:val="100"/>
          <w:position w:val="0"/>
        </w:rPr>
        <w:t>、</w:t>
        <w:tab/>
        <w:t>衍生金融资产</w:t>
      </w:r>
      <w:bookmarkEnd w:id="1000"/>
      <w:bookmarkEnd w:id="997"/>
      <w:bookmarkEnd w:id="998"/>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4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4</w:t>
      </w:r>
      <w:bookmarkEnd w:id="1003"/>
      <w:r>
        <w:rPr>
          <w:color w:val="000000"/>
          <w:spacing w:val="0"/>
          <w:w w:val="100"/>
          <w:position w:val="0"/>
        </w:rPr>
        <w:t>、</w:t>
        <w:tab/>
        <w:t>应收票据</w:t>
      </w:r>
      <w:bookmarkEnd w:id="1001"/>
      <w:bookmarkEnd w:id="1002"/>
      <w:bookmarkEnd w:id="1004"/>
    </w:p>
    <w:p>
      <w:pPr>
        <w:pStyle w:val="Style35"/>
        <w:keepNext/>
        <w:keepLines/>
        <w:widowControl w:val="0"/>
        <w:numPr>
          <w:ilvl w:val="0"/>
          <w:numId w:val="33"/>
        </w:numPr>
        <w:shd w:val="clear" w:color="auto" w:fill="auto"/>
        <w:bidi w:val="0"/>
        <w:spacing w:before="0" w:after="380" w:line="240" w:lineRule="auto"/>
        <w:ind w:left="0" w:right="0" w:firstLine="0"/>
        <w:jc w:val="both"/>
      </w:pPr>
      <w:bookmarkStart w:id="1001" w:name="bookmark1001"/>
      <w:bookmarkStart w:id="1002" w:name="bookmark1002"/>
      <w:bookmarkStart w:id="1005" w:name="bookmark1005"/>
      <w:bookmarkStart w:id="1006" w:name="bookmark1006"/>
      <w:bookmarkEnd w:id="1005"/>
      <w:r>
        <w:rPr>
          <w:color w:val="000000"/>
          <w:spacing w:val="0"/>
          <w:w w:val="100"/>
          <w:position w:val="0"/>
        </w:rPr>
        <w:t>应收票据分类列示</w:t>
      </w:r>
      <w:bookmarkEnd w:id="1001"/>
      <w:bookmarkEnd w:id="1002"/>
      <w:bookmarkEnd w:id="1006"/>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35"/>
        <w:keepNext/>
        <w:keepLines/>
        <w:widowControl w:val="0"/>
        <w:numPr>
          <w:ilvl w:val="0"/>
          <w:numId w:val="33"/>
        </w:numPr>
        <w:shd w:val="clear" w:color="auto" w:fill="auto"/>
        <w:bidi w:val="0"/>
        <w:spacing w:before="0" w:after="380" w:line="240" w:lineRule="auto"/>
        <w:ind w:left="0" w:right="0" w:firstLine="14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期末公司已质押的应收票据</w:t>
      </w:r>
      <w:bookmarkEnd w:id="1007"/>
      <w:bookmarkEnd w:id="1008"/>
      <w:bookmarkEnd w:id="1010"/>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5"/>
        <w:keepNext/>
        <w:keepLines/>
        <w:widowControl w:val="0"/>
        <w:numPr>
          <w:ilvl w:val="0"/>
          <w:numId w:val="33"/>
        </w:numPr>
        <w:shd w:val="clear" w:color="auto" w:fill="auto"/>
        <w:bidi w:val="0"/>
        <w:spacing w:before="0" w:after="380" w:line="240" w:lineRule="auto"/>
        <w:ind w:left="0" w:right="0" w:firstLine="14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期末公司已背书或贴现且在资产负债表日尚未到期的应收票据</w:t>
      </w:r>
      <w:bookmarkEnd w:id="1011"/>
      <w:bookmarkEnd w:id="1012"/>
      <w:bookmarkEnd w:id="1014"/>
    </w:p>
    <w:p>
      <w:pPr>
        <w:pStyle w:val="Style31"/>
        <w:keepNext w:val="0"/>
        <w:keepLines w:val="0"/>
        <w:widowControl w:val="0"/>
        <w:shd w:val="clear" w:color="auto" w:fill="auto"/>
        <w:bidi w:val="0"/>
        <w:spacing w:before="0" w:after="340" w:line="240" w:lineRule="auto"/>
        <w:ind w:left="88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299" w:line="1" w:lineRule="exact"/>
      </w:pPr>
    </w:p>
    <w:p>
      <w:pPr>
        <w:pStyle w:val="Style35"/>
        <w:keepNext/>
        <w:keepLines/>
        <w:widowControl w:val="0"/>
        <w:numPr>
          <w:ilvl w:val="0"/>
          <w:numId w:val="33"/>
        </w:numPr>
        <w:shd w:val="clear" w:color="auto" w:fill="auto"/>
        <w:bidi w:val="0"/>
        <w:spacing w:before="0" w:line="240" w:lineRule="auto"/>
        <w:ind w:left="0" w:right="0" w:firstLine="14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期末公司因出票人未履约而将其转应收账款的票据</w:t>
      </w:r>
      <w:bookmarkEnd w:id="1015"/>
      <w:bookmarkEnd w:id="1016"/>
      <w:bookmarkEnd w:id="101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5</w:t>
      </w:r>
      <w:bookmarkEnd w:id="1021"/>
      <w:r>
        <w:rPr>
          <w:color w:val="000000"/>
          <w:spacing w:val="0"/>
          <w:w w:val="100"/>
          <w:position w:val="0"/>
        </w:rPr>
        <w:t>、应收账款</w:t>
      </w:r>
      <w:bookmarkEnd w:id="1019"/>
      <w:bookmarkEnd w:id="1020"/>
      <w:bookmarkEnd w:id="1022"/>
    </w:p>
    <w:p>
      <w:pPr>
        <w:pStyle w:val="Style35"/>
        <w:keepNext/>
        <w:keepLines/>
        <w:widowControl w:val="0"/>
        <w:numPr>
          <w:ilvl w:val="0"/>
          <w:numId w:val="35"/>
        </w:numPr>
        <w:shd w:val="clear" w:color="auto" w:fill="auto"/>
        <w:bidi w:val="0"/>
        <w:spacing w:before="0" w:line="240" w:lineRule="auto"/>
        <w:ind w:left="0" w:right="0" w:firstLine="0"/>
        <w:jc w:val="left"/>
      </w:pPr>
      <w:bookmarkStart w:id="1019" w:name="bookmark1019"/>
      <w:bookmarkStart w:id="1020" w:name="bookmark1020"/>
      <w:bookmarkStart w:id="1023" w:name="bookmark1023"/>
      <w:bookmarkStart w:id="1024" w:name="bookmark1024"/>
      <w:bookmarkEnd w:id="1023"/>
      <w:r>
        <w:rPr>
          <w:color w:val="000000"/>
          <w:spacing w:val="0"/>
          <w:w w:val="100"/>
          <w:position w:val="0"/>
        </w:rPr>
        <w:t>应收账款分类披露</w:t>
      </w:r>
      <w:bookmarkEnd w:id="1019"/>
      <w:bookmarkEnd w:id="1020"/>
      <w:bookmarkEnd w:id="10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55,981,1</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8,306,99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47,674,16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6,267,904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32,748,709.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55,981,1</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8,306,99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47,674,16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6,267,904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32,748,709.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43,288,708.39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2,164,435.42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5,454,355.65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1,363,588.91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4,918,243.70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2,459,121.85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2,319,850.00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2,319,850.00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55,981,157.74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8,306,996.18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jc w:val="left"/>
      </w:pPr>
      <w:r>
        <w:rPr>
          <w:color w:val="000000"/>
          <w:spacing w:val="0"/>
          <w:w w:val="100"/>
          <w:position w:val="0"/>
        </w:rPr>
        <w:t>本公司于资产负债表日，将单项金额超过期末余额的</w:t>
      </w:r>
      <w:r>
        <w:rPr>
          <w:rFonts w:ascii="Times New Roman" w:eastAsia="Times New Roman" w:hAnsi="Times New Roman" w:cs="Times New Roman"/>
          <w:color w:val="000000"/>
          <w:spacing w:val="0"/>
          <w:w w:val="100"/>
          <w:position w:val="0"/>
        </w:rPr>
        <w:t>10%</w:t>
      </w:r>
      <w:r>
        <w:rPr>
          <w:color w:val="000000"/>
          <w:spacing w:val="0"/>
          <w:w w:val="100"/>
          <w:position w:val="0"/>
        </w:rPr>
        <w:t>且单项金额超过</w:t>
      </w:r>
      <w:r>
        <w:rPr>
          <w:rFonts w:ascii="Times New Roman" w:eastAsia="Times New Roman" w:hAnsi="Times New Roman" w:cs="Times New Roman"/>
          <w:color w:val="000000"/>
          <w:spacing w:val="0"/>
          <w:w w:val="100"/>
          <w:position w:val="0"/>
        </w:rPr>
        <w:t>10 0</w:t>
      </w:r>
      <w:r>
        <w:rPr>
          <w:color w:val="000000"/>
          <w:spacing w:val="0"/>
          <w:w w:val="100"/>
          <w:position w:val="0"/>
        </w:rPr>
        <w:t>万元人民币的应收款项逐项进行减值测试,</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有客观证据表明其发生了减值的，根据其未来现金流量现值低于其账面价值的差额确认减值损失，计提坏账准备。</w:t>
      </w:r>
    </w:p>
    <w:p>
      <w:pPr>
        <w:pStyle w:val="Style31"/>
        <w:keepNext w:val="0"/>
        <w:keepLines w:val="0"/>
        <w:widowControl w:val="0"/>
        <w:shd w:val="clear" w:color="auto" w:fill="auto"/>
        <w:bidi w:val="0"/>
        <w:spacing w:before="0" w:after="100" w:line="240" w:lineRule="auto"/>
        <w:ind w:left="0" w:right="0"/>
        <w:jc w:val="left"/>
      </w:pPr>
      <w:r>
        <w:rPr>
          <w:color w:val="000000"/>
          <w:spacing w:val="0"/>
          <w:w w:val="100"/>
          <w:position w:val="0"/>
        </w:rPr>
        <w:t>单独测试未发生减值的应收款项，将其归入按账龄组合计提减值准备的应收款项计提坏账准备。</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本公司对单项金额不重大以及金额重大但单项测试未发生减值的应收款项，按具有类似风险组合特征的应收款项计提坏 账准备。</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26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5"/>
      <w:bookmarkEnd w:id="1026"/>
      <w:bookmarkEnd w:id="1028"/>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3,955,312.22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9"/>
      <w:bookmarkEnd w:id="1030"/>
      <w:bookmarkEnd w:id="10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1,916,220.88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应收账款核销说明：</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因债务人逾期三年未履行偿债义务，并且有确凿证据表明无法收回或收回的可能性不大的应收款项，应收账款核销已经第二 届董事会第十次会议审议通过。</w:t>
      </w:r>
    </w:p>
    <w:p>
      <w:pPr>
        <w:pStyle w:val="Style35"/>
        <w:keepNext/>
        <w:keepLines/>
        <w:widowControl w:val="0"/>
        <w:shd w:val="clear" w:color="auto" w:fill="auto"/>
        <w:bidi w:val="0"/>
        <w:spacing w:before="0" w:line="240" w:lineRule="auto"/>
        <w:ind w:left="0" w:right="0" w:firstLine="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33"/>
      <w:bookmarkEnd w:id="1034"/>
      <w:bookmarkEnd w:id="1036"/>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tbl>
      <w:tblPr>
        <w:tblOverlap w:val="never"/>
        <w:jc w:val="center"/>
        <w:tblLayout w:type="fixed"/>
      </w:tblPr>
      <w:tblGrid>
        <w:gridCol w:w="2765"/>
        <w:gridCol w:w="2318"/>
        <w:gridCol w:w="1838"/>
        <w:gridCol w:w="2280"/>
      </w:tblGrid>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占应收账款余额的比例</w:t>
            </w:r>
          </w:p>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坏账准备期末余额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江西省煤田地质局测绘大队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3,935,760.00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196,788.00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云南省财政厅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100,000.00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1,611,200.00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80,560.00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延平区农业局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1,401,518.90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70,075.95</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1,284,900.00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104,245.00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10,233,378.90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551,668.95</w:t>
            </w:r>
          </w:p>
        </w:tc>
      </w:tr>
    </w:tbl>
    <w:p>
      <w:pPr>
        <w:pStyle w:val="Style35"/>
        <w:keepNext/>
        <w:keepLines/>
        <w:widowControl w:val="0"/>
        <w:numPr>
          <w:ilvl w:val="0"/>
          <w:numId w:val="33"/>
        </w:numPr>
        <w:shd w:val="clear" w:color="auto" w:fill="auto"/>
        <w:tabs>
          <w:tab w:pos="488" w:val="left"/>
        </w:tabs>
        <w:bidi w:val="0"/>
        <w:spacing w:before="0" w:after="34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因金融资产转移而终止确认的应收账款</w:t>
      </w:r>
      <w:bookmarkEnd w:id="1037"/>
      <w:bookmarkEnd w:id="1038"/>
      <w:bookmarkEnd w:id="1040"/>
    </w:p>
    <w:p>
      <w:pPr>
        <w:pStyle w:val="Style35"/>
        <w:keepNext/>
        <w:keepLines/>
        <w:widowControl w:val="0"/>
        <w:numPr>
          <w:ilvl w:val="0"/>
          <w:numId w:val="33"/>
        </w:numPr>
        <w:shd w:val="clear" w:color="auto" w:fill="auto"/>
        <w:tabs>
          <w:tab w:pos="488" w:val="left"/>
        </w:tabs>
        <w:bidi w:val="0"/>
        <w:spacing w:before="0" w:after="260" w:line="240" w:lineRule="auto"/>
        <w:ind w:left="0" w:right="0" w:firstLine="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转移应收账款且继续涉入形成的资产、负债金额</w:t>
      </w:r>
      <w:bookmarkEnd w:id="1037"/>
      <w:bookmarkEnd w:id="1038"/>
      <w:bookmarkEnd w:id="1042"/>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报告期末，应收账款账面价值较去年同期增加，主要原因是公司营业收入增加，同时公司主营产品的客户主要为行政事业单 位，这些客户通常采取预算管理制度，一般下半年制定次年年度预算和投资计划，审批通常集中在次年的上半年，采购招标 则安排在次年年中或下半年，采购资金的支付也主要集中在第四季度及下一年第一季度。因此，公司每年上半年销售较少， 销售主要集中在下半年尤其是第四季度，公司销售呈现较明显的季节性分布,并由此使得公司营业收入在第四季度集中实现, 年末的应收账款余额较大。</w:t>
      </w:r>
    </w:p>
    <w:p>
      <w:pPr>
        <w:pStyle w:val="Style35"/>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6</w:t>
      </w:r>
      <w:bookmarkEnd w:id="1045"/>
      <w:r>
        <w:rPr>
          <w:color w:val="000000"/>
          <w:spacing w:val="0"/>
          <w:w w:val="100"/>
          <w:position w:val="0"/>
        </w:rPr>
        <w:t>、预付款项</w:t>
      </w:r>
      <w:bookmarkEnd w:id="1043"/>
      <w:bookmarkEnd w:id="1044"/>
      <w:bookmarkEnd w:id="1046"/>
    </w:p>
    <w:p>
      <w:pPr>
        <w:pStyle w:val="Style35"/>
        <w:keepNext/>
        <w:keepLines/>
        <w:widowControl w:val="0"/>
        <w:numPr>
          <w:ilvl w:val="0"/>
          <w:numId w:val="37"/>
        </w:numPr>
        <w:shd w:val="clear" w:color="auto" w:fill="auto"/>
        <w:bidi w:val="0"/>
        <w:spacing w:before="0" w:after="340" w:line="240" w:lineRule="auto"/>
        <w:ind w:left="0" w:right="0" w:firstLine="0"/>
        <w:jc w:val="left"/>
      </w:pPr>
      <w:bookmarkStart w:id="1043" w:name="bookmark1043"/>
      <w:bookmarkStart w:id="1044" w:name="bookmark1044"/>
      <w:bookmarkStart w:id="1047" w:name="bookmark1047"/>
      <w:bookmarkStart w:id="1048" w:name="bookmark1048"/>
      <w:bookmarkEnd w:id="1047"/>
      <w:r>
        <w:rPr>
          <w:color w:val="000000"/>
          <w:spacing w:val="0"/>
          <w:w w:val="100"/>
          <w:position w:val="0"/>
        </w:rPr>
        <w:t>预付款项按账龄列示</w:t>
      </w:r>
      <w:bookmarkEnd w:id="1043"/>
      <w:bookmarkEnd w:id="1044"/>
      <w:bookmarkEnd w:id="10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3,184,050.53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3,874,598.84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1,004,043.10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3,779,573.03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6,458,641.94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3422"/>
        <w:gridCol w:w="2002"/>
        <w:gridCol w:w="299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未及时结算的原因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因开发未完成项目未能结算</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杭州新中大软件股份有限公司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因开发未完成项目未能结算</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37"/>
        </w:numPr>
        <w:shd w:val="clear" w:color="auto" w:fill="auto"/>
        <w:bidi w:val="0"/>
        <w:spacing w:before="0" w:after="640" w:line="240" w:lineRule="auto"/>
        <w:ind w:left="0" w:right="0" w:firstLine="14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按预付对象归集的期末余额前五名的预付款情况</w:t>
      </w:r>
      <w:bookmarkEnd w:id="1049"/>
      <w:bookmarkEnd w:id="1050"/>
      <w:bookmarkEnd w:id="1052"/>
    </w:p>
    <w:tbl>
      <w:tblPr>
        <w:tblOverlap w:val="never"/>
        <w:jc w:val="left"/>
        <w:tblLayout w:type="fixed"/>
      </w:tblPr>
      <w:tblGrid>
        <w:gridCol w:w="3096"/>
        <w:gridCol w:w="3259"/>
        <w:gridCol w:w="2563"/>
      </w:tblGrid>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占预付账款合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福州同力科技开发有限公司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29.34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厦门新中大软件有限公司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583,000.00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15.43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南岗区衡山路</w:t>
            </w:r>
            <w:r>
              <w:rPr>
                <w:color w:val="000000"/>
                <w:spacing w:val="0"/>
                <w:w w:val="100"/>
                <w:position w:val="0"/>
                <w:sz w:val="20"/>
                <w:szCs w:val="20"/>
              </w:rPr>
              <w:t>36</w:t>
            </w:r>
            <w:r>
              <w:rPr>
                <w:color w:val="000000"/>
                <w:spacing w:val="0"/>
                <w:w w:val="100"/>
                <w:position w:val="0"/>
                <w:sz w:val="20"/>
                <w:szCs w:val="20"/>
              </w:rPr>
              <w:t>号陈忠鹏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367,200.00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9.72</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杭州新中大软件股份有限公司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323,950.00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8.57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中坤广场</w:t>
            </w:r>
            <w:r>
              <w:rPr>
                <w:color w:val="000000"/>
                <w:spacing w:val="0"/>
                <w:w w:val="100"/>
                <w:position w:val="0"/>
                <w:sz w:val="20"/>
                <w:szCs w:val="20"/>
              </w:rPr>
              <w:t>E</w:t>
            </w:r>
            <w:r>
              <w:rPr>
                <w:color w:val="000000"/>
                <w:spacing w:val="0"/>
                <w:w w:val="100"/>
                <w:position w:val="0"/>
                <w:sz w:val="20"/>
                <w:szCs w:val="20"/>
              </w:rPr>
              <w:t>座</w:t>
            </w:r>
            <w:r>
              <w:rPr>
                <w:color w:val="000000"/>
                <w:spacing w:val="0"/>
                <w:w w:val="100"/>
                <w:position w:val="0"/>
                <w:sz w:val="20"/>
                <w:szCs w:val="20"/>
              </w:rPr>
              <w:t xml:space="preserve">628 </w:t>
            </w:r>
            <w:r>
              <w:rPr>
                <w:color w:val="000000"/>
                <w:spacing w:val="0"/>
                <w:w w:val="100"/>
                <w:position w:val="0"/>
                <w:sz w:val="20"/>
                <w:szCs w:val="20"/>
              </w:rPr>
              <w:t>(付玉梅)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137,320.00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3.63</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2,520,220.00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66.68</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预付款项较上年减少的主要原因是中介费用等款项大部分已结算。</w:t>
      </w:r>
    </w:p>
    <w:p>
      <w:pPr>
        <w:pStyle w:val="Style35"/>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7</w:t>
      </w:r>
      <w:bookmarkEnd w:id="1055"/>
      <w:r>
        <w:rPr>
          <w:color w:val="000000"/>
          <w:spacing w:val="0"/>
          <w:w w:val="100"/>
          <w:position w:val="0"/>
        </w:rPr>
        <w:t>、应收利息</w:t>
      </w:r>
      <w:bookmarkEnd w:id="1053"/>
      <w:bookmarkEnd w:id="1054"/>
      <w:bookmarkEnd w:id="1056"/>
    </w:p>
    <w:p>
      <w:pPr>
        <w:pStyle w:val="Style35"/>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3"/>
      <w:bookmarkEnd w:id="1054"/>
      <w:bookmarkEnd w:id="10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6,744.22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6,744.22</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59"/>
      <w:bookmarkEnd w:id="1060"/>
      <w:bookmarkEnd w:id="1062"/>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29"/>
        <w:keepNext w:val="0"/>
        <w:keepLines w:val="0"/>
        <w:widowControl w:val="0"/>
        <w:shd w:val="clear" w:color="auto" w:fill="auto"/>
        <w:tabs>
          <w:tab w:pos="3562" w:val="left"/>
          <w:tab w:pos="6758" w:val="left"/>
        </w:tabs>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期末余额</w:t>
        <w:tab/>
        <w:t>期初余额</w:t>
      </w:r>
    </w:p>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3"/>
      <w:bookmarkEnd w:id="1064"/>
      <w:bookmarkEnd w:id="10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9</w:t>
      </w:r>
      <w:bookmarkEnd w:id="1069"/>
      <w:r>
        <w:rPr>
          <w:color w:val="000000"/>
          <w:spacing w:val="0"/>
          <w:w w:val="100"/>
          <w:position w:val="0"/>
        </w:rPr>
        <w:t>、其他应收款</w:t>
      </w:r>
      <w:bookmarkEnd w:id="1067"/>
      <w:bookmarkEnd w:id="1068"/>
      <w:bookmarkEnd w:id="1070"/>
    </w:p>
    <w:p>
      <w:pPr>
        <w:pStyle w:val="Style35"/>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67"/>
      <w:bookmarkEnd w:id="1068"/>
      <w:bookmarkEnd w:id="10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5,793,32</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1,218,47</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4,574,851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395,561.1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2,853,230.8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5,793,32</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1,218,47</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4,574,851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395,561.1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2,853,230.8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2,903,992.32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142,994.62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2,287,520.00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571,880.00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405,389.20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5,793,329.52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1,218,477.82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本公司于资产负债表日，将单项金额超过期末余额的</w:t>
      </w:r>
      <w:r>
        <w:rPr>
          <w:rFonts w:ascii="Times New Roman" w:eastAsia="Times New Roman" w:hAnsi="Times New Roman" w:cs="Times New Roman"/>
          <w:color w:val="000000"/>
          <w:spacing w:val="0"/>
          <w:w w:val="100"/>
          <w:position w:val="0"/>
        </w:rPr>
        <w:t>10%</w:t>
      </w:r>
      <w:r>
        <w:rPr>
          <w:color w:val="000000"/>
          <w:spacing w:val="0"/>
          <w:w w:val="100"/>
          <w:position w:val="0"/>
        </w:rPr>
        <w:t>且单项金额超过</w:t>
      </w:r>
      <w:r>
        <w:rPr>
          <w:rFonts w:ascii="Times New Roman" w:eastAsia="Times New Roman" w:hAnsi="Times New Roman" w:cs="Times New Roman"/>
          <w:color w:val="000000"/>
          <w:spacing w:val="0"/>
          <w:w w:val="100"/>
          <w:position w:val="0"/>
        </w:rPr>
        <w:t>10 0</w:t>
      </w:r>
      <w:r>
        <w:rPr>
          <w:color w:val="000000"/>
          <w:spacing w:val="0"/>
          <w:w w:val="100"/>
          <w:position w:val="0"/>
        </w:rPr>
        <w:t>万元人民币的应收款项逐项进行减值测试, 有客观证据表明其发生了减值的，根据其未来现金流量现值低于其账面价值的差额确认减值损失，计提坏账准备。</w:t>
      </w:r>
    </w:p>
    <w:p>
      <w:pPr>
        <w:pStyle w:val="Style3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单独测试未发生减值的应收款项，将其归入按账龄组合计提减值准备的应收款项计提坏账准备。</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本公司对单项金额不重大以及金额重大但单项测试未发生减值的应收款项,按具有类似风险组合特征的应收款项计提坏账准 备。</w:t>
      </w:r>
    </w:p>
    <w:p>
      <w:pPr>
        <w:pStyle w:val="Style31"/>
        <w:keepNext w:val="0"/>
        <w:keepLines w:val="0"/>
        <w:widowControl w:val="0"/>
        <w:shd w:val="clear" w:color="auto" w:fill="auto"/>
        <w:bidi w:val="0"/>
        <w:spacing w:before="0" w:after="120" w:line="322" w:lineRule="exact"/>
        <w:ind w:left="0" w:right="0" w:firstLine="0"/>
        <w:jc w:val="both"/>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both"/>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60" w:line="240" w:lineRule="auto"/>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3"/>
      <w:bookmarkEnd w:id="1074"/>
      <w:bookmarkEnd w:id="1076"/>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822,916.68</w:t>
      </w:r>
      <w:r>
        <w:rPr>
          <w:color w:val="000000"/>
          <w:spacing w:val="0"/>
          <w:w w:val="100"/>
          <w:position w:val="0"/>
        </w:rPr>
        <w:t>元；本期收回或转回坏账准备金额元。</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77"/>
      <w:bookmarkEnd w:id="1078"/>
      <w:bookmarkEnd w:id="108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25"/>
        </w:numPr>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其他应收款按款项性质分类情况</w:t>
      </w:r>
      <w:bookmarkEnd w:id="1081"/>
      <w:bookmarkEnd w:id="1082"/>
      <w:bookmarkEnd w:id="10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5,192,322.20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3,142,192.00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601,007.32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5,793,329.52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3,248,792.00</w:t>
            </w:r>
          </w:p>
        </w:tc>
      </w:tr>
    </w:tbl>
    <w:p>
      <w:pPr>
        <w:widowControl w:val="0"/>
        <w:spacing w:after="319" w:line="1" w:lineRule="exact"/>
      </w:pPr>
    </w:p>
    <w:p>
      <w:pPr>
        <w:pStyle w:val="Style35"/>
        <w:keepNext/>
        <w:keepLines/>
        <w:widowControl w:val="0"/>
        <w:numPr>
          <w:ilvl w:val="0"/>
          <w:numId w:val="25"/>
        </w:numPr>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按欠款方归集的期末余额前五名的其他应收款情况</w:t>
      </w:r>
      <w:bookmarkEnd w:id="1085"/>
      <w:bookmarkEnd w:id="1086"/>
      <w:bookmarkEnd w:id="10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江西省煤田地质局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测绘大队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1,627,060.00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81,353.00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南平市延平区会计 集中核算中心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重庆市财政局非税 收入征收管理中心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176,000.00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福州星球勘测设计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3,665,060.00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722,853.00</w:t>
            </w:r>
          </w:p>
        </w:tc>
      </w:tr>
    </w:tbl>
    <w:p>
      <w:pPr>
        <w:widowControl w:val="0"/>
        <w:spacing w:after="319" w:line="1" w:lineRule="exact"/>
      </w:pPr>
    </w:p>
    <w:p>
      <w:pPr>
        <w:pStyle w:val="Style35"/>
        <w:keepNext/>
        <w:keepLines/>
        <w:widowControl w:val="0"/>
        <w:numPr>
          <w:ilvl w:val="0"/>
          <w:numId w:val="25"/>
        </w:numPr>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涉及政府补助的应收款项</w:t>
      </w:r>
      <w:bookmarkEnd w:id="1089"/>
      <w:bookmarkEnd w:id="1090"/>
      <w:bookmarkEnd w:id="10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5"/>
        <w:keepNext/>
        <w:keepLines/>
        <w:widowControl w:val="0"/>
        <w:shd w:val="clear" w:color="auto" w:fill="auto"/>
        <w:tabs>
          <w:tab w:pos="488" w:val="left"/>
        </w:tabs>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93"/>
      <w:bookmarkEnd w:id="1094"/>
      <w:bookmarkEnd w:id="1096"/>
    </w:p>
    <w:p>
      <w:pPr>
        <w:pStyle w:val="Style35"/>
        <w:keepNext/>
        <w:keepLines/>
        <w:widowControl w:val="0"/>
        <w:shd w:val="clear" w:color="auto" w:fill="auto"/>
        <w:tabs>
          <w:tab w:pos="488" w:val="left"/>
        </w:tabs>
        <w:bidi w:val="0"/>
        <w:spacing w:before="0" w:line="240" w:lineRule="auto"/>
        <w:ind w:left="0" w:right="0" w:firstLine="0"/>
        <w:jc w:val="left"/>
      </w:pPr>
      <w:bookmarkStart w:id="1093" w:name="bookmark1093"/>
      <w:bookmarkStart w:id="1094" w:name="bookmark1094"/>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93"/>
      <w:bookmarkEnd w:id="1094"/>
      <w:bookmarkEnd w:id="10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其他应收款较上年增加主要原因是应收履约保证金增加所致。</w:t>
      </w:r>
    </w:p>
    <w:p>
      <w:pPr>
        <w:pStyle w:val="Style35"/>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99"/>
      <w:bookmarkEnd w:id="1100"/>
      <w:bookmarkEnd w:id="110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3"/>
      <w:bookmarkEnd w:id="1104"/>
      <w:bookmarkEnd w:id="11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5,812,635.08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5,812,635.08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7,837,271.70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8,543,740.77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1,059,002.70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1,059,002.70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1,442,997.11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736,528.04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7,079,537.78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7,079,537.78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9,280,268.81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9,280,268.81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19"/>
        <w:keepNext w:val="0"/>
        <w:keepLines w:val="0"/>
        <w:widowControl w:val="0"/>
        <w:shd w:val="clear" w:color="auto" w:fill="auto"/>
        <w:bidi w:val="0"/>
        <w:spacing w:before="0" w:after="22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9"/>
        <w:keepNext w:val="0"/>
        <w:keepLines w:val="0"/>
        <w:widowControl w:val="0"/>
        <w:shd w:val="clear" w:color="auto" w:fill="auto"/>
        <w:bidi w:val="0"/>
        <w:spacing w:before="0" w:after="22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19"/>
        <w:keepNext w:val="0"/>
        <w:keepLines w:val="0"/>
        <w:widowControl w:val="0"/>
        <w:shd w:val="clear" w:color="auto" w:fill="auto"/>
        <w:bidi w:val="0"/>
        <w:spacing w:before="0" w:after="460" w:line="240" w:lineRule="auto"/>
        <w:ind w:left="0" w:right="0" w:firstLine="0"/>
        <w:jc w:val="left"/>
        <w:rPr>
          <w:sz w:val="30"/>
          <w:szCs w:val="30"/>
        </w:rPr>
      </w:pPr>
      <w:r>
        <w:rPr>
          <w:b w:val="0"/>
          <w:bCs w:val="0"/>
          <w:color w:val="000000"/>
          <w:spacing w:val="0"/>
          <w:w w:val="100"/>
          <w:position w:val="0"/>
          <w:sz w:val="30"/>
          <w:szCs w:val="30"/>
          <w:vertAlign w:val="subscript"/>
        </w:rPr>
        <w:t>否</w:t>
      </w:r>
    </w:p>
    <w:p>
      <w:pPr>
        <w:pStyle w:val="Style35"/>
        <w:keepNext/>
        <w:keepLines/>
        <w:widowControl w:val="0"/>
        <w:shd w:val="clear" w:color="auto" w:fill="auto"/>
        <w:bidi w:val="0"/>
        <w:spacing w:before="0" w:after="40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7"/>
      <w:bookmarkEnd w:id="1108"/>
      <w:bookmarkEnd w:id="11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11"/>
      <w:bookmarkEnd w:id="1112"/>
      <w:bookmarkEnd w:id="1114"/>
    </w:p>
    <w:p>
      <w:pPr>
        <w:pStyle w:val="Style35"/>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5" w:name="bookmark1115"/>
      <w:bookmarkStart w:id="1116" w:name="bookmark1116"/>
      <w:r>
        <w:rPr>
          <w:rFonts w:ascii="Times New Roman" w:eastAsia="Times New Roman" w:hAnsi="Times New Roman" w:cs="Times New Roman"/>
          <w:color w:val="000000"/>
          <w:spacing w:val="0"/>
          <w:w w:val="100"/>
          <w:position w:val="0"/>
        </w:rPr>
        <w:t>（</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111"/>
      <w:bookmarkEnd w:id="1112"/>
      <w:bookmarkEnd w:id="11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17"/>
      <w:bookmarkEnd w:id="1118"/>
      <w:bookmarkEnd w:id="11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21"/>
      <w:bookmarkEnd w:id="1122"/>
      <w:bookmarkEnd w:id="11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25"/>
      <w:bookmarkEnd w:id="1126"/>
      <w:bookmarkEnd w:id="11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42,930.56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13,224.81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51,959.71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29"/>
      <w:bookmarkEnd w:id="1130"/>
      <w:bookmarkEnd w:id="1132"/>
    </w:p>
    <w:p>
      <w:pPr>
        <w:pStyle w:val="Style35"/>
        <w:keepNext/>
        <w:keepLines/>
        <w:widowControl w:val="0"/>
        <w:numPr>
          <w:ilvl w:val="0"/>
          <w:numId w:val="39"/>
        </w:numPr>
        <w:shd w:val="clear" w:color="auto" w:fill="auto"/>
        <w:bidi w:val="0"/>
        <w:spacing w:before="0" w:line="240" w:lineRule="auto"/>
        <w:ind w:left="0" w:right="0" w:firstLine="0"/>
        <w:jc w:val="left"/>
      </w:pPr>
      <w:bookmarkStart w:id="1129" w:name="bookmark1129"/>
      <w:bookmarkStart w:id="1130" w:name="bookmark1130"/>
      <w:bookmarkStart w:id="1133" w:name="bookmark1133"/>
      <w:bookmarkStart w:id="1134" w:name="bookmark1134"/>
      <w:bookmarkEnd w:id="1133"/>
      <w:r>
        <w:rPr>
          <w:color w:val="000000"/>
          <w:spacing w:val="0"/>
          <w:w w:val="100"/>
          <w:position w:val="0"/>
        </w:rPr>
        <w:t>可供出售金融资产情况</w:t>
      </w:r>
      <w:bookmarkEnd w:id="1129"/>
      <w:bookmarkEnd w:id="1130"/>
      <w:bookmarkEnd w:id="11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5"/>
        <w:keepNext/>
        <w:keepLines/>
        <w:widowControl w:val="0"/>
        <w:numPr>
          <w:ilvl w:val="0"/>
          <w:numId w:val="39"/>
        </w:numPr>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期末按公允价值计量的可供出售金融资产</w:t>
      </w:r>
      <w:bookmarkEnd w:id="1135"/>
      <w:bookmarkEnd w:id="1136"/>
      <w:bookmarkEnd w:id="11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5"/>
        <w:keepNext/>
        <w:keepLines/>
        <w:widowControl w:val="0"/>
        <w:numPr>
          <w:ilvl w:val="0"/>
          <w:numId w:val="39"/>
        </w:numPr>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期末按成本计量的可供出售金融资产</w:t>
      </w:r>
      <w:bookmarkEnd w:id="1139"/>
      <w:bookmarkEnd w:id="1140"/>
      <w:bookmarkEnd w:id="11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pStyle w:val="Style35"/>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w:t>
      </w:r>
      <w:bookmarkEnd w:id="1145"/>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43"/>
      <w:bookmarkEnd w:id="1144"/>
      <w:bookmarkEnd w:id="11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47"/>
      <w:bookmarkEnd w:id="1148"/>
      <w:bookmarkEnd w:id="115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51"/>
      <w:bookmarkEnd w:id="1152"/>
      <w:bookmarkEnd w:id="1154"/>
    </w:p>
    <w:p>
      <w:pPr>
        <w:pStyle w:val="Style35"/>
        <w:keepNext/>
        <w:keepLines/>
        <w:widowControl w:val="0"/>
        <w:shd w:val="clear" w:color="auto" w:fill="auto"/>
        <w:bidi w:val="0"/>
        <w:spacing w:before="0" w:after="380" w:line="240" w:lineRule="auto"/>
        <w:ind w:left="0" w:right="0" w:firstLine="0"/>
        <w:jc w:val="both"/>
      </w:pPr>
      <w:bookmarkStart w:id="1151" w:name="bookmark1151"/>
      <w:bookmarkStart w:id="1152" w:name="bookmark1152"/>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51"/>
      <w:bookmarkEnd w:id="1152"/>
      <w:bookmarkEnd w:id="11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57"/>
      <w:bookmarkEnd w:id="1158"/>
      <w:bookmarkEnd w:id="11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61"/>
      <w:bookmarkEnd w:id="1162"/>
      <w:bookmarkEnd w:id="116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65"/>
      <w:bookmarkEnd w:id="1166"/>
      <w:bookmarkEnd w:id="1168"/>
    </w:p>
    <w:p>
      <w:pPr>
        <w:pStyle w:val="Style35"/>
        <w:keepNext/>
        <w:keepLines/>
        <w:widowControl w:val="0"/>
        <w:shd w:val="clear" w:color="auto" w:fill="auto"/>
        <w:bidi w:val="0"/>
        <w:spacing w:before="0" w:after="380" w:line="240" w:lineRule="auto"/>
        <w:ind w:left="0" w:right="0" w:firstLine="0"/>
        <w:jc w:val="both"/>
      </w:pPr>
      <w:bookmarkStart w:id="1165" w:name="bookmark1165"/>
      <w:bookmarkStart w:id="1166" w:name="bookmark1166"/>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65"/>
      <w:bookmarkEnd w:id="1166"/>
      <w:bookmarkEnd w:id="11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35"/>
        <w:keepNext/>
        <w:keepLines/>
        <w:widowControl w:val="0"/>
        <w:shd w:val="clear" w:color="auto" w:fill="auto"/>
        <w:tabs>
          <w:tab w:pos="488" w:val="left"/>
        </w:tabs>
        <w:bidi w:val="0"/>
        <w:spacing w:before="0" w:after="34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71"/>
      <w:bookmarkEnd w:id="1172"/>
      <w:bookmarkEnd w:id="1174"/>
    </w:p>
    <w:p>
      <w:pPr>
        <w:pStyle w:val="Style35"/>
        <w:keepNext/>
        <w:keepLines/>
        <w:widowControl w:val="0"/>
        <w:shd w:val="clear" w:color="auto" w:fill="auto"/>
        <w:tabs>
          <w:tab w:pos="488" w:val="left"/>
        </w:tabs>
        <w:bidi w:val="0"/>
        <w:spacing w:before="0" w:after="380" w:line="240" w:lineRule="auto"/>
        <w:ind w:left="0" w:right="0" w:firstLine="0"/>
        <w:jc w:val="left"/>
      </w:pPr>
      <w:bookmarkStart w:id="1171" w:name="bookmark1171"/>
      <w:bookmarkStart w:id="1172" w:name="bookmark1172"/>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71"/>
      <w:bookmarkEnd w:id="1172"/>
      <w:bookmarkEnd w:id="1176"/>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77"/>
      <w:bookmarkEnd w:id="1178"/>
      <w:bookmarkEnd w:id="1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福建博宇 信息科技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1,918,262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288,270.8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2,206,533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1,918,262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288,270.8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2,206,533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1,918,262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288,270.8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2,206,533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81"/>
      <w:bookmarkEnd w:id="1182"/>
      <w:bookmarkEnd w:id="1184"/>
    </w:p>
    <w:p>
      <w:pPr>
        <w:pStyle w:val="Style35"/>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81"/>
      <w:bookmarkEnd w:id="1182"/>
      <w:bookmarkEnd w:id="1186"/>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8,118,295.11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8,118,295.11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4,951,355.22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4,951,355.22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4,951,355.22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4,951,355.22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13,069,650.33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13,069,650.33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214,232.95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214,232.95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514,695.06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514,695.06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514,695.06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514,695.06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728,928.01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728,928.01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12,340,722.32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12,340,722.32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7,904,062.16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7,904,062.16</w:t>
            </w:r>
          </w:p>
        </w:tc>
      </w:tr>
    </w:tbl>
    <w:p>
      <w:pPr>
        <w:widowControl w:val="0"/>
        <w:spacing w:after="299" w:line="1" w:lineRule="exact"/>
      </w:pPr>
    </w:p>
    <w:p>
      <w:pPr>
        <w:pStyle w:val="Style35"/>
        <w:keepNext/>
        <w:keepLines/>
        <w:widowControl w:val="0"/>
        <w:shd w:val="clear" w:color="auto" w:fill="auto"/>
        <w:tabs>
          <w:tab w:pos="488"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7"/>
      <w:bookmarkEnd w:id="1188"/>
      <w:bookmarkEnd w:id="119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91"/>
      <w:bookmarkEnd w:id="1192"/>
      <w:bookmarkEnd w:id="11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研发大楼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12,340,722.32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申请办理中</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95"/>
      <w:bookmarkEnd w:id="1196"/>
      <w:bookmarkEnd w:id="1198"/>
    </w:p>
    <w:p>
      <w:pPr>
        <w:pStyle w:val="Style35"/>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5"/>
      <w:bookmarkEnd w:id="1196"/>
      <w:bookmarkEnd w:id="12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116,541,760.83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4,499,144.74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4,382,916.67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2,379,236.06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127,803,058.30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8,086,096.55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2,837,965.54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1,016,950.43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646,931.21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12,587,943.73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2,386,724.15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1,016,950.43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535,117.21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3,938,791.79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8,086,096.55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8,086,096.55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451,241.39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111,814.00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563,055.39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4,059,147.56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4,125,147.56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4,059,147.56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4,125,147.56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120,568,709.82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7,337,110.28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5,333,867.10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3,026,167.27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136,265,854.47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3,072,620.31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3,053,351.90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2,918,535.50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437,855.35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9,482,363.06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3,648,787.40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1,035,800.17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603,588.02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564,780.85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5,852,956.44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3,648,787.40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729,474.55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603,588.02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479,049.02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5,460,898.99</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306,325.62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392,057.45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6,721,407.71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4,089,152.07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3,459,423.52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1,002,636.20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15,272,619.50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113,847,302.11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3,247,958.21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1,874,443.58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2,023,531.07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120,993,234.97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113,469,140.52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1,445,792.84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1,464,381.17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1,941,380.71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118,320,695.24</w:t>
            </w:r>
          </w:p>
        </w:tc>
      </w:tr>
    </w:tbl>
    <w:p>
      <w:pPr>
        <w:widowControl w:val="0"/>
        <w:spacing w:after="319" w:line="1" w:lineRule="exact"/>
      </w:pPr>
    </w:p>
    <w:p>
      <w:pPr>
        <w:pStyle w:val="Style35"/>
        <w:keepNext/>
        <w:keepLines/>
        <w:widowControl w:val="0"/>
        <w:numPr>
          <w:ilvl w:val="0"/>
          <w:numId w:val="41"/>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暂时闲置的固定资产情况</w:t>
      </w:r>
      <w:bookmarkEnd w:id="1201"/>
      <w:bookmarkEnd w:id="1202"/>
      <w:bookmarkEnd w:id="12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bl>
    <w:p>
      <w:pPr>
        <w:widowControl w:val="0"/>
        <w:spacing w:after="319" w:line="1" w:lineRule="exact"/>
      </w:pPr>
    </w:p>
    <w:p>
      <w:pPr>
        <w:pStyle w:val="Style35"/>
        <w:keepNext/>
        <w:keepLines/>
        <w:widowControl w:val="0"/>
        <w:numPr>
          <w:ilvl w:val="0"/>
          <w:numId w:val="41"/>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通过融资租赁租入的固定资产情况</w:t>
      </w:r>
      <w:bookmarkEnd w:id="1205"/>
      <w:bookmarkEnd w:id="1206"/>
      <w:bookmarkEnd w:id="12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numPr>
          <w:ilvl w:val="0"/>
          <w:numId w:val="41"/>
        </w:numPr>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通过经营租赁租出的固定资产</w:t>
      </w:r>
      <w:bookmarkEnd w:id="1209"/>
      <w:bookmarkEnd w:id="1210"/>
      <w:bookmarkEnd w:id="12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numPr>
          <w:ilvl w:val="0"/>
          <w:numId w:val="41"/>
        </w:numPr>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未办妥产权证书的固定资产情况</w:t>
      </w:r>
      <w:bookmarkEnd w:id="1213"/>
      <w:bookmarkEnd w:id="1214"/>
      <w:bookmarkEnd w:id="12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研发大楼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113,847,302.11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申请办理中</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17"/>
      <w:bookmarkEnd w:id="1218"/>
      <w:bookmarkEnd w:id="1220"/>
    </w:p>
    <w:p>
      <w:pPr>
        <w:pStyle w:val="Style35"/>
        <w:keepNext/>
        <w:keepLines/>
        <w:widowControl w:val="0"/>
        <w:numPr>
          <w:ilvl w:val="0"/>
          <w:numId w:val="43"/>
        </w:numPr>
        <w:shd w:val="clear" w:color="auto" w:fill="auto"/>
        <w:bidi w:val="0"/>
        <w:spacing w:before="0" w:line="240" w:lineRule="auto"/>
        <w:ind w:left="0" w:right="0" w:firstLine="0"/>
        <w:jc w:val="left"/>
      </w:pPr>
      <w:bookmarkStart w:id="1217" w:name="bookmark1217"/>
      <w:bookmarkStart w:id="1218" w:name="bookmark1218"/>
      <w:bookmarkStart w:id="1221" w:name="bookmark1221"/>
      <w:bookmarkStart w:id="1222" w:name="bookmark1222"/>
      <w:bookmarkEnd w:id="1221"/>
      <w:r>
        <w:rPr>
          <w:color w:val="000000"/>
          <w:spacing w:val="0"/>
          <w:w w:val="100"/>
          <w:position w:val="0"/>
        </w:rPr>
        <w:t>在建工程情况</w:t>
      </w:r>
      <w:bookmarkEnd w:id="1217"/>
      <w:bookmarkEnd w:id="1218"/>
      <w:bookmarkEnd w:id="12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5"/>
        <w:keepNext/>
        <w:keepLines/>
        <w:widowControl w:val="0"/>
        <w:shd w:val="clear" w:color="auto" w:fill="auto"/>
        <w:bidi w:val="0"/>
        <w:spacing w:before="0" w:line="240" w:lineRule="auto"/>
        <w:ind w:left="0" w:right="0" w:firstLine="14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23"/>
      <w:bookmarkEnd w:id="1224"/>
      <w:bookmarkEnd w:id="12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工程进</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both"/>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27"/>
      <w:bookmarkEnd w:id="1228"/>
      <w:bookmarkEnd w:id="123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31"/>
      <w:bookmarkEnd w:id="1232"/>
      <w:bookmarkEnd w:id="12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27"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38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22</w:t>
            </w:r>
            <w:r>
              <w:rPr>
                <w:b/>
                <w:bCs/>
                <w:color w:val="000000"/>
                <w:spacing w:val="0"/>
                <w:w w:val="100"/>
                <w:position w:val="0"/>
                <w:sz w:val="20"/>
                <w:szCs w:val="20"/>
              </w:rPr>
              <w:t>、固定资产清理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bookmarkStart w:id="1235" w:name="bookmark1235"/>
      <w:r>
        <w:rPr>
          <w:color w:val="000000"/>
          <w:spacing w:val="0"/>
          <w:w w:val="100"/>
          <w:position w:val="0"/>
        </w:rPr>
        <w:t>其</w:t>
      </w:r>
      <w:bookmarkEnd w:id="1235"/>
      <w:r>
        <w:rPr>
          <w:color w:val="000000"/>
          <w:spacing w:val="0"/>
          <w:w w:val="100"/>
          <w:position w:val="0"/>
        </w:rPr>
        <w:t>他说明：</w:t>
      </w:r>
    </w:p>
    <w:p>
      <w:pPr>
        <w:pStyle w:val="Style35"/>
        <w:keepNext/>
        <w:keepLines/>
        <w:widowControl w:val="0"/>
        <w:shd w:val="clear" w:color="auto" w:fill="auto"/>
        <w:bidi w:val="0"/>
        <w:spacing w:before="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36"/>
      <w:bookmarkEnd w:id="1237"/>
      <w:bookmarkEnd w:id="1239"/>
    </w:p>
    <w:p>
      <w:pPr>
        <w:pStyle w:val="Style35"/>
        <w:keepNext/>
        <w:keepLines/>
        <w:widowControl w:val="0"/>
        <w:shd w:val="clear" w:color="auto" w:fill="auto"/>
        <w:tabs>
          <w:tab w:pos="488" w:val="left"/>
        </w:tabs>
        <w:bidi w:val="0"/>
        <w:spacing w:before="0" w:line="240" w:lineRule="auto"/>
        <w:ind w:left="0" w:right="0" w:firstLine="0"/>
        <w:jc w:val="both"/>
      </w:pPr>
      <w:bookmarkStart w:id="1236" w:name="bookmark1236"/>
      <w:bookmarkStart w:id="1237" w:name="bookmark1237"/>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36"/>
      <w:bookmarkEnd w:id="1237"/>
      <w:bookmarkEnd w:id="124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42"/>
      <w:bookmarkEnd w:id="1243"/>
      <w:bookmarkEnd w:id="124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246"/>
      <w:bookmarkEnd w:id="1247"/>
      <w:bookmarkEnd w:id="124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50"/>
      <w:bookmarkEnd w:id="1251"/>
      <w:bookmarkEnd w:id="1253"/>
    </w:p>
    <w:p>
      <w:pPr>
        <w:pStyle w:val="Style35"/>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0"/>
      <w:bookmarkEnd w:id="1251"/>
      <w:bookmarkEnd w:id="125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6,489,538.90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470,957.27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6,960,496.17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6,489,538.90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470,957.27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6,960,496.17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532,475.00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95,196.21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627,671.21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133,118.76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47,095.68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180,214.44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133,118.76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47,095.68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180,214.44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665,593.76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142,291.89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807,885.65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5,823,945.14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328,665.38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6,152,610.52</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5,957,063.90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375,761.06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6,332,824.96</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60"/>
      <w:bookmarkEnd w:id="1261"/>
      <w:bookmarkEnd w:id="12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3192"/>
        <w:gridCol w:w="3187"/>
        <w:gridCol w:w="1066"/>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64"/>
      <w:bookmarkEnd w:id="1265"/>
      <w:bookmarkEnd w:id="1267"/>
    </w:p>
    <w:p>
      <w:pPr>
        <w:pStyle w:val="Style35"/>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4"/>
      <w:bookmarkEnd w:id="1265"/>
      <w:bookmarkEnd w:id="12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福建华兴科技有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1,932,398.53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1,932,398.53</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北京支点国际资 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12,624,974.61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12,624,974.61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1,932,398.53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12,624,974.61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14,557,373.14</w:t>
            </w:r>
          </w:p>
        </w:tc>
      </w:tr>
    </w:tbl>
    <w:p>
      <w:pPr>
        <w:pStyle w:val="Style35"/>
        <w:keepNext/>
        <w:keepLines/>
        <w:widowControl w:val="0"/>
        <w:numPr>
          <w:ilvl w:val="0"/>
          <w:numId w:val="43"/>
        </w:numPr>
        <w:shd w:val="clear" w:color="auto" w:fill="auto"/>
        <w:bidi w:val="0"/>
        <w:spacing w:before="0" w:line="240" w:lineRule="auto"/>
        <w:ind w:left="0" w:right="0" w:firstLine="14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商誉减值准备</w:t>
      </w:r>
      <w:bookmarkEnd w:id="1270"/>
      <w:bookmarkEnd w:id="1271"/>
      <w:bookmarkEnd w:id="1273"/>
    </w:p>
    <w:p>
      <w:pPr>
        <w:pStyle w:val="Style31"/>
        <w:keepNext w:val="0"/>
        <w:keepLines w:val="0"/>
        <w:widowControl w:val="0"/>
        <w:shd w:val="clear" w:color="auto" w:fill="auto"/>
        <w:bidi w:val="0"/>
        <w:spacing w:before="0" w:after="80" w:line="240" w:lineRule="auto"/>
        <w:ind w:left="8860" w:right="0" w:firstLine="0"/>
        <w:jc w:val="both"/>
      </w:pPr>
      <w:r>
        <w:rPr>
          <w:color w:val="000000"/>
          <w:spacing w:val="0"/>
          <w:w w:val="100"/>
          <w:position w:val="0"/>
        </w:rPr>
        <w:t>单位：元</w:t>
      </w:r>
    </w:p>
    <w:tbl>
      <w:tblPr>
        <w:tblOverlap w:val="never"/>
        <w:jc w:val="center"/>
        <w:tblLayout w:type="fixed"/>
      </w:tblPr>
      <w:tblGrid>
        <w:gridCol w:w="1373"/>
        <w:gridCol w:w="1368"/>
        <w:gridCol w:w="2731"/>
        <w:gridCol w:w="2736"/>
        <w:gridCol w:w="1373"/>
      </w:tblGrid>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月公司非同一控制下合并华兴科技，合并成本为人民币</w:t>
      </w:r>
      <w:r>
        <w:rPr>
          <w:rFonts w:ascii="Times New Roman" w:eastAsia="Times New Roman" w:hAnsi="Times New Roman" w:cs="Times New Roman"/>
          <w:color w:val="000000"/>
          <w:spacing w:val="0"/>
          <w:w w:val="100"/>
          <w:position w:val="0"/>
        </w:rPr>
        <w:t>7,912,839.88</w:t>
      </w:r>
      <w:r>
        <w:rPr>
          <w:color w:val="000000"/>
          <w:spacing w:val="0"/>
          <w:w w:val="100"/>
          <w:position w:val="0"/>
        </w:rPr>
        <w:t>元，合并日华兴科技可辨认净资产的公允 价值为</w:t>
      </w:r>
      <w:r>
        <w:rPr>
          <w:rFonts w:ascii="Times New Roman" w:eastAsia="Times New Roman" w:hAnsi="Times New Roman" w:cs="Times New Roman"/>
          <w:color w:val="000000"/>
          <w:spacing w:val="0"/>
          <w:w w:val="100"/>
          <w:position w:val="0"/>
        </w:rPr>
        <w:t>5,980,441.35</w:t>
      </w:r>
      <w:r>
        <w:rPr>
          <w:color w:val="000000"/>
          <w:spacing w:val="0"/>
          <w:w w:val="100"/>
          <w:position w:val="0"/>
        </w:rPr>
        <w:t>元，公司按持股比例享有的可辨认净资产的公允价值份额为</w:t>
      </w:r>
      <w:r>
        <w:rPr>
          <w:rFonts w:ascii="Times New Roman" w:eastAsia="Times New Roman" w:hAnsi="Times New Roman" w:cs="Times New Roman"/>
          <w:color w:val="000000"/>
          <w:spacing w:val="0"/>
          <w:w w:val="100"/>
          <w:position w:val="0"/>
        </w:rPr>
        <w:t>5,980,441.35</w:t>
      </w:r>
      <w:r>
        <w:rPr>
          <w:color w:val="000000"/>
          <w:spacing w:val="0"/>
          <w:w w:val="100"/>
          <w:position w:val="0"/>
        </w:rPr>
        <w:t>元，差额</w:t>
      </w:r>
      <w:r>
        <w:rPr>
          <w:rFonts w:ascii="Times New Roman" w:eastAsia="Times New Roman" w:hAnsi="Times New Roman" w:cs="Times New Roman"/>
          <w:color w:val="000000"/>
          <w:spacing w:val="0"/>
          <w:w w:val="100"/>
          <w:position w:val="0"/>
        </w:rPr>
        <w:t>1,932,398.53</w:t>
      </w:r>
      <w:r>
        <w:rPr>
          <w:color w:val="000000"/>
          <w:spacing w:val="0"/>
          <w:w w:val="100"/>
          <w:position w:val="0"/>
        </w:rPr>
        <w:t>元确认为商 誉。截至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日，公司商誉期末无减值迹象。</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月公司非同一控制下合并支点国际，合并成本为人民币</w:t>
      </w:r>
      <w:r>
        <w:rPr>
          <w:rFonts w:ascii="Times New Roman" w:eastAsia="Times New Roman" w:hAnsi="Times New Roman" w:cs="Times New Roman"/>
          <w:color w:val="000000"/>
          <w:spacing w:val="0"/>
          <w:w w:val="100"/>
          <w:position w:val="0"/>
        </w:rPr>
        <w:t>16,345,500.88</w:t>
      </w:r>
      <w:r>
        <w:rPr>
          <w:color w:val="000000"/>
          <w:spacing w:val="0"/>
          <w:w w:val="100"/>
          <w:position w:val="0"/>
        </w:rPr>
        <w:t>元，合并日支点国际可辨认净资产的公允 价值为</w:t>
      </w:r>
      <w:r>
        <w:rPr>
          <w:rFonts w:ascii="Times New Roman" w:eastAsia="Times New Roman" w:hAnsi="Times New Roman" w:cs="Times New Roman"/>
          <w:color w:val="000000"/>
          <w:spacing w:val="0"/>
          <w:w w:val="100"/>
          <w:position w:val="0"/>
        </w:rPr>
        <w:t>7,289,430.62</w:t>
      </w:r>
      <w:r>
        <w:rPr>
          <w:color w:val="000000"/>
          <w:spacing w:val="0"/>
          <w:w w:val="100"/>
          <w:position w:val="0"/>
        </w:rPr>
        <w:t>元，公司按持股比例享有的可辨认净资产的公允价值份额为</w:t>
      </w:r>
      <w:r>
        <w:rPr>
          <w:rFonts w:ascii="Times New Roman" w:eastAsia="Times New Roman" w:hAnsi="Times New Roman" w:cs="Times New Roman"/>
          <w:color w:val="000000"/>
          <w:spacing w:val="0"/>
          <w:w w:val="100"/>
          <w:position w:val="0"/>
        </w:rPr>
        <w:t>3,720,525.39</w:t>
      </w:r>
      <w:r>
        <w:rPr>
          <w:color w:val="000000"/>
          <w:spacing w:val="0"/>
          <w:w w:val="100"/>
          <w:position w:val="0"/>
        </w:rPr>
        <w:t>元，差额</w:t>
      </w:r>
      <w:r>
        <w:rPr>
          <w:rFonts w:ascii="Times New Roman" w:eastAsia="Times New Roman" w:hAnsi="Times New Roman" w:cs="Times New Roman"/>
          <w:color w:val="000000"/>
          <w:spacing w:val="0"/>
          <w:w w:val="100"/>
          <w:position w:val="0"/>
        </w:rPr>
        <w:t>12,624,974.61</w:t>
      </w:r>
      <w:r>
        <w:rPr>
          <w:color w:val="000000"/>
          <w:spacing w:val="0"/>
          <w:w w:val="100"/>
          <w:position w:val="0"/>
        </w:rPr>
        <w:t>元确认为 商誉。公司于期末聘请北京中企华评估责任有限公司对支点国际商誉进行减值测试，并出具中出具中企华估字(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 xml:space="preserve">3272 </w:t>
      </w:r>
      <w:r>
        <w:rPr>
          <w:color w:val="000000"/>
          <w:spacing w:val="0"/>
          <w:w w:val="100"/>
          <w:position w:val="0"/>
        </w:rPr>
        <w:t>号估值报告，具体减值测试过程、参数及商誉减值损失的确认方法如下：</w:t>
      </w:r>
    </w:p>
    <w:p>
      <w:pPr>
        <w:pStyle w:val="Style3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支点国际全部股东权益依据预计未来现金流量的现值确定。未来现金流量基于公司管理层提供的</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年及 之后稳定期的财务预算确定，在以评估基准日</w:t>
      </w:r>
      <w:r>
        <w:rPr>
          <w:rFonts w:ascii="Times New Roman" w:eastAsia="Times New Roman" w:hAnsi="Times New Roman" w:cs="Times New Roman"/>
          <w:color w:val="000000"/>
          <w:spacing w:val="0"/>
          <w:w w:val="100"/>
          <w:position w:val="0"/>
        </w:rPr>
        <w:t>10</w:t>
      </w:r>
      <w:r>
        <w:rPr>
          <w:color w:val="000000"/>
          <w:spacing w:val="0"/>
          <w:w w:val="100"/>
          <w:position w:val="0"/>
        </w:rPr>
        <w:t>年期国债平均收益率</w:t>
      </w:r>
      <w:r>
        <w:rPr>
          <w:rFonts w:ascii="Times New Roman" w:eastAsia="Times New Roman" w:hAnsi="Times New Roman" w:cs="Times New Roman"/>
          <w:color w:val="000000"/>
          <w:spacing w:val="0"/>
          <w:w w:val="100"/>
          <w:position w:val="0"/>
        </w:rPr>
        <w:t>3.01%</w:t>
      </w:r>
      <w:r>
        <w:rPr>
          <w:color w:val="000000"/>
          <w:spacing w:val="0"/>
          <w:w w:val="100"/>
          <w:position w:val="0"/>
        </w:rPr>
        <w:t>为无风险报酬率基础上考虑行业、经营、财务风 险，采用</w:t>
      </w:r>
      <w:r>
        <w:rPr>
          <w:rFonts w:ascii="Times New Roman" w:eastAsia="Times New Roman" w:hAnsi="Times New Roman" w:cs="Times New Roman"/>
          <w:color w:val="000000"/>
          <w:spacing w:val="0"/>
          <w:w w:val="100"/>
          <w:position w:val="0"/>
        </w:rPr>
        <w:t>11.51%</w:t>
      </w:r>
      <w:r>
        <w:rPr>
          <w:color w:val="000000"/>
          <w:spacing w:val="0"/>
          <w:w w:val="100"/>
          <w:position w:val="0"/>
        </w:rPr>
        <w:t>的折现率。自</w:t>
      </w:r>
      <w:r>
        <w:rPr>
          <w:rFonts w:ascii="Times New Roman" w:eastAsia="Times New Roman" w:hAnsi="Times New Roman" w:cs="Times New Roman"/>
          <w:color w:val="000000"/>
          <w:spacing w:val="0"/>
          <w:w w:val="100"/>
          <w:position w:val="0"/>
        </w:rPr>
        <w:t>2021</w:t>
      </w:r>
      <w:r>
        <w:rPr>
          <w:color w:val="000000"/>
          <w:spacing w:val="0"/>
          <w:w w:val="100"/>
          <w:position w:val="0"/>
        </w:rPr>
        <w:t>年起为永续经营，在此阶段公司将保持稳定的盈利水平。</w:t>
      </w:r>
    </w:p>
    <w:p>
      <w:pPr>
        <w:pStyle w:val="Style31"/>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采用上述参数及收益法估值后于估值基准日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日支点国际全部股东权益价值</w:t>
      </w:r>
      <w:r>
        <w:rPr>
          <w:rFonts w:ascii="Times New Roman" w:eastAsia="Times New Roman" w:hAnsi="Times New Roman" w:cs="Times New Roman"/>
          <w:color w:val="000000"/>
          <w:spacing w:val="0"/>
          <w:w w:val="100"/>
          <w:position w:val="0"/>
        </w:rPr>
        <w:t>3,604.55</w:t>
      </w:r>
      <w:r>
        <w:rPr>
          <w:color w:val="000000"/>
          <w:spacing w:val="0"/>
          <w:w w:val="100"/>
          <w:position w:val="0"/>
        </w:rPr>
        <w:t xml:space="preserve">万元。综上，截至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日，公司商誉期末无减值迹象。</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0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74"/>
      <w:bookmarkEnd w:id="1275"/>
      <w:bookmarkEnd w:id="1277"/>
    </w:p>
    <w:p>
      <w:pPr>
        <w:pStyle w:val="Style31"/>
        <w:keepNext w:val="0"/>
        <w:keepLines w:val="0"/>
        <w:widowControl w:val="0"/>
        <w:shd w:val="clear" w:color="auto" w:fill="auto"/>
        <w:bidi w:val="0"/>
        <w:spacing w:before="0" w:after="80" w:line="313" w:lineRule="exact"/>
        <w:ind w:left="8860" w:right="0" w:firstLine="0"/>
        <w:jc w:val="both"/>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8"/>
      <w:bookmarkEnd w:id="1279"/>
      <w:bookmarkEnd w:id="1281"/>
    </w:p>
    <w:p>
      <w:pPr>
        <w:pStyle w:val="Style35"/>
        <w:keepNext/>
        <w:keepLines/>
        <w:widowControl w:val="0"/>
        <w:numPr>
          <w:ilvl w:val="0"/>
          <w:numId w:val="45"/>
        </w:numPr>
        <w:shd w:val="clear" w:color="auto" w:fill="auto"/>
        <w:bidi w:val="0"/>
        <w:spacing w:before="0" w:line="240" w:lineRule="auto"/>
        <w:ind w:left="0" w:right="0" w:firstLine="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未经抵销的递延所得税资产</w:t>
      </w:r>
      <w:bookmarkEnd w:id="1278"/>
      <w:bookmarkEnd w:id="1279"/>
      <w:bookmarkEnd w:id="12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9,527,679.00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1,435,424.98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6,665,670.98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996,299.13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744,708.75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186,177.19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9,527,679.00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1,435,424.98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7,410,379.73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1,182,476.32</w:t>
            </w:r>
          </w:p>
        </w:tc>
      </w:tr>
    </w:tbl>
    <w:p>
      <w:pPr>
        <w:widowControl w:val="0"/>
        <w:spacing w:after="299" w:line="1" w:lineRule="exact"/>
      </w:pPr>
    </w:p>
    <w:p>
      <w:pPr>
        <w:pStyle w:val="Style35"/>
        <w:keepNext/>
        <w:keepLines/>
        <w:widowControl w:val="0"/>
        <w:numPr>
          <w:ilvl w:val="0"/>
          <w:numId w:val="45"/>
        </w:numPr>
        <w:shd w:val="clear" w:color="auto" w:fill="auto"/>
        <w:bidi w:val="0"/>
        <w:spacing w:before="0" w:line="240" w:lineRule="auto"/>
        <w:ind w:left="0" w:right="0" w:firstLine="14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未经抵销的递延所得税负债</w:t>
      </w:r>
      <w:bookmarkEnd w:id="1284"/>
      <w:bookmarkEnd w:id="1285"/>
      <w:bookmarkEnd w:id="1287"/>
    </w:p>
    <w:p>
      <w:pPr>
        <w:pStyle w:val="Style31"/>
        <w:keepNext w:val="0"/>
        <w:keepLines w:val="0"/>
        <w:widowControl w:val="0"/>
        <w:shd w:val="clear" w:color="auto" w:fill="auto"/>
        <w:bidi w:val="0"/>
        <w:spacing w:before="0" w:after="320" w:line="240" w:lineRule="auto"/>
        <w:ind w:left="8860" w:right="0" w:firstLine="0"/>
        <w:jc w:val="both"/>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5"/>
        <w:keepNext/>
        <w:keepLines/>
        <w:widowControl w:val="0"/>
        <w:numPr>
          <w:ilvl w:val="0"/>
          <w:numId w:val="45"/>
        </w:numPr>
        <w:shd w:val="clear" w:color="auto" w:fill="auto"/>
        <w:bidi w:val="0"/>
        <w:spacing w:before="0" w:line="240" w:lineRule="auto"/>
        <w:ind w:left="0" w:right="0" w:firstLine="14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以抵销后净额列示的递延所得税资产或负债</w:t>
      </w:r>
      <w:bookmarkEnd w:id="1288"/>
      <w:bookmarkEnd w:id="1289"/>
      <w:bookmarkEnd w:id="12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1,435,424.98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1,182,476.32</w:t>
            </w:r>
          </w:p>
        </w:tc>
      </w:tr>
    </w:tbl>
    <w:p>
      <w:pPr>
        <w:widowControl w:val="0"/>
        <w:spacing w:after="319" w:line="1" w:lineRule="exact"/>
      </w:pPr>
    </w:p>
    <w:p>
      <w:pPr>
        <w:pStyle w:val="Style35"/>
        <w:keepNext/>
        <w:keepLines/>
        <w:widowControl w:val="0"/>
        <w:numPr>
          <w:ilvl w:val="0"/>
          <w:numId w:val="45"/>
        </w:numPr>
        <w:shd w:val="clear" w:color="auto" w:fill="auto"/>
        <w:bidi w:val="0"/>
        <w:spacing w:before="0" w:line="240" w:lineRule="auto"/>
        <w:ind w:left="0" w:right="0" w:firstLine="14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未确认递延所得税资产明细</w:t>
      </w:r>
      <w:bookmarkEnd w:id="1292"/>
      <w:bookmarkEnd w:id="1293"/>
      <w:bookmarkEnd w:id="12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5,678,143.38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5,678,143.38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45"/>
        </w:numPr>
        <w:shd w:val="clear" w:color="auto" w:fill="auto"/>
        <w:bidi w:val="0"/>
        <w:spacing w:before="0" w:line="240" w:lineRule="auto"/>
        <w:ind w:left="0" w:right="0" w:firstLine="14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未确认递延所得税资产的可抵扣亏损将于以下年度到期</w:t>
      </w:r>
      <w:bookmarkEnd w:id="1296"/>
      <w:bookmarkEnd w:id="1297"/>
      <w:bookmarkEnd w:id="12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5,678,143.38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5,678,143.38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00"/>
      <w:bookmarkEnd w:id="1301"/>
      <w:bookmarkEnd w:id="13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04"/>
      <w:bookmarkEnd w:id="1305"/>
      <w:bookmarkEnd w:id="1307"/>
    </w:p>
    <w:p>
      <w:pPr>
        <w:pStyle w:val="Style35"/>
        <w:keepNext/>
        <w:keepLines/>
        <w:widowControl w:val="0"/>
        <w:numPr>
          <w:ilvl w:val="0"/>
          <w:numId w:val="47"/>
        </w:numPr>
        <w:shd w:val="clear" w:color="auto" w:fill="auto"/>
        <w:bidi w:val="0"/>
        <w:spacing w:before="0" w:line="240" w:lineRule="auto"/>
        <w:ind w:left="0" w:right="0" w:firstLine="0"/>
        <w:jc w:val="left"/>
      </w:pPr>
      <w:bookmarkStart w:id="1304" w:name="bookmark1304"/>
      <w:bookmarkStart w:id="1305" w:name="bookmark1305"/>
      <w:bookmarkStart w:id="1308" w:name="bookmark1308"/>
      <w:bookmarkStart w:id="1309" w:name="bookmark1309"/>
      <w:bookmarkEnd w:id="1308"/>
      <w:r>
        <w:rPr>
          <w:color w:val="000000"/>
          <w:spacing w:val="0"/>
          <w:w w:val="100"/>
          <w:position w:val="0"/>
        </w:rPr>
        <w:t>短期借款分类</w:t>
      </w:r>
      <w:bookmarkEnd w:id="1304"/>
      <w:bookmarkEnd w:id="1305"/>
      <w:bookmarkEnd w:id="13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5"/>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10"/>
      <w:bookmarkEnd w:id="1311"/>
      <w:bookmarkEnd w:id="131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短期借款期末余额较期初减少，主要系公司本期归还银行借款。</w:t>
      </w:r>
    </w:p>
    <w:p>
      <w:pPr>
        <w:pStyle w:val="Style35"/>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14"/>
      <w:bookmarkEnd w:id="1315"/>
      <w:bookmarkEnd w:id="1317"/>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tabs>
          <w:tab w:pos="483" w:val="left"/>
        </w:tabs>
        <w:bidi w:val="0"/>
        <w:spacing w:before="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18"/>
      <w:bookmarkEnd w:id="1319"/>
      <w:bookmarkEnd w:id="132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22"/>
      <w:bookmarkEnd w:id="1323"/>
      <w:bookmarkEnd w:id="1325"/>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本期末已到期未支付的应付票据总额为元。</w:t>
      </w:r>
    </w:p>
    <w:p>
      <w:pPr>
        <w:pStyle w:val="Style35"/>
        <w:keepNext/>
        <w:keepLines/>
        <w:widowControl w:val="0"/>
        <w:shd w:val="clear" w:color="auto" w:fill="auto"/>
        <w:bidi w:val="0"/>
        <w:spacing w:before="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26"/>
      <w:bookmarkEnd w:id="1327"/>
      <w:bookmarkEnd w:id="1329"/>
    </w:p>
    <w:p>
      <w:pPr>
        <w:pStyle w:val="Style35"/>
        <w:keepNext/>
        <w:keepLines/>
        <w:widowControl w:val="0"/>
        <w:shd w:val="clear" w:color="auto" w:fill="auto"/>
        <w:bidi w:val="0"/>
        <w:spacing w:before="0" w:line="240" w:lineRule="auto"/>
        <w:ind w:left="0" w:right="0" w:firstLine="0"/>
        <w:jc w:val="both"/>
      </w:pPr>
      <w:bookmarkStart w:id="1326" w:name="bookmark1326"/>
      <w:bookmarkStart w:id="1327" w:name="bookmark1327"/>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6"/>
      <w:bookmarkEnd w:id="1327"/>
      <w:bookmarkEnd w:id="13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15,130,284.92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14,122,762.76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158,287.12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165,420.00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15,386,872.04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14,386,482.76</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32"/>
      <w:bookmarkEnd w:id="1333"/>
      <w:bookmarkEnd w:id="13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福州同力科技开发有限公司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36"/>
      <w:bookmarkEnd w:id="1337"/>
      <w:bookmarkEnd w:id="1339"/>
    </w:p>
    <w:p>
      <w:pPr>
        <w:pStyle w:val="Style35"/>
        <w:keepNext/>
        <w:keepLines/>
        <w:widowControl w:val="0"/>
        <w:shd w:val="clear" w:color="auto" w:fill="auto"/>
        <w:bidi w:val="0"/>
        <w:spacing w:before="0" w:line="240" w:lineRule="auto"/>
        <w:ind w:left="0" w:right="0" w:firstLine="140"/>
        <w:jc w:val="left"/>
      </w:pPr>
      <w:bookmarkStart w:id="1336" w:name="bookmark1336"/>
      <w:bookmarkStart w:id="1337" w:name="bookmark1337"/>
      <w:bookmarkStart w:id="1340" w:name="bookmark1340"/>
      <w:bookmarkStart w:id="1341" w:name="bookmark1341"/>
      <w:r>
        <w:rPr>
          <w:rFonts w:ascii="Times New Roman" w:eastAsia="Times New Roman" w:hAnsi="Times New Roman" w:cs="Times New Roman"/>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6"/>
      <w:bookmarkEnd w:id="1337"/>
      <w:bookmarkEnd w:id="13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2,734,304.62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5,044,474.91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1,247,712.27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2,265,912.66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1,448,234.28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2,484,648.49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2,544,606.84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2,181,856.78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7,974,858.01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11,976,892.84</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42"/>
      <w:bookmarkEnd w:id="1343"/>
      <w:bookmarkEnd w:id="13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福建省财政厅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3,345,154.00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重庆市财政局非税收入征收管理中心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1,144,000.00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4,489,154.00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346"/>
      <w:bookmarkEnd w:id="1347"/>
      <w:bookmarkEnd w:id="13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50"/>
      <w:bookmarkEnd w:id="1351"/>
      <w:bookmarkEnd w:id="1353"/>
    </w:p>
    <w:p>
      <w:pPr>
        <w:pStyle w:val="Style35"/>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0"/>
      <w:bookmarkEnd w:id="1351"/>
      <w:bookmarkEnd w:id="13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12,467,649.12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62,912,444.23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58,362,678.31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17,017,415.04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3,970,554.05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3,960,927.17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18,122.64</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12,476,144.88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66,894,302.28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62,334,909.48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17,035,537.68</w:t>
            </w:r>
          </w:p>
        </w:tc>
      </w:tr>
    </w:tbl>
    <w:p>
      <w:pPr>
        <w:widowControl w:val="0"/>
        <w:spacing w:after="299" w:line="1" w:lineRule="exact"/>
      </w:pPr>
    </w:p>
    <w:p>
      <w:pPr>
        <w:pStyle w:val="Style35"/>
        <w:keepNext/>
        <w:keepLines/>
        <w:widowControl w:val="0"/>
        <w:numPr>
          <w:ilvl w:val="0"/>
          <w:numId w:val="47"/>
        </w:numPr>
        <w:shd w:val="clear" w:color="auto" w:fill="auto"/>
        <w:bidi w:val="0"/>
        <w:spacing w:before="0" w:after="380" w:line="240" w:lineRule="auto"/>
        <w:ind w:left="0" w:right="0" w:firstLine="14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短期薪酬列示</w:t>
      </w:r>
      <w:bookmarkEnd w:id="1356"/>
      <w:bookmarkEnd w:id="1357"/>
      <w:bookmarkEnd w:id="13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12,427,704.68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54,055,269.14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49,570,269.14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16,912,704.68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3,880,440.28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3,880,440.28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5,101.07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2,377,952.30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2,374,844.08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4,497.60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2,172,955.97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2,169,782.77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134,819.83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1,942,163.40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1,932,361.40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656,619.11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604,763.41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85,226.07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12,467,649.12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62,912,444.23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58,362,678.31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17,017,415.04</w:t>
            </w:r>
          </w:p>
        </w:tc>
      </w:tr>
    </w:tbl>
    <w:p>
      <w:pPr>
        <w:widowControl w:val="0"/>
        <w:spacing w:after="299" w:line="1" w:lineRule="exact"/>
      </w:pPr>
    </w:p>
    <w:p>
      <w:pPr>
        <w:pStyle w:val="Style35"/>
        <w:keepNext/>
        <w:keepLines/>
        <w:widowControl w:val="0"/>
        <w:numPr>
          <w:ilvl w:val="0"/>
          <w:numId w:val="47"/>
        </w:numPr>
        <w:shd w:val="clear" w:color="auto" w:fill="auto"/>
        <w:bidi w:val="0"/>
        <w:spacing w:before="0" w:after="380" w:line="240" w:lineRule="auto"/>
        <w:ind w:left="0" w:right="0" w:firstLine="14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设定提存计划列示</w:t>
      </w:r>
      <w:bookmarkEnd w:id="1360"/>
      <w:bookmarkEnd w:id="1361"/>
      <w:bookmarkEnd w:id="13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3,756,761.24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3,747,476.72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213,792.81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213,450.45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746.92</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8,495.76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3,970,554.05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3,960,927.17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18,122.64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应付职工薪酬期末余额较去年同期增长</w:t>
      </w:r>
      <w:r>
        <w:rPr>
          <w:rFonts w:ascii="Times New Roman" w:eastAsia="Times New Roman" w:hAnsi="Times New Roman" w:cs="Times New Roman"/>
          <w:color w:val="000000"/>
          <w:spacing w:val="0"/>
          <w:w w:val="100"/>
          <w:position w:val="0"/>
        </w:rPr>
        <w:t>36.54%</w:t>
      </w:r>
      <w:r>
        <w:rPr>
          <w:color w:val="000000"/>
          <w:spacing w:val="0"/>
          <w:w w:val="100"/>
          <w:position w:val="0"/>
        </w:rPr>
        <w:t>,主要系员工人数增加导致工资增加及年终奖金已提取尚未支付。</w:t>
      </w:r>
    </w:p>
    <w:p>
      <w:pPr>
        <w:pStyle w:val="Style35"/>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64"/>
      <w:bookmarkEnd w:id="1365"/>
      <w:bookmarkEnd w:id="13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2,962,568.07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2,983,154.34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3,101,357.10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3,019,983.66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173,223.68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44,595.13</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207,139.93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210,639.83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34,951.50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109,868.60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45,177.12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147,886.51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150,457.01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80,745.25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90,780.28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79,372.30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6,873,334.36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6,649,076.14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68"/>
      <w:bookmarkEnd w:id="1369"/>
      <w:bookmarkEnd w:id="13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72"/>
      <w:bookmarkEnd w:id="1373"/>
      <w:bookmarkEnd w:id="13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5"/>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6"/>
      <w:bookmarkEnd w:id="1377"/>
      <w:bookmarkEnd w:id="1379"/>
    </w:p>
    <w:p>
      <w:pPr>
        <w:pStyle w:val="Style35"/>
        <w:keepNext/>
        <w:keepLines/>
        <w:widowControl w:val="0"/>
        <w:numPr>
          <w:ilvl w:val="0"/>
          <w:numId w:val="49"/>
        </w:numPr>
        <w:shd w:val="clear" w:color="auto" w:fill="auto"/>
        <w:bidi w:val="0"/>
        <w:spacing w:before="0" w:line="240" w:lineRule="auto"/>
        <w:ind w:left="0" w:right="0" w:firstLine="0"/>
        <w:jc w:val="left"/>
      </w:pPr>
      <w:bookmarkStart w:id="1376" w:name="bookmark1376"/>
      <w:bookmarkStart w:id="1377" w:name="bookmark1377"/>
      <w:bookmarkStart w:id="1380" w:name="bookmark1380"/>
      <w:bookmarkStart w:id="1381" w:name="bookmark1381"/>
      <w:bookmarkEnd w:id="1380"/>
      <w:r>
        <w:rPr>
          <w:color w:val="000000"/>
          <w:spacing w:val="0"/>
          <w:w w:val="100"/>
          <w:position w:val="0"/>
        </w:rPr>
        <w:t>按款项性质列示其他应付款</w:t>
      </w:r>
      <w:bookmarkEnd w:id="1376"/>
      <w:bookmarkEnd w:id="1377"/>
      <w:bookmarkEnd w:id="13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2,157,610.00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社医保代垫款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55,913.88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310,668.61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137,384.00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2,557,033.80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323,297.88</w:t>
            </w:r>
          </w:p>
        </w:tc>
      </w:tr>
    </w:tbl>
    <w:p>
      <w:pPr>
        <w:widowControl w:val="0"/>
        <w:spacing w:after="319" w:line="1" w:lineRule="exact"/>
      </w:pPr>
    </w:p>
    <w:p>
      <w:pPr>
        <w:pStyle w:val="Style35"/>
        <w:keepNext/>
        <w:keepLines/>
        <w:widowControl w:val="0"/>
        <w:numPr>
          <w:ilvl w:val="0"/>
          <w:numId w:val="49"/>
        </w:numPr>
        <w:shd w:val="clear" w:color="auto" w:fill="auto"/>
        <w:bidi w:val="0"/>
        <w:spacing w:before="0" w:line="240" w:lineRule="auto"/>
        <w:ind w:left="0" w:right="0" w:firstLine="14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2"/>
      <w:bookmarkEnd w:id="1383"/>
      <w:bookmarkEnd w:id="13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86"/>
      <w:bookmarkEnd w:id="1387"/>
      <w:bookmarkEnd w:id="1389"/>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90"/>
      <w:bookmarkEnd w:id="1391"/>
      <w:bookmarkEnd w:id="1393"/>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94"/>
      <w:bookmarkEnd w:id="1395"/>
      <w:bookmarkEnd w:id="13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2"/>
        <w:gridCol w:w="2400"/>
        <w:gridCol w:w="792"/>
        <w:gridCol w:w="806"/>
        <w:gridCol w:w="1594"/>
        <w:gridCol w:w="850"/>
      </w:tblGrid>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债券名称面值发行日期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98"/>
      <w:bookmarkEnd w:id="1399"/>
      <w:bookmarkEnd w:id="1401"/>
    </w:p>
    <w:p>
      <w:pPr>
        <w:pStyle w:val="Style35"/>
        <w:keepNext/>
        <w:keepLines/>
        <w:widowControl w:val="0"/>
        <w:shd w:val="clear" w:color="auto" w:fill="auto"/>
        <w:bidi w:val="0"/>
        <w:spacing w:before="0" w:line="240" w:lineRule="auto"/>
        <w:ind w:left="0" w:right="0" w:firstLine="140"/>
        <w:jc w:val="both"/>
      </w:pPr>
      <w:bookmarkStart w:id="1398" w:name="bookmark1398"/>
      <w:bookmarkStart w:id="1399" w:name="bookmark1399"/>
      <w:bookmarkStart w:id="1402" w:name="bookmark140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8"/>
      <w:bookmarkEnd w:id="1399"/>
      <w:bookmarkEnd w:id="1402"/>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5"/>
        <w:keepNext/>
        <w:keepLines/>
        <w:widowControl w:val="0"/>
        <w:shd w:val="clear" w:color="auto" w:fill="auto"/>
        <w:bidi w:val="0"/>
        <w:spacing w:before="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03"/>
      <w:bookmarkEnd w:id="1404"/>
      <w:bookmarkEnd w:id="1406"/>
    </w:p>
    <w:p>
      <w:pPr>
        <w:pStyle w:val="Style35"/>
        <w:keepNext/>
        <w:keepLines/>
        <w:widowControl w:val="0"/>
        <w:shd w:val="clear" w:color="auto" w:fill="auto"/>
        <w:bidi w:val="0"/>
        <w:spacing w:before="0" w:line="240" w:lineRule="auto"/>
        <w:ind w:left="0" w:right="0" w:firstLine="0"/>
        <w:jc w:val="both"/>
      </w:pPr>
      <w:bookmarkStart w:id="1403" w:name="bookmark1403"/>
      <w:bookmarkStart w:id="1404" w:name="bookmark1404"/>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03"/>
      <w:bookmarkEnd w:id="1404"/>
      <w:bookmarkEnd w:id="1407"/>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08"/>
      <w:bookmarkEnd w:id="1409"/>
      <w:bookmarkEnd w:id="1410"/>
    </w:p>
    <w:p>
      <w:pPr>
        <w:pStyle w:val="Style31"/>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单位：元</w:t>
      </w:r>
    </w:p>
    <w:p>
      <w:pPr>
        <w:pStyle w:val="Style35"/>
        <w:keepNext/>
        <w:keepLines/>
        <w:widowControl w:val="0"/>
        <w:numPr>
          <w:ilvl w:val="0"/>
          <w:numId w:val="49"/>
        </w:numPr>
        <w:shd w:val="clear" w:color="auto" w:fill="auto"/>
        <w:tabs>
          <w:tab w:pos="488" w:val="left"/>
        </w:tabs>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可转换公司债券的转股条件、转股时间说明</w:t>
      </w:r>
      <w:bookmarkEnd w:id="1411"/>
      <w:bookmarkEnd w:id="1412"/>
      <w:bookmarkEnd w:id="1414"/>
    </w:p>
    <w:p>
      <w:pPr>
        <w:pStyle w:val="Style35"/>
        <w:keepNext/>
        <w:keepLines/>
        <w:widowControl w:val="0"/>
        <w:numPr>
          <w:ilvl w:val="0"/>
          <w:numId w:val="49"/>
        </w:numPr>
        <w:shd w:val="clear" w:color="auto" w:fill="auto"/>
        <w:tabs>
          <w:tab w:pos="488" w:val="left"/>
        </w:tabs>
        <w:bidi w:val="0"/>
        <w:spacing w:before="0" w:line="240" w:lineRule="auto"/>
        <w:ind w:left="0" w:right="0" w:firstLine="0"/>
        <w:jc w:val="left"/>
      </w:pPr>
      <w:bookmarkStart w:id="1411" w:name="bookmark1411"/>
      <w:bookmarkStart w:id="1412" w:name="bookmark1412"/>
      <w:bookmarkStart w:id="1415" w:name="bookmark1415"/>
      <w:bookmarkStart w:id="1416" w:name="bookmark1416"/>
      <w:bookmarkEnd w:id="1415"/>
      <w:r>
        <w:rPr>
          <w:color w:val="000000"/>
          <w:spacing w:val="0"/>
          <w:w w:val="100"/>
          <w:position w:val="0"/>
        </w:rPr>
        <w:t>划分为金融负债的其他金融工具说明</w:t>
      </w:r>
      <w:bookmarkEnd w:id="1411"/>
      <w:bookmarkEnd w:id="1412"/>
      <w:bookmarkEnd w:id="14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17"/>
      <w:bookmarkEnd w:id="1418"/>
      <w:bookmarkEnd w:id="1420"/>
    </w:p>
    <w:p>
      <w:pPr>
        <w:pStyle w:val="Style35"/>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17"/>
      <w:bookmarkEnd w:id="1418"/>
      <w:bookmarkEnd w:id="14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22"/>
      <w:bookmarkEnd w:id="1423"/>
      <w:bookmarkEnd w:id="1425"/>
    </w:p>
    <w:p>
      <w:pPr>
        <w:pStyle w:val="Style35"/>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22"/>
      <w:bookmarkEnd w:id="1423"/>
      <w:bookmarkEnd w:id="14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27"/>
      <w:bookmarkEnd w:id="1428"/>
      <w:bookmarkEnd w:id="142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30"/>
      <w:bookmarkEnd w:id="1431"/>
      <w:bookmarkEnd w:id="1433"/>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34"/>
      <w:bookmarkEnd w:id="1435"/>
      <w:bookmarkEnd w:id="1437"/>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5"/>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38"/>
      <w:bookmarkEnd w:id="1439"/>
      <w:bookmarkEnd w:id="1441"/>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42"/>
      <w:bookmarkEnd w:id="1443"/>
      <w:bookmarkEnd w:id="1445"/>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46"/>
      <w:bookmarkEnd w:id="1447"/>
      <w:bookmarkEnd w:id="14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51,039,000.00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68,139,000.00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50"/>
      <w:bookmarkEnd w:id="1451"/>
      <w:bookmarkEnd w:id="1453"/>
    </w:p>
    <w:p>
      <w:pPr>
        <w:pStyle w:val="Style35"/>
        <w:keepNext/>
        <w:keepLines/>
        <w:widowControl w:val="0"/>
        <w:shd w:val="clear" w:color="auto" w:fill="auto"/>
        <w:tabs>
          <w:tab w:pos="488" w:val="left"/>
        </w:tabs>
        <w:bidi w:val="0"/>
        <w:spacing w:before="0" w:line="240" w:lineRule="auto"/>
        <w:ind w:left="0" w:right="0" w:firstLine="0"/>
        <w:jc w:val="left"/>
      </w:pPr>
      <w:bookmarkStart w:id="1450" w:name="bookmark1450"/>
      <w:bookmarkStart w:id="1451" w:name="bookmark1451"/>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50"/>
      <w:bookmarkEnd w:id="1451"/>
      <w:bookmarkEnd w:id="1455"/>
    </w:p>
    <w:p>
      <w:pPr>
        <w:pStyle w:val="Style35"/>
        <w:keepNext/>
        <w:keepLines/>
        <w:widowControl w:val="0"/>
        <w:shd w:val="clear" w:color="auto" w:fill="auto"/>
        <w:tabs>
          <w:tab w:pos="488" w:val="left"/>
        </w:tabs>
        <w:bidi w:val="0"/>
        <w:spacing w:before="0" w:line="240" w:lineRule="auto"/>
        <w:ind w:left="0" w:right="0" w:firstLine="0"/>
        <w:jc w:val="left"/>
      </w:pPr>
      <w:bookmarkStart w:id="1450" w:name="bookmark1450"/>
      <w:bookmarkStart w:id="1451" w:name="bookmark1451"/>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50"/>
      <w:bookmarkEnd w:id="1451"/>
      <w:bookmarkEnd w:id="14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58"/>
      <w:bookmarkEnd w:id="1459"/>
      <w:bookmarkEnd w:id="14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41,987,598.07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182,628,000.00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29,105,110.57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195,510,487.50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-909,005.85</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41,078,592.22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182,628,000.00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29,105,110.57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194,601,481.65</w:t>
            </w:r>
          </w:p>
        </w:tc>
      </w:tr>
    </w:tbl>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其他说明，包括本期增减变动情况、变动原因说明: 资本公积增加主要系新股发行导致股本溢价增加。</w:t>
      </w:r>
    </w:p>
    <w:p>
      <w:pPr>
        <w:pStyle w:val="Style35"/>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62"/>
      <w:bookmarkEnd w:id="1463"/>
      <w:bookmarkEnd w:id="14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66"/>
      <w:bookmarkEnd w:id="1467"/>
      <w:bookmarkEnd w:id="14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70"/>
      <w:bookmarkEnd w:id="1471"/>
      <w:bookmarkEnd w:id="1473"/>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5</w:t>
      </w:r>
      <w:bookmarkEnd w:id="147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74"/>
      <w:bookmarkEnd w:id="1475"/>
      <w:bookmarkEnd w:id="14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11,148,369.99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2,795,026.07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13,943,396.06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11,148,369.99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2,795,026.07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13,943,396.06</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5"/>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6</w:t>
      </w:r>
      <w:bookmarkEnd w:id="148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78"/>
      <w:bookmarkEnd w:id="1479"/>
      <w:bookmarkEnd w:id="14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123,662,686.95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90,602,685.52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123,662,686.95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90,602,685.52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38,301,620.49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36,731,975.96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2,795,026.07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3,671,974.53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145,541,481.37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123,662,686.95</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00" w:line="240" w:lineRule="auto"/>
        <w:ind w:left="0" w:right="0" w:firstLine="0"/>
        <w:jc w:val="left"/>
      </w:pPr>
      <w:bookmarkStart w:id="1482" w:name="bookmark1482"/>
      <w:r>
        <w:rPr>
          <w:rFonts w:ascii="Times New Roman" w:eastAsia="Times New Roman" w:hAnsi="Times New Roman" w:cs="Times New Roman"/>
          <w:color w:val="000000"/>
          <w:spacing w:val="0"/>
          <w:w w:val="100"/>
          <w:position w:val="0"/>
        </w:rPr>
        <w:t>1</w:t>
      </w:r>
      <w:bookmarkEnd w:id="148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483" w:name="bookmark1483"/>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484" w:name="bookmark1484"/>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485" w:name="bookmark1485"/>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60" w:line="240" w:lineRule="auto"/>
        <w:ind w:left="0" w:right="0" w:firstLine="0"/>
        <w:jc w:val="left"/>
      </w:pPr>
      <w:bookmarkStart w:id="1486" w:name="bookmark1486"/>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6</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87"/>
      <w:bookmarkEnd w:id="1488"/>
      <w:bookmarkEnd w:id="14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169,939,209.49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52,278,969.91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152,273,273.43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50,193,535.08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1,312,086.63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407,578.60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924,260.84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214,232.71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171,251,296.12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52,686,548.51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153,197,534.27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50,407,767.79</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6</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91"/>
      <w:bookmarkEnd w:id="1492"/>
      <w:bookmarkEnd w:id="14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685,657.48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816,169.24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489,909.96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583,493.05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746,251.56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166,645.53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134,370.92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116,187.69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155,739.44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2,399,994.96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1,575,699.79</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税金及附加比上年较大幅度增长主要原因是根据财政部关于《增值税会计处理规定》的通知，从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日起将原计入管 理费用的各项税费，纳入</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科目核算。</w:t>
      </w:r>
    </w:p>
    <w:p>
      <w:pPr>
        <w:pStyle w:val="Style35"/>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95"/>
      <w:bookmarkEnd w:id="1496"/>
      <w:bookmarkEnd w:id="14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9,263,979.29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7,298,388.93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2,527,136.75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2,380,421.02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2,923,685.48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2,555,659.17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2,698,142.60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2,432,212.44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2,657,478.47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2,979,543.71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345,485.90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7,062,525.28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5,323,442.83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352,742.86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365,679.63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196,845.73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241,849.97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27,822,307.75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23,922,683.60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销售费用较上年增加的主要原因为为开拓新市场而投入的人工及市场推广费增加。</w:t>
      </w:r>
    </w:p>
    <w:p>
      <w:pPr>
        <w:pStyle w:val="Style35"/>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99"/>
      <w:bookmarkEnd w:id="1500"/>
      <w:bookmarkEnd w:id="1502"/>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10,141,007.90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7,557,151.08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3,043,108.50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2,480,006.83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1,071,130.32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445,757.87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2,416,871.94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1,786,096.58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3,569,820.59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2,792,238.25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338,318.46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1,073,989.19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2,827,698.06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2,930,533.44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24,446,038.31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19,579,033.46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961,743.36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577,347.68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154,357.00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1,926,635.40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926,424.35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50,892,384.84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40,302,935.73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03"/>
      <w:bookmarkEnd w:id="1504"/>
      <w:bookmarkEnd w:id="15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64,766.66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67,576.66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837,894.70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383,015.91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26,289.62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-741,678.62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-289,149.63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本报告期，财务费用较去年同期减少，主要系募集资金到账产生利息收入所致。</w:t>
      </w:r>
    </w:p>
    <w:p>
      <w:pPr>
        <w:pStyle w:val="Style35"/>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07"/>
      <w:bookmarkEnd w:id="1508"/>
      <w:bookmarkEnd w:id="15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4,570,784.55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1,960,890.01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4,570,784.55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1,960,890.01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11"/>
      <w:bookmarkEnd w:id="1512"/>
      <w:bookmarkEnd w:id="151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15"/>
      <w:bookmarkEnd w:id="1516"/>
      <w:bookmarkEnd w:id="15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19"/>
      <w:bookmarkEnd w:id="1520"/>
      <w:bookmarkEnd w:id="15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9,362,502.38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6,787,002.04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2,682,150.00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21,882.45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9,390,733.04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6,810,947.83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2,710,380.66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软件增值税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国家税务总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6,680,352.38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4,300,987.81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福州市科技 局第七批省 创新型企业 项目配套奖 励经费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福州市财政 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6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小微企业创 新发展项目 补助收入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哈尔滨市科 学技术局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软件产业发 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福州市晋安 区财政局、福 州市鼓楼区 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高校毕业生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福州市公务 员局、福州市 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福州市发展 和改革委员 会</w:t>
            </w:r>
            <w:r>
              <w:rPr>
                <w:rFonts w:ascii="Times New Roman" w:eastAsia="Times New Roman" w:hAnsi="Times New Roman" w:cs="Times New Roman"/>
                <w:color w:val="000000"/>
                <w:spacing w:val="0"/>
                <w:w w:val="100"/>
                <w:position w:val="0"/>
              </w:rPr>
              <w:t>E</w:t>
            </w:r>
            <w:r>
              <w:rPr>
                <w:color w:val="000000"/>
                <w:spacing w:val="0"/>
                <w:w w:val="100"/>
                <w:position w:val="0"/>
              </w:rPr>
              <w:t>缴通互 联网资金补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福州市财政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福州市科技 局动态公务 监管系统专 项经费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福州市财政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南岗区科技 计划项目扶 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哈尔滨市南 岗区科学技 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高新技术企 业政策性资 金补助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哈尔滨市科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学技术局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科技领军人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才专项资金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科技项目计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划经费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福州市科技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9,362,502.38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6,787,002.04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23"/>
      <w:bookmarkEnd w:id="1524"/>
      <w:bookmarkEnd w:id="15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18,111.98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18,111.98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2,193.46</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18,111.98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7</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27"/>
      <w:bookmarkEnd w:id="1528"/>
      <w:bookmarkEnd w:id="1530"/>
    </w:p>
    <w:p>
      <w:pPr>
        <w:pStyle w:val="Style35"/>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7"/>
      <w:bookmarkEnd w:id="1528"/>
      <w:bookmarkEnd w:id="15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5,901,617.23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5,384,280.56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-232,204.22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-417,475.24</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5,669,413.01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4,966,805.32</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2"/>
      <w:bookmarkEnd w:id="1533"/>
      <w:bookmarkEnd w:id="15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43,297,764.55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6,494,664.70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-203,188.00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510,176.40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-1,620,056.42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442,739.75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-97,859.98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以前年度递延所得税资产转回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186,177.19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5,669,413.01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7</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35"/>
      <w:bookmarkEnd w:id="1536"/>
      <w:bookmarkEnd w:id="153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5"/>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7</w:t>
      </w:r>
      <w:bookmarkEnd w:id="1541"/>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39"/>
      <w:bookmarkEnd w:id="1540"/>
      <w:bookmarkEnd w:id="1542"/>
    </w:p>
    <w:p>
      <w:pPr>
        <w:pStyle w:val="Style35"/>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9"/>
      <w:bookmarkEnd w:id="1540"/>
      <w:bookmarkEnd w:id="15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2,701,389.25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2,509,960.02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837,894.70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383,015.91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7,833,618.22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8,015,739.29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11,372,902.17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10,908,715.22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4"/>
      <w:bookmarkEnd w:id="1545"/>
      <w:bookmarkEnd w:id="15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管理费用、销售费用中支付的现金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32,250,864.12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26,508,562.83</w:t>
            </w:r>
          </w:p>
        </w:tc>
      </w:tr>
    </w:tbl>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26,286.12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12,265,763.18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9,667,260.57</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44,547,956.72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36,202,109.52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47"/>
      <w:bookmarkEnd w:id="1548"/>
      <w:bookmarkEnd w:id="15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1"/>
      <w:bookmarkEnd w:id="1552"/>
      <w:bookmarkEnd w:id="15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5"/>
      <w:bookmarkEnd w:id="1556"/>
      <w:bookmarkEnd w:id="15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收到的其他与筹资活动有关的现金说明：</w:t>
      </w:r>
    </w:p>
    <w:p>
      <w:pPr>
        <w:pStyle w:val="Style35"/>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9"/>
      <w:bookmarkEnd w:id="1560"/>
      <w:bookmarkEnd w:id="15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7,611,756.05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7,611,756.05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支付的其他与筹资活动有关的现金说明:</w:t>
      </w:r>
    </w:p>
    <w:p>
      <w:pPr>
        <w:pStyle w:val="Style35"/>
        <w:keepNext/>
        <w:keepLines/>
        <w:widowControl w:val="0"/>
        <w:shd w:val="clear" w:color="auto" w:fill="auto"/>
        <w:bidi w:val="0"/>
        <w:spacing w:before="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63"/>
      <w:bookmarkEnd w:id="1564"/>
      <w:bookmarkEnd w:id="1566"/>
    </w:p>
    <w:p>
      <w:pPr>
        <w:pStyle w:val="Style35"/>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3"/>
      <w:bookmarkEnd w:id="1564"/>
      <w:bookmarkEnd w:id="15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37,628,351.54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37,540,737.51</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4,570,784.55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1,960,890.01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5,975,859.38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4,868,380.38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176,014.44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125,723.32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18,111.98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64,886.66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67,580.16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-232,204.22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-417,475.24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2,200,731.03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-3,317,215.79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-20,540,673.89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-2,356,667.55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3,443,762.11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10,568,903.60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32,997,092.55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48,836,982.82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259,427,006.04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88,101,251.79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88,101,251.79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59,354,742.59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171,325,754.25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28,746,509.20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68"/>
      <w:bookmarkEnd w:id="1569"/>
      <w:bookmarkEnd w:id="15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9,817,500.00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支点国际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9,817,500.00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6,616,652.52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支点国际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6,616,652.52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3,200,847.48</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51"/>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本期收到的处置子公司的现金净额</w:t>
      </w:r>
      <w:bookmarkEnd w:id="1571"/>
      <w:bookmarkEnd w:id="1572"/>
      <w:bookmarkEnd w:id="15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51"/>
        </w:numPr>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现金和现金等价物的构成</w:t>
      </w:r>
      <w:bookmarkEnd w:id="1575"/>
      <w:bookmarkEnd w:id="1576"/>
      <w:bookmarkEnd w:id="15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259,427,006.04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88,101,251.79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202,612.67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202,726.16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259,224,393.37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87,898,525.63</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259,427,006.04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88,101,251.79</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7</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79"/>
      <w:bookmarkEnd w:id="1580"/>
      <w:bookmarkEnd w:id="158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5"/>
        <w:keepNext/>
        <w:keepLines/>
        <w:widowControl w:val="0"/>
        <w:shd w:val="clear" w:color="auto" w:fill="auto"/>
        <w:tabs>
          <w:tab w:pos="478" w:val="left"/>
        </w:tabs>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7</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83"/>
      <w:bookmarkEnd w:id="1584"/>
      <w:bookmarkEnd w:id="15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207,860.00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87"/>
      <w:bookmarkEnd w:id="1588"/>
      <w:bookmarkEnd w:id="1590"/>
    </w:p>
    <w:p>
      <w:pPr>
        <w:pStyle w:val="Style35"/>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7"/>
      <w:bookmarkEnd w:id="1588"/>
      <w:bookmarkEnd w:id="159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322" w:lineRule="exact"/>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2"/>
      <w:bookmarkEnd w:id="1593"/>
      <w:bookmarkEnd w:id="1594"/>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line="322" w:lineRule="exact"/>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95"/>
      <w:bookmarkEnd w:id="1596"/>
      <w:bookmarkEnd w:id="1598"/>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78" w:val="left"/>
        </w:tabs>
        <w:bidi w:val="0"/>
        <w:spacing w:before="0" w:line="322" w:lineRule="exact"/>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99"/>
      <w:bookmarkEnd w:id="1600"/>
      <w:bookmarkEnd w:id="1602"/>
    </w:p>
    <w:p>
      <w:pPr>
        <w:pStyle w:val="Style27"/>
        <w:keepNext/>
        <w:keepLines/>
        <w:widowControl w:val="0"/>
        <w:shd w:val="clear" w:color="auto" w:fill="auto"/>
        <w:bidi w:val="0"/>
        <w:spacing w:before="0" w:after="28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sz w:val="24"/>
          <w:szCs w:val="24"/>
        </w:rPr>
        <w:t>八</w:t>
      </w:r>
      <w:bookmarkEnd w:id="1605"/>
      <w:r>
        <w:rPr>
          <w:color w:val="000000"/>
          <w:spacing w:val="0"/>
          <w:w w:val="100"/>
          <w:position w:val="0"/>
          <w:sz w:val="24"/>
          <w:szCs w:val="24"/>
        </w:rPr>
        <w:t>、合并范围的变更</w:t>
      </w:r>
      <w:bookmarkEnd w:id="1603"/>
      <w:bookmarkEnd w:id="1604"/>
      <w:bookmarkEnd w:id="1606"/>
    </w:p>
    <w:p>
      <w:pPr>
        <w:pStyle w:val="Style35"/>
        <w:keepNext/>
        <w:keepLines/>
        <w:widowControl w:val="0"/>
        <w:shd w:val="clear" w:color="auto" w:fill="auto"/>
        <w:bidi w:val="0"/>
        <w:spacing w:before="0" w:after="280" w:line="322" w:lineRule="exact"/>
        <w:ind w:left="0" w:right="0" w:firstLine="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07"/>
      <w:bookmarkEnd w:id="1608"/>
      <w:bookmarkEnd w:id="1609"/>
    </w:p>
    <w:p>
      <w:pPr>
        <w:pStyle w:val="Style35"/>
        <w:keepNext/>
        <w:keepLines/>
        <w:widowControl w:val="0"/>
        <w:shd w:val="clear" w:color="auto" w:fill="auto"/>
        <w:bidi w:val="0"/>
        <w:spacing w:before="0" w:line="322" w:lineRule="exact"/>
        <w:ind w:left="0" w:right="0" w:firstLine="0"/>
        <w:jc w:val="left"/>
      </w:pPr>
      <w:bookmarkStart w:id="1607" w:name="bookmark1607"/>
      <w:bookmarkStart w:id="1608" w:name="bookmark1608"/>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7"/>
      <w:bookmarkEnd w:id="1608"/>
      <w:bookmarkEnd w:id="16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购买日至期 末被购买方 的净利润</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北京支点国 际资讯投资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16,345,500.0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股权变更手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续办理完毕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1,617,725.72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-964,050.26</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11"/>
      <w:bookmarkEnd w:id="1612"/>
      <w:bookmarkEnd w:id="16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北京支点国际资讯投资有限公司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16,345,500.00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16,345,500.00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3,720,525.39</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12,624,974.61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14"/>
      <w:bookmarkEnd w:id="1615"/>
      <w:bookmarkEnd w:id="1617"/>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北京支点国际资讯投资有限公司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13,671,810.16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13,671,810.16</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192,007.71</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171,263.27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171,263.27</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6,574,387.25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6,574,387.25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7,289,430.62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7,289,430.62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7,289,430.62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7,289,430.62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360" w:line="315" w:lineRule="exact"/>
        <w:ind w:left="0" w:right="0"/>
        <w:jc w:val="left"/>
      </w:pPr>
      <w:r>
        <w:rPr>
          <w:color w:val="000000"/>
          <w:spacing w:val="0"/>
          <w:w w:val="100"/>
          <w:position w:val="0"/>
        </w:rPr>
        <w:t>根据公司第二届董事会第九次会议决议，公司以收购部分股权和增资方式获取北京支点国际资讯投资有限公司</w:t>
      </w:r>
      <w:r>
        <w:rPr>
          <w:rFonts w:ascii="Times New Roman" w:eastAsia="Times New Roman" w:hAnsi="Times New Roman" w:cs="Times New Roman"/>
          <w:color w:val="000000"/>
          <w:spacing w:val="0"/>
          <w:w w:val="100"/>
          <w:position w:val="0"/>
        </w:rPr>
        <w:t xml:space="preserve">51.04% </w:t>
      </w:r>
      <w:r>
        <w:rPr>
          <w:color w:val="000000"/>
          <w:spacing w:val="0"/>
          <w:w w:val="100"/>
          <w:position w:val="0"/>
        </w:rPr>
        <w:t>股权，业经北京中企华资产评估有限责任公司进行评估，并出具可辨认资产公允价值资产评估报告书。评估基准时点</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日，被购买方账面净资产</w:t>
      </w:r>
      <w:r>
        <w:rPr>
          <w:rFonts w:ascii="Times New Roman" w:eastAsia="Times New Roman" w:hAnsi="Times New Roman" w:cs="Times New Roman"/>
          <w:color w:val="000000"/>
          <w:spacing w:val="0"/>
          <w:w w:val="100"/>
          <w:position w:val="0"/>
        </w:rPr>
        <w:t>181.86</w:t>
      </w:r>
      <w:r>
        <w:rPr>
          <w:color w:val="000000"/>
          <w:spacing w:val="0"/>
          <w:w w:val="100"/>
          <w:position w:val="0"/>
        </w:rPr>
        <w:t>万元，评估可辨认净资产公允价值</w:t>
      </w:r>
      <w:r>
        <w:rPr>
          <w:rFonts w:ascii="Times New Roman" w:eastAsia="Times New Roman" w:hAnsi="Times New Roman" w:cs="Times New Roman"/>
          <w:color w:val="000000"/>
          <w:spacing w:val="0"/>
          <w:w w:val="100"/>
          <w:position w:val="0"/>
        </w:rPr>
        <w:t>182.18</w:t>
      </w:r>
      <w:r>
        <w:rPr>
          <w:color w:val="000000"/>
          <w:spacing w:val="0"/>
          <w:w w:val="100"/>
          <w:position w:val="0"/>
        </w:rPr>
        <w:t>万元，两者差异较小，以购买日被购买方资 产、负债的账面价值作为取得的可辨认资产、负债的公允价值。</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其他说明：</w:t>
      </w:r>
    </w:p>
    <w:p>
      <w:pPr>
        <w:pStyle w:val="Style56"/>
        <w:keepNext w:val="0"/>
        <w:keepLines w:val="0"/>
        <w:widowControl w:val="0"/>
        <w:shd w:val="clear" w:color="auto" w:fill="auto"/>
        <w:tabs>
          <w:tab w:pos="488" w:val="left"/>
        </w:tabs>
        <w:bidi w:val="0"/>
        <w:spacing w:before="0" w:after="280" w:line="240" w:lineRule="auto"/>
        <w:ind w:left="0" w:right="0" w:firstLine="0"/>
        <w:jc w:val="left"/>
      </w:pPr>
      <w:bookmarkStart w:id="1618" w:name="bookmark1618"/>
      <w:r>
        <w:rPr>
          <w:color w:val="000000"/>
          <w:spacing w:val="0"/>
          <w:w w:val="100"/>
          <w:position w:val="0"/>
        </w:rPr>
        <w:t>（</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p>
    <w:p>
      <w:pPr>
        <w:pStyle w:val="Style31"/>
        <w:keepNext w:val="0"/>
        <w:keepLines w:val="0"/>
        <w:widowControl w:val="0"/>
        <w:shd w:val="clear" w:color="auto" w:fill="auto"/>
        <w:bidi w:val="0"/>
        <w:spacing w:before="0" w:after="80" w:line="315" w:lineRule="exact"/>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6"/>
        <w:keepNext w:val="0"/>
        <w:keepLines w:val="0"/>
        <w:widowControl w:val="0"/>
        <w:shd w:val="clear" w:color="auto" w:fill="auto"/>
        <w:tabs>
          <w:tab w:pos="488" w:val="left"/>
        </w:tabs>
        <w:bidi w:val="0"/>
        <w:spacing w:before="0" w:after="360" w:line="240" w:lineRule="auto"/>
        <w:ind w:left="0" w:right="0" w:firstLine="0"/>
        <w:jc w:val="left"/>
      </w:pPr>
      <w:bookmarkStart w:id="1619" w:name="bookmark1619"/>
      <w:r>
        <w:rPr>
          <w:color w:val="000000"/>
          <w:spacing w:val="0"/>
          <w:w w:val="100"/>
          <w:position w:val="0"/>
        </w:rPr>
        <w:t>（</w:t>
      </w:r>
      <w:bookmarkEnd w:id="161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p>
    <w:p>
      <w:pPr>
        <w:pStyle w:val="Style56"/>
        <w:keepNext w:val="0"/>
        <w:keepLines w:val="0"/>
        <w:widowControl w:val="0"/>
        <w:shd w:val="clear" w:color="auto" w:fill="auto"/>
        <w:tabs>
          <w:tab w:pos="488" w:val="left"/>
        </w:tabs>
        <w:bidi w:val="0"/>
        <w:spacing w:before="0" w:after="360" w:line="240" w:lineRule="auto"/>
        <w:ind w:left="0" w:right="0" w:firstLine="0"/>
        <w:jc w:val="left"/>
      </w:pPr>
      <w:bookmarkStart w:id="1620" w:name="bookmark1620"/>
      <w:r>
        <w:rPr>
          <w:color w:val="000000"/>
          <w:spacing w:val="0"/>
          <w:w w:val="100"/>
          <w:position w:val="0"/>
        </w:rPr>
        <w:t>（</w:t>
      </w:r>
      <w:bookmarkEnd w:id="162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56"/>
        <w:keepNext w:val="0"/>
        <w:keepLines w:val="0"/>
        <w:widowControl w:val="0"/>
        <w:shd w:val="clear" w:color="auto" w:fill="auto"/>
        <w:bidi w:val="0"/>
        <w:spacing w:before="0" w:after="36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rPr>
        <w:t>2</w:t>
      </w:r>
      <w:bookmarkEnd w:id="1621"/>
      <w:r>
        <w:rPr>
          <w:color w:val="000000"/>
          <w:spacing w:val="0"/>
          <w:w w:val="100"/>
          <w:position w:val="0"/>
        </w:rPr>
        <w:t>、同一控制下企业合并</w:t>
      </w:r>
    </w:p>
    <w:p>
      <w:pPr>
        <w:pStyle w:val="Style56"/>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31"/>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6"/>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22"/>
      <w:bookmarkEnd w:id="1623"/>
      <w:bookmarkEnd w:id="16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color w:val="000000"/>
          <w:spacing w:val="0"/>
          <w:w w:val="100"/>
          <w:position w:val="0"/>
        </w:rPr>
        <w:t>、</w:t>
        <w:tab/>
        <w:t>反向购买</w:t>
      </w:r>
      <w:bookmarkEnd w:id="1626"/>
      <w:bookmarkEnd w:id="1627"/>
      <w:bookmarkEnd w:id="1629"/>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color w:val="000000"/>
          <w:spacing w:val="0"/>
          <w:w w:val="100"/>
          <w:position w:val="0"/>
        </w:rPr>
        <w:t>、</w:t>
        <w:tab/>
        <w:t>处置子公司</w:t>
      </w:r>
      <w:bookmarkEnd w:id="1630"/>
      <w:bookmarkEnd w:id="1631"/>
      <w:bookmarkEnd w:id="1633"/>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color w:val="000000"/>
          <w:spacing w:val="0"/>
          <w:w w:val="100"/>
          <w:position w:val="0"/>
        </w:rPr>
        <w:t>、</w:t>
        <w:tab/>
        <w:t>其他原因的合并范围变动</w:t>
      </w:r>
      <w:bookmarkEnd w:id="1634"/>
      <w:bookmarkEnd w:id="1635"/>
      <w:bookmarkEnd w:id="1637"/>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本年公司投资设立子公司而增加并表单位如下：福州博思兴创信息科技有限公司；北京博思致新互联网科技有限责任公司。 具体持股情况详见</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tabs>
          <w:tab w:pos="378"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color w:val="000000"/>
          <w:spacing w:val="0"/>
          <w:w w:val="100"/>
          <w:position w:val="0"/>
        </w:rPr>
        <w:t>、</w:t>
        <w:tab/>
        <w:t>其他</w:t>
      </w:r>
      <w:bookmarkEnd w:id="1638"/>
      <w:bookmarkEnd w:id="1639"/>
      <w:bookmarkEnd w:id="1641"/>
    </w:p>
    <w:p>
      <w:pPr>
        <w:pStyle w:val="Style27"/>
        <w:keepNext/>
        <w:keepLines/>
        <w:widowControl w:val="0"/>
        <w:shd w:val="clear" w:color="auto" w:fill="auto"/>
        <w:bidi w:val="0"/>
        <w:spacing w:before="0" w:after="36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sz w:val="24"/>
          <w:szCs w:val="24"/>
        </w:rPr>
        <w:t>九</w:t>
      </w:r>
      <w:bookmarkEnd w:id="1644"/>
      <w:r>
        <w:rPr>
          <w:color w:val="000000"/>
          <w:spacing w:val="0"/>
          <w:w w:val="100"/>
          <w:position w:val="0"/>
          <w:sz w:val="24"/>
          <w:szCs w:val="24"/>
        </w:rPr>
        <w:t>、在其他主体中的权益</w:t>
      </w:r>
      <w:bookmarkEnd w:id="1642"/>
      <w:bookmarkEnd w:id="1643"/>
      <w:bookmarkEnd w:id="1645"/>
    </w:p>
    <w:p>
      <w:pPr>
        <w:pStyle w:val="Style35"/>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6"/>
      <w:bookmarkEnd w:id="1647"/>
      <w:bookmarkEnd w:id="1648"/>
    </w:p>
    <w:p>
      <w:pPr>
        <w:pStyle w:val="Style35"/>
        <w:keepNext/>
        <w:keepLines/>
        <w:widowControl w:val="0"/>
        <w:shd w:val="clear" w:color="auto" w:fill="auto"/>
        <w:bidi w:val="0"/>
        <w:spacing w:before="0" w:line="240" w:lineRule="auto"/>
        <w:ind w:left="0" w:right="0" w:firstLine="140"/>
        <w:jc w:val="left"/>
      </w:pPr>
      <w:bookmarkStart w:id="1646" w:name="bookmark1646"/>
      <w:bookmarkStart w:id="1647" w:name="bookmark1647"/>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6"/>
      <w:bookmarkEnd w:id="1647"/>
      <w:bookmarkEnd w:id="1649"/>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哈尔滨博思伟业 科技发展有限公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哈尔滨市南岗区 衡山路</w:t>
            </w:r>
            <w:r>
              <w:rPr>
                <w:rFonts w:ascii="Times New Roman" w:eastAsia="Times New Roman" w:hAnsi="Times New Roman" w:cs="Times New Roman"/>
                <w:color w:val="000000"/>
                <w:spacing w:val="0"/>
                <w:w w:val="100"/>
                <w:position w:val="0"/>
              </w:rPr>
              <w:t>36</w:t>
            </w:r>
            <w:r>
              <w:rPr>
                <w:color w:val="000000"/>
                <w:spacing w:val="0"/>
                <w:w w:val="100"/>
                <w:position w:val="0"/>
              </w:rPr>
              <w:t>号</w:t>
            </w:r>
            <w:r>
              <w:rPr>
                <w:rFonts w:ascii="Times New Roman" w:eastAsia="Times New Roman" w:hAnsi="Times New Roman" w:cs="Times New Roman"/>
                <w:color w:val="000000"/>
                <w:spacing w:val="0"/>
                <w:w w:val="100"/>
                <w:position w:val="0"/>
              </w:rPr>
              <w:t xml:space="preserve">（1-4 </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计算机软硬件的 技术开发及销 售；计算机网络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工程的技术咨 询、技术服务。</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北京博思兴华软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北京市海淀区永 澄北路</w:t>
            </w:r>
            <w:r>
              <w:rPr>
                <w:rFonts w:ascii="Times New Roman" w:eastAsia="Times New Roman" w:hAnsi="Times New Roman" w:cs="Times New Roman"/>
                <w:color w:val="000000"/>
                <w:spacing w:val="0"/>
                <w:w w:val="100"/>
                <w:position w:val="0"/>
              </w:rPr>
              <w:t>2</w:t>
            </w:r>
            <w:r>
              <w:rPr>
                <w:color w:val="000000"/>
                <w:spacing w:val="0"/>
                <w:w w:val="100"/>
                <w:position w:val="0"/>
              </w:rPr>
              <w:t>号院</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rPr>
              <w:t>B</w:t>
            </w:r>
            <w:r>
              <w:rPr>
                <w:color w:val="000000"/>
                <w:spacing w:val="0"/>
                <w:w w:val="100"/>
                <w:position w:val="0"/>
              </w:rPr>
              <w:t>座一层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应用软件服务； 技术开发、技术 服务、技术咨询； 销售计算机、软 件及辅助设备</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（计算机信息系 统安全专用产品 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福建华兴科技有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福州市鼓楼区五 四路</w:t>
            </w:r>
            <w:r>
              <w:rPr>
                <w:rFonts w:ascii="Times New Roman" w:eastAsia="Times New Roman" w:hAnsi="Times New Roman" w:cs="Times New Roman"/>
                <w:color w:val="000000"/>
                <w:spacing w:val="0"/>
                <w:w w:val="100"/>
                <w:position w:val="0"/>
              </w:rPr>
              <w:t>159</w:t>
            </w:r>
            <w:r>
              <w:rPr>
                <w:color w:val="000000"/>
                <w:spacing w:val="0"/>
                <w:w w:val="100"/>
                <w:position w:val="0"/>
              </w:rPr>
              <w:t>号世界 金龙大厦</w:t>
            </w:r>
            <w:r>
              <w:rPr>
                <w:rFonts w:ascii="Times New Roman" w:eastAsia="Times New Roman" w:hAnsi="Times New Roman" w:cs="Times New Roman"/>
                <w:color w:val="000000"/>
                <w:spacing w:val="0"/>
                <w:w w:val="100"/>
                <w:position w:val="0"/>
              </w:rPr>
              <w:t>15</w:t>
            </w:r>
            <w:r>
              <w:rPr>
                <w:color w:val="000000"/>
                <w:spacing w:val="0"/>
                <w:w w:val="100"/>
                <w:position w:val="0"/>
              </w:rPr>
              <w:t>层</w:t>
            </w:r>
            <w:r>
              <w:rPr>
                <w:rFonts w:ascii="Times New Roman" w:eastAsia="Times New Roman" w:hAnsi="Times New Roman" w:cs="Times New Roman"/>
                <w:color w:val="000000"/>
                <w:spacing w:val="0"/>
                <w:w w:val="100"/>
                <w:position w:val="0"/>
              </w:rPr>
              <w:t xml:space="preserve">B </w:t>
            </w:r>
            <w:r>
              <w:rPr>
                <w:color w:val="000000"/>
                <w:spacing w:val="0"/>
                <w:w w:val="100"/>
                <w:position w:val="0"/>
              </w:rPr>
              <w:t>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计算机软件、硬 件、通信及电子 产品的研究、开 发、销售、服务、 培训、技术转让、 技术咨询（依法 须经批准的项 目，经相关部门 批准后方可开展 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福州兴博新中大 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福建省福州市鼓 楼区工业路</w:t>
            </w:r>
            <w:r>
              <w:rPr>
                <w:rFonts w:ascii="Times New Roman" w:eastAsia="Times New Roman" w:hAnsi="Times New Roman" w:cs="Times New Roman"/>
                <w:color w:val="000000"/>
                <w:spacing w:val="0"/>
                <w:w w:val="100"/>
                <w:position w:val="0"/>
              </w:rPr>
              <w:t xml:space="preserve">611 </w:t>
            </w:r>
            <w:r>
              <w:rPr>
                <w:color w:val="000000"/>
                <w:spacing w:val="0"/>
                <w:w w:val="100"/>
                <w:position w:val="0"/>
              </w:rPr>
              <w:t>号福建高新技术 创业园</w:t>
            </w:r>
            <w:r>
              <w:rPr>
                <w:rFonts w:ascii="Times New Roman" w:eastAsia="Times New Roman" w:hAnsi="Times New Roman" w:cs="Times New Roman"/>
                <w:color w:val="000000"/>
                <w:spacing w:val="0"/>
                <w:w w:val="100"/>
                <w:position w:val="0"/>
              </w:rPr>
              <w:t>2</w:t>
            </w:r>
            <w:r>
              <w:rPr>
                <w:color w:val="000000"/>
                <w:spacing w:val="0"/>
                <w:w w:val="100"/>
                <w:position w:val="0"/>
              </w:rPr>
              <w:t>号楼三 层南</w:t>
            </w:r>
            <w:r>
              <w:rPr>
                <w:rFonts w:ascii="Times New Roman" w:eastAsia="Times New Roman" w:hAnsi="Times New Roman" w:cs="Times New Roman"/>
                <w:color w:val="000000"/>
                <w:spacing w:val="0"/>
                <w:w w:val="100"/>
                <w:position w:val="0"/>
              </w:rPr>
              <w:t>1</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计算机软硬件技 术开发、技术服 务、技术咨询、 技术转让；测绘 服务；计算机软 硬件及辅助设备 的批发、代购代 销（依法须经批 准的项目，经相 关部门批准后方 可开展经营活 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福州博思兴创信 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福州市闽侯县上 街镇高新大道</w:t>
            </w:r>
            <w:r>
              <w:rPr>
                <w:rFonts w:ascii="Times New Roman" w:eastAsia="Times New Roman" w:hAnsi="Times New Roman" w:cs="Times New Roman"/>
                <w:color w:val="000000"/>
                <w:spacing w:val="0"/>
                <w:w w:val="100"/>
                <w:position w:val="0"/>
              </w:rPr>
              <w:t xml:space="preserve">5 </w:t>
            </w:r>
            <w:r>
              <w:rPr>
                <w:color w:val="000000"/>
                <w:spacing w:val="0"/>
                <w:w w:val="100"/>
                <w:position w:val="0"/>
              </w:rPr>
              <w:t>号</w:t>
            </w:r>
            <w:r>
              <w:rPr>
                <w:rFonts w:ascii="Times New Roman" w:eastAsia="Times New Roman" w:hAnsi="Times New Roman" w:cs="Times New Roman"/>
                <w:color w:val="000000"/>
                <w:spacing w:val="0"/>
                <w:w w:val="100"/>
                <w:position w:val="0"/>
              </w:rPr>
              <w:t>17</w:t>
            </w:r>
            <w:r>
              <w:rPr>
                <w:color w:val="000000"/>
                <w:spacing w:val="0"/>
                <w:w w:val="100"/>
                <w:position w:val="0"/>
              </w:rPr>
              <w:t>楼</w:t>
            </w:r>
            <w:r>
              <w:rPr>
                <w:rFonts w:ascii="Times New Roman" w:eastAsia="Times New Roman" w:hAnsi="Times New Roman" w:cs="Times New Roman"/>
                <w:color w:val="000000"/>
                <w:spacing w:val="0"/>
                <w:w w:val="100"/>
                <w:position w:val="0"/>
              </w:rPr>
              <w:t>B</w:t>
            </w:r>
            <w:r>
              <w:rPr>
                <w:color w:val="000000"/>
                <w:spacing w:val="0"/>
                <w:w w:val="100"/>
                <w:position w:val="0"/>
              </w:rPr>
              <w:t>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软件开发、销售、 技术服务、技术 咨询；计算机系 统集成；通用设 备的销售、技术 服务；大数据安 全技术开发、大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数据处理分析服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北京支点国际资 讯投资有限公司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北京市朝阳区东 三环南路</w:t>
            </w:r>
            <w:r>
              <w:rPr>
                <w:rFonts w:ascii="Times New Roman" w:eastAsia="Times New Roman" w:hAnsi="Times New Roman" w:cs="Times New Roman"/>
                <w:color w:val="000000"/>
                <w:spacing w:val="0"/>
                <w:w w:val="100"/>
                <w:position w:val="0"/>
              </w:rPr>
              <w:t>17</w:t>
            </w:r>
            <w:r>
              <w:rPr>
                <w:color w:val="000000"/>
                <w:spacing w:val="0"/>
                <w:w w:val="100"/>
                <w:position w:val="0"/>
              </w:rPr>
              <w:t>号</w:t>
            </w:r>
            <w:r>
              <w:rPr>
                <w:rFonts w:ascii="Times New Roman" w:eastAsia="Times New Roman" w:hAnsi="Times New Roman" w:cs="Times New Roman"/>
                <w:color w:val="000000"/>
                <w:spacing w:val="0"/>
                <w:w w:val="100"/>
                <w:position w:val="0"/>
              </w:rPr>
              <w:t xml:space="preserve">B </w:t>
            </w:r>
            <w:r>
              <w:rPr>
                <w:color w:val="000000"/>
                <w:spacing w:val="0"/>
                <w:w w:val="100"/>
                <w:position w:val="0"/>
              </w:rPr>
              <w:t>座</w:t>
            </w:r>
            <w:r>
              <w:rPr>
                <w:rFonts w:ascii="Times New Roman" w:eastAsia="Times New Roman" w:hAnsi="Times New Roman" w:cs="Times New Roman"/>
                <w:color w:val="000000"/>
                <w:spacing w:val="0"/>
                <w:w w:val="100"/>
                <w:position w:val="0"/>
              </w:rPr>
              <w:t>26</w:t>
            </w:r>
            <w:r>
              <w:rPr>
                <w:color w:val="000000"/>
                <w:spacing w:val="0"/>
                <w:w w:val="100"/>
                <w:position w:val="0"/>
              </w:rPr>
              <w:t>层</w:t>
            </w:r>
            <w:r>
              <w:rPr>
                <w:rFonts w:ascii="Times New Roman" w:eastAsia="Times New Roman" w:hAnsi="Times New Roman" w:cs="Times New Roman"/>
                <w:color w:val="000000"/>
                <w:spacing w:val="0"/>
                <w:w w:val="100"/>
                <w:position w:val="0"/>
              </w:rPr>
              <w:t>26B</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第二类增值电信 业务中的信息服 务业务（互联网 信息服务不含新 闻、出版、教育、 医疗保健、药品 和医疗器械、电 子公告服务）。</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（互联网信息服 务增值电信业务 经营许可证有效 期至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日）；项目投 资；投资管理； 经济贸易咨询； 企业管理咨询； 组织文化艺术交 流活动（不含演 出）；影视策划； 会议及展览服 务；投资咨询； 技术推广服务； 招标代理；计算 系统服务；计算 机技术培训；销 售计算机软件、 及辅助设备；设 计、制作、代理、 发布广告；企业 征信服务。（企业 依法自主选择经 营项目，开展经 营活动；依法须 经批准的项目， 经相关部门批准 后依批准的内容 开展经营活动； 不得从事本是产 业政策禁止和限 制类的经营活 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北京博思致新互 联网科技有限责 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北京市海淀区北 三环西路甲</w:t>
            </w:r>
            <w:r>
              <w:rPr>
                <w:rFonts w:ascii="Times New Roman" w:eastAsia="Times New Roman" w:hAnsi="Times New Roman" w:cs="Times New Roman"/>
                <w:color w:val="000000"/>
                <w:spacing w:val="0"/>
                <w:w w:val="100"/>
                <w:position w:val="0"/>
              </w:rPr>
              <w:t>18</w:t>
            </w:r>
            <w:r>
              <w:rPr>
                <w:color w:val="000000"/>
                <w:spacing w:val="0"/>
                <w:w w:val="100"/>
                <w:position w:val="0"/>
              </w:rPr>
              <w:t>号 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推广、技术转让、 技术咨询、技术 服务；计算机系 统服务；基础软 件服务；应用软 件服务；销售计 算机、软件及辅 助设备。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0"/>
      <w:bookmarkEnd w:id="1651"/>
      <w:bookmarkEnd w:id="16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福州兴博新中大软件有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3,646,670.11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北京博思致新互联网科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-824,456.73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645,543.27</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北京支点国际资讯投资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-471,999.01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3,096,906.22</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53"/>
        </w:numPr>
        <w:shd w:val="clear" w:color="auto" w:fill="auto"/>
        <w:bidi w:val="0"/>
        <w:spacing w:before="0" w:after="380" w:line="240" w:lineRule="auto"/>
        <w:ind w:left="0" w:right="0" w:firstLine="14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重要非全资子公司的主要财务信息</w:t>
      </w:r>
      <w:bookmarkEnd w:id="1653"/>
      <w:bookmarkEnd w:id="1654"/>
      <w:bookmarkEnd w:id="16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1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福州兴 博新中 大软件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804.85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652.32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w:t>
            </w:r>
          </w:p>
        </w:tc>
      </w:tr>
    </w:tbl>
    <w:p>
      <w:pPr>
        <w:widowControl w:val="0"/>
        <w:spacing w:line="1" w:lineRule="exact"/>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19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 思致新 互联网 科技有 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北京支 点国际 资讯投 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1,109.68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福州兴博新 中大软件有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北京博思致 新互联网科 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北京支点国 际资讯投资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tabs>
          <w:tab w:pos="488"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57"/>
      <w:bookmarkEnd w:id="1658"/>
      <w:bookmarkEnd w:id="1660"/>
    </w:p>
    <w:p>
      <w:pPr>
        <w:pStyle w:val="Style35"/>
        <w:keepNext/>
        <w:keepLines/>
        <w:widowControl w:val="0"/>
        <w:shd w:val="clear" w:color="auto" w:fill="auto"/>
        <w:tabs>
          <w:tab w:pos="488" w:val="left"/>
        </w:tabs>
        <w:bidi w:val="0"/>
        <w:spacing w:before="0" w:line="240" w:lineRule="auto"/>
        <w:ind w:left="0" w:right="0" w:firstLine="0"/>
        <w:jc w:val="left"/>
      </w:pPr>
      <w:bookmarkStart w:id="1657" w:name="bookmark1657"/>
      <w:bookmarkStart w:id="1658" w:name="bookmark1658"/>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57"/>
      <w:bookmarkEnd w:id="1658"/>
      <w:bookmarkEnd w:id="1662"/>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63"/>
      <w:bookmarkEnd w:id="1664"/>
      <w:bookmarkEnd w:id="1665"/>
    </w:p>
    <w:p>
      <w:pPr>
        <w:pStyle w:val="Style35"/>
        <w:keepNext/>
        <w:keepLines/>
        <w:widowControl w:val="0"/>
        <w:shd w:val="clear" w:color="auto" w:fill="auto"/>
        <w:tabs>
          <w:tab w:pos="488" w:val="left"/>
        </w:tabs>
        <w:bidi w:val="0"/>
        <w:spacing w:before="0" w:line="240" w:lineRule="auto"/>
        <w:ind w:left="0" w:right="0" w:firstLine="0"/>
        <w:jc w:val="left"/>
      </w:pPr>
      <w:bookmarkStart w:id="1663" w:name="bookmark1663"/>
      <w:bookmarkStart w:id="1664" w:name="bookmark1664"/>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3"/>
      <w:bookmarkEnd w:id="1664"/>
      <w:bookmarkEnd w:id="1667"/>
    </w:p>
    <w:p>
      <w:pPr>
        <w:pStyle w:val="Style35"/>
        <w:keepNext/>
        <w:keepLines/>
        <w:widowControl w:val="0"/>
        <w:shd w:val="clear" w:color="auto" w:fill="auto"/>
        <w:tabs>
          <w:tab w:pos="488" w:val="left"/>
        </w:tabs>
        <w:bidi w:val="0"/>
        <w:spacing w:before="0" w:line="240" w:lineRule="auto"/>
        <w:ind w:left="0" w:right="0" w:firstLine="0"/>
        <w:jc w:val="left"/>
      </w:pPr>
      <w:bookmarkStart w:id="1663" w:name="bookmark1663"/>
      <w:bookmarkStart w:id="1664" w:name="bookmark1664"/>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3"/>
      <w:bookmarkEnd w:id="1664"/>
      <w:bookmarkEnd w:id="1669"/>
    </w:p>
    <w:p>
      <w:pPr>
        <w:pStyle w:val="Style31"/>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、在合营安排或联营企业中的权益</w:t>
      </w:r>
      <w:bookmarkEnd w:id="1670"/>
      <w:bookmarkEnd w:id="1671"/>
      <w:bookmarkEnd w:id="1673"/>
    </w:p>
    <w:p>
      <w:pPr>
        <w:pStyle w:val="Style35"/>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4" w:name="bookmark1674"/>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0"/>
      <w:bookmarkEnd w:id="1671"/>
      <w:bookmarkEnd w:id="1674"/>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福建博宇信息科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财税软件研发、 销售、技术服务， 财税信息化系统 咨询服务、财税 信息服务咨询； 软件及计算机技 术咨询、服务； 信息技术的服 务；计算机软、 硬件技术研发及 系统集成；通信 及计算机设备的 销售；办公用品、 网络设备、电子 产品、数码产品、 软硬件及外部设 备、打印纸、计 算机和耗材销 售。(依法须经批 准的项目，经相 关部门批准后方 可开展经营活 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75"/>
      <w:bookmarkEnd w:id="1676"/>
      <w:bookmarkEnd w:id="16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55"/>
        </w:numPr>
        <w:shd w:val="clear" w:color="auto" w:fill="auto"/>
        <w:bidi w:val="0"/>
        <w:spacing w:before="0" w:after="40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重要联营企业的主要财务信息</w:t>
      </w:r>
      <w:bookmarkEnd w:id="1678"/>
      <w:bookmarkEnd w:id="1679"/>
      <w:bookmarkEnd w:id="1681"/>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55"/>
        </w:numPr>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不重要的合营企业和联营企业的汇总财务信息</w:t>
      </w:r>
      <w:bookmarkEnd w:id="1682"/>
      <w:bookmarkEnd w:id="1683"/>
      <w:bookmarkEnd w:id="16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55"/>
        </w:numPr>
        <w:shd w:val="clear" w:color="auto" w:fill="auto"/>
        <w:tabs>
          <w:tab w:pos="628" w:val="left"/>
        </w:tabs>
        <w:bidi w:val="0"/>
        <w:spacing w:before="0" w:line="240" w:lineRule="auto"/>
        <w:ind w:left="0" w:right="0" w:firstLine="14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合营企业或联营企业向本公司转移资金的能力存在重大限制的说明</w:t>
      </w:r>
      <w:bookmarkEnd w:id="1686"/>
      <w:bookmarkEnd w:id="1687"/>
      <w:bookmarkEnd w:id="1689"/>
    </w:p>
    <w:p>
      <w:pPr>
        <w:pStyle w:val="Style35"/>
        <w:keepNext/>
        <w:keepLines/>
        <w:widowControl w:val="0"/>
        <w:numPr>
          <w:ilvl w:val="0"/>
          <w:numId w:val="55"/>
        </w:numPr>
        <w:shd w:val="clear" w:color="auto" w:fill="auto"/>
        <w:tabs>
          <w:tab w:pos="628" w:val="left"/>
        </w:tabs>
        <w:bidi w:val="0"/>
        <w:spacing w:before="0" w:line="240" w:lineRule="auto"/>
        <w:ind w:left="0" w:right="0" w:firstLine="140"/>
        <w:jc w:val="left"/>
      </w:pPr>
      <w:bookmarkStart w:id="1686" w:name="bookmark1686"/>
      <w:bookmarkStart w:id="1687" w:name="bookmark1687"/>
      <w:bookmarkStart w:id="1690" w:name="bookmark1690"/>
      <w:bookmarkStart w:id="1691" w:name="bookmark1691"/>
      <w:bookmarkEnd w:id="1690"/>
      <w:r>
        <w:rPr>
          <w:color w:val="000000"/>
          <w:spacing w:val="0"/>
          <w:w w:val="100"/>
          <w:position w:val="0"/>
        </w:rPr>
        <w:t>合营企业或联营企业发生的超额亏损</w:t>
      </w:r>
      <w:bookmarkEnd w:id="1686"/>
      <w:bookmarkEnd w:id="1687"/>
      <w:bookmarkEnd w:id="169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55"/>
        </w:numPr>
        <w:shd w:val="clear" w:color="auto" w:fill="auto"/>
        <w:tabs>
          <w:tab w:pos="488"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与合营企业投资相关的未确认承诺</w:t>
      </w:r>
      <w:bookmarkEnd w:id="1692"/>
      <w:bookmarkEnd w:id="1693"/>
      <w:bookmarkEnd w:id="1695"/>
    </w:p>
    <w:p>
      <w:pPr>
        <w:pStyle w:val="Style35"/>
        <w:keepNext/>
        <w:keepLines/>
        <w:widowControl w:val="0"/>
        <w:numPr>
          <w:ilvl w:val="0"/>
          <w:numId w:val="55"/>
        </w:numPr>
        <w:shd w:val="clear" w:color="auto" w:fill="auto"/>
        <w:tabs>
          <w:tab w:pos="488" w:val="left"/>
        </w:tabs>
        <w:bidi w:val="0"/>
        <w:spacing w:before="0" w:line="240" w:lineRule="auto"/>
        <w:ind w:left="0" w:right="0" w:firstLine="0"/>
        <w:jc w:val="left"/>
      </w:pPr>
      <w:bookmarkStart w:id="1692" w:name="bookmark1692"/>
      <w:bookmarkStart w:id="1693" w:name="bookmark1693"/>
      <w:bookmarkStart w:id="1696" w:name="bookmark1696"/>
      <w:bookmarkStart w:id="1697" w:name="bookmark1697"/>
      <w:bookmarkEnd w:id="1696"/>
      <w:r>
        <w:rPr>
          <w:color w:val="000000"/>
          <w:spacing w:val="0"/>
          <w:w w:val="100"/>
          <w:position w:val="0"/>
        </w:rPr>
        <w:t>与合营企业或联营企业投资相关的或有负债</w:t>
      </w:r>
      <w:bookmarkEnd w:id="1692"/>
      <w:bookmarkEnd w:id="1693"/>
      <w:bookmarkEnd w:id="1697"/>
    </w:p>
    <w:p>
      <w:pPr>
        <w:pStyle w:val="Style35"/>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color w:val="000000"/>
          <w:spacing w:val="0"/>
          <w:w w:val="100"/>
          <w:position w:val="0"/>
        </w:rPr>
        <w:t>、重要的共同经营</w:t>
      </w:r>
      <w:bookmarkEnd w:id="1692"/>
      <w:bookmarkEnd w:id="1693"/>
      <w:bookmarkEnd w:id="1699"/>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color w:val="000000"/>
          <w:spacing w:val="0"/>
          <w:w w:val="100"/>
          <w:position w:val="0"/>
        </w:rPr>
        <w:t>、在未纳入合并财务报表范围的结构化主体中的权益</w:t>
      </w:r>
      <w:bookmarkEnd w:id="1700"/>
      <w:bookmarkEnd w:id="1701"/>
      <w:bookmarkEnd w:id="170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56"/>
        <w:keepNext w:val="0"/>
        <w:keepLines w:val="0"/>
        <w:widowControl w:val="0"/>
        <w:shd w:val="clear" w:color="auto" w:fill="auto"/>
        <w:bidi w:val="0"/>
        <w:spacing w:before="0" w:line="240" w:lineRule="auto"/>
        <w:ind w:left="0" w:right="0" w:firstLine="0"/>
        <w:jc w:val="left"/>
      </w:pPr>
      <w:bookmarkStart w:id="1704" w:name="bookmark1704"/>
      <w:r>
        <w:rPr>
          <w:rFonts w:ascii="Times New Roman" w:eastAsia="Times New Roman" w:hAnsi="Times New Roman" w:cs="Times New Roman"/>
          <w:color w:val="000000"/>
          <w:spacing w:val="0"/>
          <w:w w:val="100"/>
          <w:position w:val="0"/>
        </w:rPr>
        <w:t>6</w:t>
      </w:r>
      <w:bookmarkEnd w:id="1704"/>
      <w:r>
        <w:rPr>
          <w:color w:val="000000"/>
          <w:spacing w:val="0"/>
          <w:w w:val="100"/>
          <w:position w:val="0"/>
        </w:rPr>
        <w:t>、其他</w:t>
      </w:r>
    </w:p>
    <w:p>
      <w:pPr>
        <w:pStyle w:val="Style27"/>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r>
        <w:rPr>
          <w:color w:val="000000"/>
          <w:spacing w:val="0"/>
          <w:w w:val="100"/>
          <w:position w:val="0"/>
          <w:sz w:val="24"/>
          <w:szCs w:val="24"/>
        </w:rPr>
        <w:t>十、与金融工具相关的风险</w:t>
      </w:r>
      <w:bookmarkEnd w:id="1705"/>
      <w:bookmarkEnd w:id="1706"/>
      <w:bookmarkEnd w:id="1707"/>
    </w:p>
    <w:p>
      <w:pPr>
        <w:pStyle w:val="Style27"/>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r>
        <w:rPr>
          <w:color w:val="000000"/>
          <w:spacing w:val="0"/>
          <w:w w:val="100"/>
          <w:position w:val="0"/>
          <w:sz w:val="24"/>
          <w:szCs w:val="24"/>
        </w:rPr>
        <w:t>十一、公允价值的披露</w:t>
      </w:r>
      <w:bookmarkEnd w:id="1708"/>
      <w:bookmarkEnd w:id="1709"/>
      <w:bookmarkEnd w:id="1710"/>
    </w:p>
    <w:p>
      <w:pPr>
        <w:pStyle w:val="Style5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1" w:name="bookmark1711"/>
      <w:r>
        <w:rPr>
          <w:rFonts w:ascii="Times New Roman" w:eastAsia="Times New Roman" w:hAnsi="Times New Roman" w:cs="Times New Roman"/>
          <w:color w:val="000000"/>
          <w:spacing w:val="0"/>
          <w:w w:val="100"/>
          <w:position w:val="0"/>
        </w:rPr>
        <w:t>2</w:t>
      </w:r>
      <w:bookmarkEnd w:id="1711"/>
      <w:r>
        <w:rPr>
          <w:color w:val="000000"/>
          <w:spacing w:val="0"/>
          <w:w w:val="100"/>
          <w:position w:val="0"/>
        </w:rPr>
        <w:t>、</w:t>
        <w:tab/>
        <w:t>持续和非持续第一层次公允价值计量项目市价的确定依据</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2" w:name="bookmark1712"/>
      <w:r>
        <w:rPr>
          <w:rFonts w:ascii="Times New Roman" w:eastAsia="Times New Roman" w:hAnsi="Times New Roman" w:cs="Times New Roman"/>
          <w:color w:val="000000"/>
          <w:spacing w:val="0"/>
          <w:w w:val="100"/>
          <w:position w:val="0"/>
        </w:rPr>
        <w:t>3</w:t>
      </w:r>
      <w:bookmarkEnd w:id="1712"/>
      <w:r>
        <w:rPr>
          <w:color w:val="000000"/>
          <w:spacing w:val="0"/>
          <w:w w:val="100"/>
          <w:position w:val="0"/>
        </w:rPr>
        <w:t>、</w:t>
        <w:tab/>
        <w:t>持续和非持续第二层次公允价值计量项目，采用的估值技术和重要参数的定性及定量信息</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3" w:name="bookmark1713"/>
      <w:r>
        <w:rPr>
          <w:rFonts w:ascii="Times New Roman" w:eastAsia="Times New Roman" w:hAnsi="Times New Roman" w:cs="Times New Roman"/>
          <w:color w:val="000000"/>
          <w:spacing w:val="0"/>
          <w:w w:val="100"/>
          <w:position w:val="0"/>
        </w:rPr>
        <w:t>4</w:t>
      </w:r>
      <w:bookmarkEnd w:id="1713"/>
      <w:r>
        <w:rPr>
          <w:color w:val="000000"/>
          <w:spacing w:val="0"/>
          <w:w w:val="100"/>
          <w:position w:val="0"/>
        </w:rPr>
        <w:t>、</w:t>
        <w:tab/>
        <w:t>持续和非持续第三层次公允价值计量项目，采用的估值技术和重要参数的定性及定量信息</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4" w:name="bookmark1714"/>
      <w:r>
        <w:rPr>
          <w:rFonts w:ascii="Times New Roman" w:eastAsia="Times New Roman" w:hAnsi="Times New Roman" w:cs="Times New Roman"/>
          <w:color w:val="000000"/>
          <w:spacing w:val="0"/>
          <w:w w:val="100"/>
          <w:position w:val="0"/>
        </w:rPr>
        <w:t>5</w:t>
      </w:r>
      <w:bookmarkEnd w:id="1714"/>
      <w:r>
        <w:rPr>
          <w:color w:val="000000"/>
          <w:spacing w:val="0"/>
          <w:w w:val="100"/>
          <w:position w:val="0"/>
        </w:rPr>
        <w:t>、</w:t>
        <w:tab/>
        <w:t>持续的第三层次公允价值计量项目，期初与期末账面价值间的调节信息及不可观察参数敏感性分析</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5" w:name="bookmark1715"/>
      <w:r>
        <w:rPr>
          <w:rFonts w:ascii="Times New Roman" w:eastAsia="Times New Roman" w:hAnsi="Times New Roman" w:cs="Times New Roman"/>
          <w:color w:val="000000"/>
          <w:spacing w:val="0"/>
          <w:w w:val="100"/>
          <w:position w:val="0"/>
        </w:rPr>
        <w:t>6</w:t>
      </w:r>
      <w:bookmarkEnd w:id="1715"/>
      <w:r>
        <w:rPr>
          <w:color w:val="000000"/>
          <w:spacing w:val="0"/>
          <w:w w:val="100"/>
          <w:position w:val="0"/>
        </w:rPr>
        <w:t>、</w:t>
        <w:tab/>
        <w:t>持续的公允价值计量项目，本期内发生各层级之间转换的，转换的原因及确定转换时点的政策</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6" w:name="bookmark1716"/>
      <w:r>
        <w:rPr>
          <w:rFonts w:ascii="Times New Roman" w:eastAsia="Times New Roman" w:hAnsi="Times New Roman" w:cs="Times New Roman"/>
          <w:color w:val="000000"/>
          <w:spacing w:val="0"/>
          <w:w w:val="100"/>
          <w:position w:val="0"/>
        </w:rPr>
        <w:t>7</w:t>
      </w:r>
      <w:bookmarkEnd w:id="1716"/>
      <w:r>
        <w:rPr>
          <w:color w:val="000000"/>
          <w:spacing w:val="0"/>
          <w:w w:val="100"/>
          <w:position w:val="0"/>
        </w:rPr>
        <w:t>、</w:t>
        <w:tab/>
        <w:t>本期内发生的估值技术变更及变更原因</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7" w:name="bookmark1717"/>
      <w:r>
        <w:rPr>
          <w:rFonts w:ascii="Times New Roman" w:eastAsia="Times New Roman" w:hAnsi="Times New Roman" w:cs="Times New Roman"/>
          <w:color w:val="000000"/>
          <w:spacing w:val="0"/>
          <w:w w:val="100"/>
          <w:position w:val="0"/>
        </w:rPr>
        <w:t>8</w:t>
      </w:r>
      <w:bookmarkEnd w:id="1717"/>
      <w:r>
        <w:rPr>
          <w:color w:val="000000"/>
          <w:spacing w:val="0"/>
          <w:w w:val="100"/>
          <w:position w:val="0"/>
        </w:rPr>
        <w:t>、</w:t>
        <w:tab/>
        <w:t>不以公允价值计量的金融资产和金融负债的公允价值情况</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18" w:name="bookmark1718"/>
      <w:r>
        <w:rPr>
          <w:rFonts w:ascii="Times New Roman" w:eastAsia="Times New Roman" w:hAnsi="Times New Roman" w:cs="Times New Roman"/>
          <w:color w:val="000000"/>
          <w:spacing w:val="0"/>
          <w:w w:val="100"/>
          <w:position w:val="0"/>
        </w:rPr>
        <w:t>9</w:t>
      </w:r>
      <w:bookmarkEnd w:id="1718"/>
      <w:r>
        <w:rPr>
          <w:color w:val="000000"/>
          <w:spacing w:val="0"/>
          <w:w w:val="100"/>
          <w:position w:val="0"/>
        </w:rPr>
        <w:t>、</w:t>
        <w:tab/>
        <w:t>其他</w:t>
      </w:r>
    </w:p>
    <w:p>
      <w:pPr>
        <w:pStyle w:val="Style27"/>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sz w:val="24"/>
          <w:szCs w:val="24"/>
        </w:rPr>
        <w:t>十二、关联方及关联交易</w:t>
      </w:r>
      <w:bookmarkEnd w:id="1719"/>
      <w:bookmarkEnd w:id="1720"/>
      <w:bookmarkEnd w:id="1721"/>
    </w:p>
    <w:p>
      <w:pPr>
        <w:pStyle w:val="Style5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本企业的母公司情况的说明 本企业最终控制方是。</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2</w:t>
      </w:r>
      <w:bookmarkEnd w:id="1724"/>
      <w:r>
        <w:rPr>
          <w:color w:val="000000"/>
          <w:spacing w:val="0"/>
          <w:w w:val="100"/>
          <w:position w:val="0"/>
        </w:rPr>
        <w:t>、</w:t>
        <w:tab/>
        <w:t>本企业的子公司情况</w:t>
      </w:r>
      <w:bookmarkEnd w:id="1722"/>
      <w:bookmarkEnd w:id="1723"/>
      <w:bookmarkEnd w:id="172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3</w:t>
      </w:r>
      <w:bookmarkEnd w:id="1728"/>
      <w:r>
        <w:rPr>
          <w:color w:val="000000"/>
          <w:spacing w:val="0"/>
          <w:w w:val="100"/>
          <w:position w:val="0"/>
        </w:rPr>
        <w:t>、</w:t>
        <w:tab/>
        <w:t>本企业合营和联营企业情况</w:t>
      </w:r>
      <w:bookmarkEnd w:id="1726"/>
      <w:bookmarkEnd w:id="1727"/>
      <w:bookmarkEnd w:id="172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4</w:t>
      </w:r>
      <w:bookmarkEnd w:id="1732"/>
      <w:r>
        <w:rPr>
          <w:color w:val="000000"/>
          <w:spacing w:val="0"/>
          <w:w w:val="100"/>
          <w:position w:val="0"/>
        </w:rPr>
        <w:t>、其他关联方情况</w:t>
      </w:r>
      <w:bookmarkEnd w:id="1730"/>
      <w:bookmarkEnd w:id="1731"/>
      <w:bookmarkEnd w:id="173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福建省财政信息中心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陈航、肖勇、林初可、叶章明、王敏、陶翔宇、叶东毅、郭 其友、欧郁雪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毛时敏、陈晶、王素珍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陈航、刘少华、肖勇、林初可、叶章明、郑升尉、余双兴、 李志国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福建博宇信息科技股份有限公司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北京公易人人信息技术有限公司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天津公易众创科技中心（有限合伙）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公司高级管理人员控制的企业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北京大数元科技发展有限公司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公司高级管理人员配偶控制的企业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天津博大数元科技中心（有限合伙）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公司高级管理人员配偶控制的企业</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注：陈航先生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日辞去公司总经理职务，李志国先生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月辞去公司副总经理职务。</w:t>
      </w:r>
    </w:p>
    <w:p>
      <w:pPr>
        <w:pStyle w:val="Style35"/>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color w:val="000000"/>
          <w:spacing w:val="0"/>
          <w:w w:val="100"/>
          <w:position w:val="0"/>
        </w:rPr>
        <w:t>、关联交易情况</w:t>
      </w:r>
      <w:bookmarkEnd w:id="1734"/>
      <w:bookmarkEnd w:id="1735"/>
      <w:bookmarkEnd w:id="1737"/>
    </w:p>
    <w:p>
      <w:pPr>
        <w:pStyle w:val="Style35"/>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34"/>
      <w:bookmarkEnd w:id="1735"/>
      <w:bookmarkEnd w:id="173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福建省财政信息中心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8,937,011.52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福建省财政信息中心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5,985,966.98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10,103,589.66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福建省财政信息中心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硬件及耗材销售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2,988,205.13</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14,922,978.50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13,091,794.79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39"/>
      <w:bookmarkEnd w:id="1740"/>
      <w:bookmarkEnd w:id="174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5"/>
        <w:keepNext/>
        <w:keepLines/>
        <w:widowControl w:val="0"/>
        <w:shd w:val="clear" w:color="auto" w:fill="auto"/>
        <w:bidi w:val="0"/>
        <w:spacing w:before="0" w:line="240" w:lineRule="auto"/>
        <w:ind w:left="0" w:right="0" w:firstLine="0"/>
        <w:jc w:val="both"/>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42"/>
      <w:bookmarkEnd w:id="1743"/>
      <w:bookmarkEnd w:id="174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46"/>
      <w:bookmarkEnd w:id="1747"/>
      <w:bookmarkEnd w:id="174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35"/>
        <w:keepNext/>
        <w:keepLines/>
        <w:widowControl w:val="0"/>
        <w:shd w:val="clear" w:color="auto" w:fill="auto"/>
        <w:bidi w:val="0"/>
        <w:spacing w:before="0" w:after="380" w:line="240" w:lineRule="auto"/>
        <w:ind w:left="0" w:right="0" w:firstLine="14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50"/>
      <w:bookmarkEnd w:id="1751"/>
      <w:bookmarkEnd w:id="1753"/>
    </w:p>
    <w:p>
      <w:pPr>
        <w:widowControl w:val="0"/>
        <w:jc w:val="center"/>
        <w:rPr>
          <w:sz w:val="2"/>
          <w:szCs w:val="2"/>
        </w:rPr>
      </w:pPr>
      <w:r>
        <w:drawing>
          <wp:inline>
            <wp:extent cx="6120130" cy="95123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pic:blipFill>
                  <pic:spPr>
                    <a:xfrm>
                      <a:ext cx="6120130" cy="95123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54"/>
      <w:bookmarkEnd w:id="1755"/>
      <w:bookmarkEnd w:id="17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w:t>
      </w:r>
      <w:bookmarkEnd w:id="176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58"/>
      <w:bookmarkEnd w:id="1759"/>
      <w:bookmarkEnd w:id="17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1,500,812.00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996,362.00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351,898.18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351,614.91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764,304.00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636,850.00</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2,617,014.18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1,984,826.91</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62"/>
      <w:bookmarkEnd w:id="1763"/>
      <w:bookmarkEnd w:id="1765"/>
    </w:p>
    <w:p>
      <w:pPr>
        <w:pStyle w:val="Style35"/>
        <w:keepNext/>
        <w:keepLines/>
        <w:widowControl w:val="0"/>
        <w:shd w:val="clear" w:color="auto" w:fill="auto"/>
        <w:bidi w:val="0"/>
        <w:spacing w:before="0" w:after="320" w:line="240" w:lineRule="auto"/>
        <w:ind w:left="0" w:right="0" w:firstLine="0"/>
        <w:jc w:val="left"/>
      </w:pPr>
      <w:bookmarkStart w:id="1762" w:name="bookmark1762"/>
      <w:bookmarkStart w:id="1763" w:name="bookmark1763"/>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color w:val="000000"/>
          <w:spacing w:val="0"/>
          <w:w w:val="100"/>
          <w:position w:val="0"/>
        </w:rPr>
        <w:t>、关联方应收应付款项</w:t>
      </w:r>
      <w:bookmarkEnd w:id="1762"/>
      <w:bookmarkEnd w:id="1763"/>
      <w:bookmarkEnd w:id="1767"/>
    </w:p>
    <w:p>
      <w:pPr>
        <w:pStyle w:val="Style35"/>
        <w:keepNext/>
        <w:keepLines/>
        <w:widowControl w:val="0"/>
        <w:shd w:val="clear" w:color="auto" w:fill="auto"/>
        <w:bidi w:val="0"/>
        <w:spacing w:before="0" w:after="320" w:line="240" w:lineRule="auto"/>
        <w:ind w:left="0" w:right="0" w:firstLine="0"/>
        <w:jc w:val="left"/>
      </w:pPr>
      <w:bookmarkStart w:id="1762" w:name="bookmark1762"/>
      <w:bookmarkStart w:id="1763" w:name="bookmark1763"/>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62"/>
      <w:bookmarkEnd w:id="1763"/>
      <w:bookmarkEnd w:id="17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福建省财政信息中 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271,325.00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13,566.25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69"/>
      <w:bookmarkEnd w:id="1770"/>
      <w:bookmarkEnd w:id="17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56"/>
        <w:keepNext w:val="0"/>
        <w:keepLines w:val="0"/>
        <w:widowControl w:val="0"/>
        <w:shd w:val="clear" w:color="auto" w:fill="auto"/>
        <w:tabs>
          <w:tab w:pos="373" w:val="left"/>
        </w:tabs>
        <w:bidi w:val="0"/>
        <w:spacing w:before="0" w:after="1260" w:line="240" w:lineRule="auto"/>
        <w:ind w:left="0" w:right="0" w:firstLine="0"/>
        <w:jc w:val="left"/>
      </w:pPr>
      <w:bookmarkStart w:id="1772" w:name="bookmark1772"/>
      <w:r>
        <w:rPr>
          <w:rFonts w:ascii="Times New Roman" w:eastAsia="Times New Roman" w:hAnsi="Times New Roman" w:cs="Times New Roman"/>
          <w:color w:val="000000"/>
          <w:spacing w:val="0"/>
          <w:w w:val="100"/>
          <w:position w:val="0"/>
        </w:rPr>
        <w:t>7</w:t>
      </w:r>
      <w:bookmarkEnd w:id="1772"/>
      <w:r>
        <w:rPr>
          <w:color w:val="000000"/>
          <w:spacing w:val="0"/>
          <w:w w:val="100"/>
          <w:position w:val="0"/>
        </w:rPr>
        <w:t>、</w:t>
        <w:tab/>
        <w:t>关联方承诺</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73" w:name="bookmark1773"/>
      <w:r>
        <w:rPr>
          <w:rFonts w:ascii="Times New Roman" w:eastAsia="Times New Roman" w:hAnsi="Times New Roman" w:cs="Times New Roman"/>
          <w:color w:val="000000"/>
          <w:spacing w:val="0"/>
          <w:w w:val="100"/>
          <w:position w:val="0"/>
        </w:rPr>
        <w:t>8</w:t>
      </w:r>
      <w:bookmarkEnd w:id="1773"/>
      <w:r>
        <w:rPr>
          <w:color w:val="000000"/>
          <w:spacing w:val="0"/>
          <w:w w:val="100"/>
          <w:position w:val="0"/>
        </w:rPr>
        <w:t>、</w:t>
        <w:tab/>
        <w:t>其他</w:t>
      </w:r>
    </w:p>
    <w:p>
      <w:pPr>
        <w:pStyle w:val="Style27"/>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r>
        <w:rPr>
          <w:color w:val="000000"/>
          <w:spacing w:val="0"/>
          <w:w w:val="100"/>
          <w:position w:val="0"/>
          <w:sz w:val="24"/>
          <w:szCs w:val="24"/>
        </w:rPr>
        <w:t>十三、股份支付</w:t>
      </w:r>
      <w:bookmarkEnd w:id="1774"/>
      <w:bookmarkEnd w:id="1775"/>
      <w:bookmarkEnd w:id="1776"/>
    </w:p>
    <w:p>
      <w:pPr>
        <w:pStyle w:val="Style56"/>
        <w:keepNext w:val="0"/>
        <w:keepLines w:val="0"/>
        <w:widowControl w:val="0"/>
        <w:shd w:val="clear" w:color="auto" w:fill="auto"/>
        <w:tabs>
          <w:tab w:pos="368" w:val="left"/>
        </w:tabs>
        <w:bidi w:val="0"/>
        <w:spacing w:before="0" w:line="240" w:lineRule="auto"/>
        <w:ind w:left="0" w:right="0" w:firstLine="0"/>
        <w:jc w:val="left"/>
      </w:pPr>
      <w:bookmarkStart w:id="1777" w:name="bookmark1777"/>
      <w:r>
        <w:rPr>
          <w:rFonts w:ascii="Times New Roman" w:eastAsia="Times New Roman" w:hAnsi="Times New Roman" w:cs="Times New Roman"/>
          <w:color w:val="000000"/>
          <w:spacing w:val="0"/>
          <w:w w:val="100"/>
          <w:position w:val="0"/>
        </w:rPr>
        <w:t>1</w:t>
      </w:r>
      <w:bookmarkEnd w:id="1777"/>
      <w:r>
        <w:rPr>
          <w:color w:val="000000"/>
          <w:spacing w:val="0"/>
          <w:w w:val="100"/>
          <w:position w:val="0"/>
        </w:rPr>
        <w:t>、</w:t>
        <w:tab/>
        <w:t>股份支付总体情况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78" w:name="bookmark1778"/>
      <w:r>
        <w:rPr>
          <w:rFonts w:ascii="Times New Roman" w:eastAsia="Times New Roman" w:hAnsi="Times New Roman" w:cs="Times New Roman"/>
          <w:color w:val="000000"/>
          <w:spacing w:val="0"/>
          <w:w w:val="100"/>
          <w:position w:val="0"/>
        </w:rPr>
        <w:t>2</w:t>
      </w:r>
      <w:bookmarkEnd w:id="1778"/>
      <w:r>
        <w:rPr>
          <w:color w:val="000000"/>
          <w:spacing w:val="0"/>
          <w:w w:val="100"/>
          <w:position w:val="0"/>
        </w:rPr>
        <w:t>、</w:t>
        <w:tab/>
        <w:t>以权益结算的股份支付情况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79" w:name="bookmark1779"/>
      <w:r>
        <w:rPr>
          <w:rFonts w:ascii="Times New Roman" w:eastAsia="Times New Roman" w:hAnsi="Times New Roman" w:cs="Times New Roman"/>
          <w:color w:val="000000"/>
          <w:spacing w:val="0"/>
          <w:w w:val="100"/>
          <w:position w:val="0"/>
        </w:rPr>
        <w:t>3</w:t>
      </w:r>
      <w:bookmarkEnd w:id="1779"/>
      <w:r>
        <w:rPr>
          <w:color w:val="000000"/>
          <w:spacing w:val="0"/>
          <w:w w:val="100"/>
          <w:position w:val="0"/>
        </w:rPr>
        <w:t>、</w:t>
        <w:tab/>
        <w:t>以现金结算的股份支付情况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80" w:name="bookmark1780"/>
      <w:r>
        <w:rPr>
          <w:rFonts w:ascii="Times New Roman" w:eastAsia="Times New Roman" w:hAnsi="Times New Roman" w:cs="Times New Roman"/>
          <w:color w:val="000000"/>
          <w:spacing w:val="0"/>
          <w:w w:val="100"/>
          <w:position w:val="0"/>
        </w:rPr>
        <w:t>4</w:t>
      </w:r>
      <w:bookmarkEnd w:id="1780"/>
      <w:r>
        <w:rPr>
          <w:color w:val="000000"/>
          <w:spacing w:val="0"/>
          <w:w w:val="100"/>
          <w:position w:val="0"/>
        </w:rPr>
        <w:t>、</w:t>
        <w:tab/>
        <w:t>股份支付的修改、终止情况</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81" w:name="bookmark1781"/>
      <w:r>
        <w:rPr>
          <w:rFonts w:ascii="Times New Roman" w:eastAsia="Times New Roman" w:hAnsi="Times New Roman" w:cs="Times New Roman"/>
          <w:color w:val="000000"/>
          <w:spacing w:val="0"/>
          <w:w w:val="100"/>
          <w:position w:val="0"/>
        </w:rPr>
        <w:t>5</w:t>
      </w:r>
      <w:bookmarkEnd w:id="1781"/>
      <w:r>
        <w:rPr>
          <w:color w:val="000000"/>
          <w:spacing w:val="0"/>
          <w:w w:val="100"/>
          <w:position w:val="0"/>
        </w:rPr>
        <w:t>、</w:t>
        <w:tab/>
        <w:t>其他</w:t>
      </w:r>
    </w:p>
    <w:p>
      <w:pPr>
        <w:pStyle w:val="Style27"/>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r>
        <w:rPr>
          <w:color w:val="000000"/>
          <w:spacing w:val="0"/>
          <w:w w:val="100"/>
          <w:position w:val="0"/>
          <w:sz w:val="24"/>
          <w:szCs w:val="24"/>
        </w:rPr>
        <w:t>十四、承诺及或有事项</w:t>
      </w:r>
      <w:bookmarkEnd w:id="1782"/>
      <w:bookmarkEnd w:id="1783"/>
      <w:bookmarkEnd w:id="1784"/>
    </w:p>
    <w:p>
      <w:pPr>
        <w:pStyle w:val="Style56"/>
        <w:keepNext w:val="0"/>
        <w:keepLines w:val="0"/>
        <w:widowControl w:val="0"/>
        <w:shd w:val="clear" w:color="auto" w:fill="auto"/>
        <w:tabs>
          <w:tab w:pos="368" w:val="left"/>
        </w:tabs>
        <w:bidi w:val="0"/>
        <w:spacing w:before="0" w:line="240" w:lineRule="auto"/>
        <w:ind w:left="0" w:right="0" w:firstLine="0"/>
        <w:jc w:val="left"/>
      </w:pPr>
      <w:bookmarkStart w:id="1785" w:name="bookmark1785"/>
      <w:r>
        <w:rPr>
          <w:rFonts w:ascii="Times New Roman" w:eastAsia="Times New Roman" w:hAnsi="Times New Roman" w:cs="Times New Roman"/>
          <w:color w:val="000000"/>
          <w:spacing w:val="0"/>
          <w:w w:val="100"/>
          <w:position w:val="0"/>
        </w:rPr>
        <w:t>1</w:t>
      </w:r>
      <w:bookmarkEnd w:id="1785"/>
      <w:r>
        <w:rPr>
          <w:color w:val="000000"/>
          <w:spacing w:val="0"/>
          <w:w w:val="100"/>
          <w:position w:val="0"/>
        </w:rPr>
        <w:t>、</w:t>
        <w:tab/>
        <w:t>重要承诺事项</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资产负债表日存在的重要承诺</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786" w:name="bookmark1786"/>
      <w:r>
        <w:rPr>
          <w:rFonts w:ascii="Times New Roman" w:eastAsia="Times New Roman" w:hAnsi="Times New Roman" w:cs="Times New Roman"/>
          <w:color w:val="000000"/>
          <w:spacing w:val="0"/>
          <w:w w:val="100"/>
          <w:position w:val="0"/>
        </w:rPr>
        <w:t>2</w:t>
      </w:r>
      <w:bookmarkEnd w:id="1786"/>
      <w:r>
        <w:rPr>
          <w:color w:val="000000"/>
          <w:spacing w:val="0"/>
          <w:w w:val="100"/>
          <w:position w:val="0"/>
        </w:rPr>
        <w:t>、</w:t>
        <w:tab/>
        <w:t>或有事项</w:t>
      </w:r>
    </w:p>
    <w:p>
      <w:pPr>
        <w:pStyle w:val="Style56"/>
        <w:keepNext w:val="0"/>
        <w:keepLines w:val="0"/>
        <w:widowControl w:val="0"/>
        <w:shd w:val="clear" w:color="auto" w:fill="auto"/>
        <w:tabs>
          <w:tab w:pos="488" w:val="left"/>
        </w:tabs>
        <w:bidi w:val="0"/>
        <w:spacing w:before="0" w:line="240" w:lineRule="auto"/>
        <w:ind w:left="0" w:right="0" w:firstLine="0"/>
        <w:jc w:val="left"/>
      </w:pPr>
      <w:bookmarkStart w:id="1787" w:name="bookmark1787"/>
      <w:r>
        <w:rPr>
          <w:color w:val="000000"/>
          <w:spacing w:val="0"/>
          <w:w w:val="100"/>
          <w:position w:val="0"/>
        </w:rPr>
        <w:t>（</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p>
    <w:p>
      <w:pPr>
        <w:pStyle w:val="Style56"/>
        <w:keepNext w:val="0"/>
        <w:keepLines w:val="0"/>
        <w:widowControl w:val="0"/>
        <w:shd w:val="clear" w:color="auto" w:fill="auto"/>
        <w:tabs>
          <w:tab w:pos="488" w:val="left"/>
        </w:tabs>
        <w:bidi w:val="0"/>
        <w:spacing w:before="0" w:line="240" w:lineRule="auto"/>
        <w:ind w:left="0" w:right="0" w:firstLine="0"/>
        <w:jc w:val="left"/>
      </w:pPr>
      <w:bookmarkStart w:id="1788" w:name="bookmark1788"/>
      <w:r>
        <w:rPr>
          <w:color w:val="000000"/>
          <w:spacing w:val="0"/>
          <w:w w:val="100"/>
          <w:position w:val="0"/>
        </w:rPr>
        <w:t>（</w:t>
      </w:r>
      <w:bookmarkEnd w:id="178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r>
        <w:br w:type="page"/>
      </w:r>
    </w:p>
    <w:p>
      <w:pPr>
        <w:pStyle w:val="Style35"/>
        <w:keepNext/>
        <w:keepLines/>
        <w:widowControl w:val="0"/>
        <w:shd w:val="clear" w:color="auto" w:fill="auto"/>
        <w:bidi w:val="0"/>
        <w:spacing w:before="0" w:after="34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3</w:t>
      </w:r>
      <w:bookmarkEnd w:id="1791"/>
      <w:r>
        <w:rPr>
          <w:color w:val="000000"/>
          <w:spacing w:val="0"/>
          <w:w w:val="100"/>
          <w:position w:val="0"/>
        </w:rPr>
        <w:t>、其他</w:t>
      </w:r>
      <w:bookmarkEnd w:id="1789"/>
      <w:bookmarkEnd w:id="1790"/>
      <w:bookmarkEnd w:id="1792"/>
    </w:p>
    <w:p>
      <w:pPr>
        <w:pStyle w:val="Style27"/>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sz w:val="24"/>
          <w:szCs w:val="24"/>
        </w:rPr>
        <w:t>十五、资产负债表日后事项</w:t>
      </w:r>
      <w:bookmarkEnd w:id="1793"/>
      <w:bookmarkEnd w:id="1794"/>
      <w:bookmarkEnd w:id="1795"/>
    </w:p>
    <w:p>
      <w:pPr>
        <w:pStyle w:val="Style35"/>
        <w:keepNext/>
        <w:keepLines/>
        <w:widowControl w:val="0"/>
        <w:shd w:val="clear" w:color="auto" w:fill="auto"/>
        <w:bidi w:val="0"/>
        <w:spacing w:before="0" w:after="340" w:line="240" w:lineRule="auto"/>
        <w:ind w:left="0" w:right="0" w:firstLine="0"/>
        <w:jc w:val="left"/>
      </w:pPr>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96"/>
      <w:bookmarkEnd w:id="1797"/>
      <w:bookmarkEnd w:id="17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15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日第二届董事 会第十一次会议通过《关于 对控股子公司其他股东转让 股权放弃优先购买权并参与 增资暨关联交易的议案》，公 司拟对子公司博思致新增 资，增资后博思致新注册资 本由</w:t>
            </w:r>
            <w:r>
              <w:rPr>
                <w:rFonts w:ascii="Times New Roman" w:eastAsia="Times New Roman" w:hAnsi="Times New Roman" w:cs="Times New Roman"/>
                <w:color w:val="000000"/>
                <w:spacing w:val="0"/>
                <w:w w:val="100"/>
                <w:position w:val="0"/>
              </w:rPr>
              <w:t>300</w:t>
            </w:r>
            <w:r>
              <w:rPr>
                <w:color w:val="000000"/>
                <w:spacing w:val="0"/>
                <w:w w:val="100"/>
                <w:position w:val="0"/>
              </w:rPr>
              <w:t>万元变为</w:t>
            </w:r>
            <w:r>
              <w:rPr>
                <w:rFonts w:ascii="Times New Roman" w:eastAsia="Times New Roman" w:hAnsi="Times New Roman" w:cs="Times New Roman"/>
                <w:color w:val="000000"/>
                <w:spacing w:val="0"/>
                <w:w w:val="100"/>
                <w:position w:val="0"/>
              </w:rPr>
              <w:t>1000</w:t>
            </w:r>
            <w:r>
              <w:rPr>
                <w:color w:val="000000"/>
                <w:spacing w:val="0"/>
                <w:w w:val="100"/>
                <w:position w:val="0"/>
              </w:rPr>
              <w:t>万 元，公司仍持股</w:t>
            </w:r>
            <w:r>
              <w:rPr>
                <w:rFonts w:ascii="Times New Roman" w:eastAsia="Times New Roman" w:hAnsi="Times New Roman" w:cs="Times New Roman"/>
                <w:color w:val="000000"/>
                <w:spacing w:val="0"/>
                <w:w w:val="100"/>
                <w:position w:val="0"/>
              </w:rPr>
              <w:t>51%</w:t>
            </w:r>
            <w:r>
              <w:rPr>
                <w:color w:val="000000"/>
                <w:spacing w:val="0"/>
                <w:w w:val="100"/>
                <w:position w:val="0"/>
              </w:rPr>
              <w:t>，并将 此议案提交股东大会审议。</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 第一次临时股东大会审议通 过上述议案。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799"/>
      <w:bookmarkEnd w:id="1800"/>
      <w:bookmarkEnd w:id="1801"/>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3</w:t>
      </w:r>
      <w:bookmarkEnd w:id="1804"/>
      <w:r>
        <w:rPr>
          <w:color w:val="000000"/>
          <w:spacing w:val="0"/>
          <w:w w:val="100"/>
          <w:position w:val="0"/>
        </w:rPr>
        <w:t>、</w:t>
        <w:tab/>
        <w:t>销售退回</w:t>
      </w:r>
      <w:bookmarkEnd w:id="1802"/>
      <w:bookmarkEnd w:id="1803"/>
      <w:bookmarkEnd w:id="1805"/>
    </w:p>
    <w:p>
      <w:pPr>
        <w:pStyle w:val="Style35"/>
        <w:keepNext/>
        <w:keepLines/>
        <w:widowControl w:val="0"/>
        <w:shd w:val="clear" w:color="auto" w:fill="auto"/>
        <w:tabs>
          <w:tab w:pos="378" w:val="left"/>
        </w:tabs>
        <w:bidi w:val="0"/>
        <w:spacing w:before="0" w:after="340" w:line="240" w:lineRule="auto"/>
        <w:ind w:left="0" w:right="0" w:firstLine="0"/>
        <w:jc w:val="left"/>
      </w:pPr>
      <w:bookmarkStart w:id="1802" w:name="bookmark1802"/>
      <w:bookmarkStart w:id="1803" w:name="bookmark1803"/>
      <w:bookmarkStart w:id="1806" w:name="bookmark1806"/>
      <w:bookmarkStart w:id="1807" w:name="bookmark1807"/>
      <w:r>
        <w:rPr>
          <w:rFonts w:ascii="Times New Roman" w:eastAsia="Times New Roman" w:hAnsi="Times New Roman" w:cs="Times New Roman"/>
          <w:color w:val="000000"/>
          <w:spacing w:val="0"/>
          <w:w w:val="100"/>
          <w:position w:val="0"/>
        </w:rPr>
        <w:t>4</w:t>
      </w:r>
      <w:bookmarkEnd w:id="1806"/>
      <w:r>
        <w:rPr>
          <w:color w:val="000000"/>
          <w:spacing w:val="0"/>
          <w:w w:val="100"/>
          <w:position w:val="0"/>
        </w:rPr>
        <w:t>、</w:t>
        <w:tab/>
        <w:t>其他资产负债表日后事项说明</w:t>
      </w:r>
      <w:bookmarkEnd w:id="1802"/>
      <w:bookmarkEnd w:id="1803"/>
      <w:bookmarkEnd w:id="1807"/>
    </w:p>
    <w:p>
      <w:pPr>
        <w:pStyle w:val="Style27"/>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color w:val="000000"/>
          <w:spacing w:val="0"/>
          <w:w w:val="100"/>
          <w:position w:val="0"/>
          <w:sz w:val="24"/>
          <w:szCs w:val="24"/>
        </w:rPr>
        <w:t>十六、其他重要事项</w:t>
      </w:r>
      <w:bookmarkEnd w:id="1808"/>
      <w:bookmarkEnd w:id="1809"/>
      <w:bookmarkEnd w:id="1810"/>
    </w:p>
    <w:p>
      <w:pPr>
        <w:pStyle w:val="Style35"/>
        <w:keepNext/>
        <w:keepLines/>
        <w:widowControl w:val="0"/>
        <w:shd w:val="clear" w:color="auto" w:fill="auto"/>
        <w:bidi w:val="0"/>
        <w:spacing w:before="0" w:after="34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11"/>
      <w:bookmarkEnd w:id="1812"/>
      <w:bookmarkEnd w:id="1813"/>
    </w:p>
    <w:p>
      <w:pPr>
        <w:pStyle w:val="Style35"/>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11"/>
      <w:bookmarkEnd w:id="1812"/>
      <w:bookmarkEnd w:id="181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5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56"/>
        <w:keepNext w:val="0"/>
        <w:keepLines w:val="0"/>
        <w:widowControl w:val="0"/>
        <w:shd w:val="clear" w:color="auto" w:fill="auto"/>
        <w:tabs>
          <w:tab w:pos="378" w:val="left"/>
        </w:tabs>
        <w:bidi w:val="0"/>
        <w:spacing w:before="0" w:line="240" w:lineRule="auto"/>
        <w:ind w:left="0" w:right="0" w:firstLine="0"/>
        <w:jc w:val="left"/>
      </w:pPr>
      <w:bookmarkStart w:id="1815" w:name="bookmark1815"/>
      <w:r>
        <w:rPr>
          <w:rFonts w:ascii="Times New Roman" w:eastAsia="Times New Roman" w:hAnsi="Times New Roman" w:cs="Times New Roman"/>
          <w:color w:val="000000"/>
          <w:spacing w:val="0"/>
          <w:w w:val="100"/>
          <w:position w:val="0"/>
        </w:rPr>
        <w:t>2</w:t>
      </w:r>
      <w:bookmarkEnd w:id="1815"/>
      <w:r>
        <w:rPr>
          <w:color w:val="000000"/>
          <w:spacing w:val="0"/>
          <w:w w:val="100"/>
          <w:position w:val="0"/>
        </w:rPr>
        <w:t>、</w:t>
        <w:tab/>
        <w:t>债务重组</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816" w:name="bookmark1816"/>
      <w:r>
        <w:rPr>
          <w:rFonts w:ascii="Times New Roman" w:eastAsia="Times New Roman" w:hAnsi="Times New Roman" w:cs="Times New Roman"/>
          <w:color w:val="000000"/>
          <w:spacing w:val="0"/>
          <w:w w:val="100"/>
          <w:position w:val="0"/>
        </w:rPr>
        <w:t>3</w:t>
      </w:r>
      <w:bookmarkEnd w:id="1816"/>
      <w:r>
        <w:rPr>
          <w:color w:val="000000"/>
          <w:spacing w:val="0"/>
          <w:w w:val="100"/>
          <w:position w:val="0"/>
        </w:rPr>
        <w:t>、</w:t>
        <w:tab/>
        <w:t>资产置换</w:t>
      </w:r>
    </w:p>
    <w:p>
      <w:pPr>
        <w:pStyle w:val="Style56"/>
        <w:keepNext w:val="0"/>
        <w:keepLines w:val="0"/>
        <w:widowControl w:val="0"/>
        <w:shd w:val="clear" w:color="auto" w:fill="auto"/>
        <w:tabs>
          <w:tab w:pos="488" w:val="left"/>
        </w:tabs>
        <w:bidi w:val="0"/>
        <w:spacing w:before="0" w:line="240" w:lineRule="auto"/>
        <w:ind w:left="0" w:right="0" w:firstLine="0"/>
        <w:jc w:val="left"/>
      </w:pPr>
      <w:bookmarkStart w:id="1817" w:name="bookmark1817"/>
      <w:r>
        <w:rPr>
          <w:color w:val="000000"/>
          <w:spacing w:val="0"/>
          <w:w w:val="100"/>
          <w:position w:val="0"/>
        </w:rPr>
        <w:t>（</w:t>
      </w:r>
      <w:bookmarkEnd w:id="181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6"/>
        <w:keepNext w:val="0"/>
        <w:keepLines w:val="0"/>
        <w:widowControl w:val="0"/>
        <w:shd w:val="clear" w:color="auto" w:fill="auto"/>
        <w:tabs>
          <w:tab w:pos="488" w:val="left"/>
        </w:tabs>
        <w:bidi w:val="0"/>
        <w:spacing w:before="0" w:line="240" w:lineRule="auto"/>
        <w:ind w:left="0" w:right="0" w:firstLine="0"/>
        <w:jc w:val="left"/>
      </w:pPr>
      <w:bookmarkStart w:id="1818" w:name="bookmark1818"/>
      <w:r>
        <w:rPr>
          <w:color w:val="000000"/>
          <w:spacing w:val="0"/>
          <w:w w:val="100"/>
          <w:position w:val="0"/>
        </w:rPr>
        <w:t>（</w:t>
      </w:r>
      <w:bookmarkEnd w:id="181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819" w:name="bookmark1819"/>
      <w:r>
        <w:rPr>
          <w:rFonts w:ascii="Times New Roman" w:eastAsia="Times New Roman" w:hAnsi="Times New Roman" w:cs="Times New Roman"/>
          <w:color w:val="000000"/>
          <w:spacing w:val="0"/>
          <w:w w:val="100"/>
          <w:position w:val="0"/>
        </w:rPr>
        <w:t>4</w:t>
      </w:r>
      <w:bookmarkEnd w:id="1819"/>
      <w:r>
        <w:rPr>
          <w:color w:val="000000"/>
          <w:spacing w:val="0"/>
          <w:w w:val="100"/>
          <w:position w:val="0"/>
        </w:rPr>
        <w:t>、</w:t>
        <w:tab/>
        <w:t>年金计划</w:t>
      </w:r>
    </w:p>
    <w:p>
      <w:pPr>
        <w:pStyle w:val="Style56"/>
        <w:keepNext w:val="0"/>
        <w:keepLines w:val="0"/>
        <w:widowControl w:val="0"/>
        <w:shd w:val="clear" w:color="auto" w:fill="auto"/>
        <w:tabs>
          <w:tab w:pos="378" w:val="left"/>
        </w:tabs>
        <w:bidi w:val="0"/>
        <w:spacing w:before="0" w:after="400" w:line="240" w:lineRule="auto"/>
        <w:ind w:left="0" w:right="0" w:firstLine="0"/>
        <w:jc w:val="left"/>
      </w:pPr>
      <w:bookmarkStart w:id="1820" w:name="bookmark1820"/>
      <w:r>
        <w:rPr>
          <w:rFonts w:ascii="Times New Roman" w:eastAsia="Times New Roman" w:hAnsi="Times New Roman" w:cs="Times New Roman"/>
          <w:color w:val="000000"/>
          <w:spacing w:val="0"/>
          <w:w w:val="100"/>
          <w:position w:val="0"/>
        </w:rPr>
        <w:t>5</w:t>
      </w:r>
      <w:bookmarkEnd w:id="1820"/>
      <w:r>
        <w:rPr>
          <w:color w:val="000000"/>
          <w:spacing w:val="0"/>
          <w:w w:val="100"/>
          <w:position w:val="0"/>
        </w:rPr>
        <w:t>、</w:t>
        <w:tab/>
        <w:t>终止经营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line="240" w:lineRule="auto"/>
        <w:ind w:left="0" w:right="0" w:firstLine="0"/>
        <w:jc w:val="left"/>
      </w:pPr>
      <w:bookmarkStart w:id="1821" w:name="bookmark1821"/>
      <w:r>
        <w:rPr>
          <w:rFonts w:ascii="Times New Roman" w:eastAsia="Times New Roman" w:hAnsi="Times New Roman" w:cs="Times New Roman"/>
          <w:color w:val="000000"/>
          <w:spacing w:val="0"/>
          <w:w w:val="100"/>
          <w:position w:val="0"/>
        </w:rPr>
        <w:t>6</w:t>
      </w:r>
      <w:bookmarkEnd w:id="1821"/>
      <w:r>
        <w:rPr>
          <w:color w:val="000000"/>
          <w:spacing w:val="0"/>
          <w:w w:val="100"/>
          <w:position w:val="0"/>
        </w:rPr>
        <w:t>、分部信息</w:t>
      </w:r>
    </w:p>
    <w:p>
      <w:pPr>
        <w:pStyle w:val="Style56"/>
        <w:keepNext w:val="0"/>
        <w:keepLines w:val="0"/>
        <w:widowControl w:val="0"/>
        <w:shd w:val="clear" w:color="auto" w:fill="auto"/>
        <w:tabs>
          <w:tab w:pos="488" w:val="left"/>
        </w:tabs>
        <w:bidi w:val="0"/>
        <w:spacing w:before="0" w:line="240" w:lineRule="auto"/>
        <w:ind w:left="0" w:right="0" w:firstLine="0"/>
        <w:jc w:val="left"/>
      </w:pPr>
      <w:bookmarkStart w:id="1822" w:name="bookmark1822"/>
      <w:r>
        <w:rPr>
          <w:color w:val="000000"/>
          <w:spacing w:val="0"/>
          <w:w w:val="100"/>
          <w:position w:val="0"/>
        </w:rPr>
        <w:t>（</w:t>
      </w:r>
      <w:bookmarkEnd w:id="182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6"/>
        <w:keepNext w:val="0"/>
        <w:keepLines w:val="0"/>
        <w:widowControl w:val="0"/>
        <w:shd w:val="clear" w:color="auto" w:fill="auto"/>
        <w:tabs>
          <w:tab w:pos="488" w:val="left"/>
        </w:tabs>
        <w:bidi w:val="0"/>
        <w:spacing w:before="0" w:after="400" w:line="240" w:lineRule="auto"/>
        <w:ind w:left="0" w:right="0" w:firstLine="0"/>
        <w:jc w:val="left"/>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ectPr>
          <w:footnotePr>
            <w:pos w:val="pageBottom"/>
            <w:numFmt w:val="decimal"/>
            <w:numRestart w:val="continuous"/>
          </w:footnotePr>
          <w:type w:val="continuous"/>
          <w:pgSz w:w="11900" w:h="16840"/>
          <w:pgMar w:top="1378" w:right="1056" w:bottom="1436" w:left="1066" w:header="0" w:footer="3" w:gutter="0"/>
          <w:cols w:space="720"/>
          <w:noEndnote/>
          <w:rtlGutter w:val="0"/>
          <w:docGrid w:linePitch="360"/>
        </w:sectPr>
      </w:pPr>
    </w:p>
    <w:p>
      <w:pPr>
        <w:pStyle w:val="Style56"/>
        <w:keepNext w:val="0"/>
        <w:keepLines w:val="0"/>
        <w:widowControl w:val="0"/>
        <w:numPr>
          <w:ilvl w:val="0"/>
          <w:numId w:val="57"/>
        </w:numPr>
        <w:shd w:val="clear" w:color="auto" w:fill="auto"/>
        <w:tabs>
          <w:tab w:pos="488" w:val="left"/>
        </w:tabs>
        <w:bidi w:val="0"/>
        <w:spacing w:before="0" w:line="240" w:lineRule="auto"/>
        <w:ind w:left="0" w:right="0" w:firstLine="0"/>
        <w:jc w:val="left"/>
      </w:pPr>
      <w:bookmarkStart w:id="1824" w:name="bookmark1824"/>
      <w:bookmarkEnd w:id="1824"/>
      <w:r>
        <w:rPr>
          <w:color w:val="000000"/>
          <w:spacing w:val="0"/>
          <w:w w:val="100"/>
          <w:position w:val="0"/>
        </w:rPr>
        <w:t>公司无报告分部的，或者不能披露各报告分部的资产总额和负债总额的，应说明原因</w:t>
      </w:r>
    </w:p>
    <w:p>
      <w:pPr>
        <w:pStyle w:val="Style56"/>
        <w:keepNext w:val="0"/>
        <w:keepLines w:val="0"/>
        <w:widowControl w:val="0"/>
        <w:numPr>
          <w:ilvl w:val="0"/>
          <w:numId w:val="57"/>
        </w:numPr>
        <w:shd w:val="clear" w:color="auto" w:fill="auto"/>
        <w:tabs>
          <w:tab w:pos="488" w:val="left"/>
        </w:tabs>
        <w:bidi w:val="0"/>
        <w:spacing w:before="0" w:line="240" w:lineRule="auto"/>
        <w:ind w:left="0" w:right="0" w:firstLine="0"/>
        <w:jc w:val="left"/>
      </w:pPr>
      <w:bookmarkStart w:id="1825" w:name="bookmark1825"/>
      <w:bookmarkEnd w:id="1825"/>
      <w:r>
        <w:rPr>
          <w:color w:val="000000"/>
          <w:spacing w:val="0"/>
          <w:w w:val="100"/>
          <w:position w:val="0"/>
        </w:rPr>
        <w:t>其他说明</w:t>
      </w:r>
    </w:p>
    <w:p>
      <w:pPr>
        <w:pStyle w:val="Style56"/>
        <w:keepNext w:val="0"/>
        <w:keepLines w:val="0"/>
        <w:widowControl w:val="0"/>
        <w:shd w:val="clear" w:color="auto" w:fill="auto"/>
        <w:tabs>
          <w:tab w:pos="373" w:val="left"/>
        </w:tabs>
        <w:bidi w:val="0"/>
        <w:spacing w:before="0" w:line="240" w:lineRule="auto"/>
        <w:ind w:left="0" w:right="0" w:firstLine="0"/>
        <w:jc w:val="left"/>
      </w:pPr>
      <w:bookmarkStart w:id="1826" w:name="bookmark1826"/>
      <w:r>
        <w:rPr>
          <w:rFonts w:ascii="Times New Roman" w:eastAsia="Times New Roman" w:hAnsi="Times New Roman" w:cs="Times New Roman"/>
          <w:color w:val="000000"/>
          <w:spacing w:val="0"/>
          <w:w w:val="100"/>
          <w:position w:val="0"/>
        </w:rPr>
        <w:t>7</w:t>
      </w:r>
      <w:bookmarkEnd w:id="1826"/>
      <w:r>
        <w:rPr>
          <w:color w:val="000000"/>
          <w:spacing w:val="0"/>
          <w:w w:val="100"/>
          <w:position w:val="0"/>
        </w:rPr>
        <w:t>、</w:t>
        <w:tab/>
        <w:t>其他对投资者决策有影响的重要交易和事项</w:t>
      </w:r>
    </w:p>
    <w:p>
      <w:pPr>
        <w:pStyle w:val="Style56"/>
        <w:keepNext w:val="0"/>
        <w:keepLines w:val="0"/>
        <w:widowControl w:val="0"/>
        <w:shd w:val="clear" w:color="auto" w:fill="auto"/>
        <w:tabs>
          <w:tab w:pos="378" w:val="left"/>
        </w:tabs>
        <w:bidi w:val="0"/>
        <w:spacing w:before="0" w:line="240" w:lineRule="auto"/>
        <w:ind w:left="0" w:right="0" w:firstLine="0"/>
        <w:jc w:val="left"/>
      </w:pPr>
      <w:bookmarkStart w:id="1827" w:name="bookmark1827"/>
      <w:r>
        <w:rPr>
          <w:rFonts w:ascii="Times New Roman" w:eastAsia="Times New Roman" w:hAnsi="Times New Roman" w:cs="Times New Roman"/>
          <w:color w:val="000000"/>
          <w:spacing w:val="0"/>
          <w:w w:val="100"/>
          <w:position w:val="0"/>
        </w:rPr>
        <w:t>8</w:t>
      </w:r>
      <w:bookmarkEnd w:id="1827"/>
      <w:r>
        <w:rPr>
          <w:color w:val="000000"/>
          <w:spacing w:val="0"/>
          <w:w w:val="100"/>
          <w:position w:val="0"/>
        </w:rPr>
        <w:t>、</w:t>
        <w:tab/>
        <w:t>其他</w:t>
      </w:r>
    </w:p>
    <w:p>
      <w:pPr>
        <w:pStyle w:val="Style27"/>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r>
        <w:rPr>
          <w:color w:val="000000"/>
          <w:spacing w:val="0"/>
          <w:w w:val="100"/>
          <w:position w:val="0"/>
          <w:sz w:val="24"/>
          <w:szCs w:val="24"/>
        </w:rPr>
        <w:t>十七、母公司财务报表主要项目注释</w:t>
      </w:r>
      <w:bookmarkEnd w:id="1828"/>
      <w:bookmarkEnd w:id="1829"/>
      <w:bookmarkEnd w:id="1830"/>
    </w:p>
    <w:p>
      <w:pPr>
        <w:pStyle w:val="Style5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5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44,468,5</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6,556,38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37,912,15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31,071,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5,099,166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25,972,765.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44,468,5</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6,556,38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37,912,15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31,071,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5,099,166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25,972,765.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33,793,769.98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1,660,841.37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5,033,558.65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1,258,389.66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4,008,117.00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2,004,058.50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1,633,100.00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1,633,100.00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44,468,545.63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6,556,389.53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31"/>
      <w:bookmarkEnd w:id="1832"/>
      <w:bookmarkEnd w:id="18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3,034,210.37</w:t>
      </w:r>
      <w:r>
        <w:rPr>
          <w:color w:val="000000"/>
          <w:spacing w:val="0"/>
          <w:w w:val="100"/>
          <w:position w:val="0"/>
        </w:rPr>
        <w:t>元；本期收回或转回坏账准备金额元。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34"/>
      <w:bookmarkEnd w:id="1835"/>
      <w:bookmarkEnd w:id="18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1,576,987.28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5"/>
        <w:keepNext/>
        <w:keepLines/>
        <w:widowControl w:val="0"/>
        <w:shd w:val="clear" w:color="auto" w:fill="auto"/>
        <w:bidi w:val="0"/>
        <w:spacing w:before="0" w:line="240" w:lineRule="auto"/>
        <w:ind w:left="0" w:right="0" w:firstLine="0"/>
        <w:jc w:val="both"/>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38"/>
      <w:bookmarkEnd w:id="1839"/>
      <w:bookmarkEnd w:id="1841"/>
    </w:p>
    <w:tbl>
      <w:tblPr>
        <w:tblOverlap w:val="never"/>
        <w:jc w:val="center"/>
        <w:tblLayout w:type="fixed"/>
      </w:tblPr>
      <w:tblGrid>
        <w:gridCol w:w="2952"/>
        <w:gridCol w:w="1838"/>
        <w:gridCol w:w="2554"/>
        <w:gridCol w:w="1867"/>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占应收账款余额的比例（%）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坏账准备期末余额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江西省煤田地质局测绘大队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3,935,760.00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196,788.00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云南省财政厅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1,611,200.00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80,560.00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延平区农业局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1,401,518.90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70,075.95</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广东南方数码科技股份有限公司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1,081,579.00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54,078.95</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10,030,057.90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501,502.90</w:t>
            </w:r>
          </w:p>
        </w:tc>
      </w:tr>
    </w:tbl>
    <w:p>
      <w:pPr>
        <w:widowControl w:val="0"/>
        <w:spacing w:after="619" w:line="1" w:lineRule="exact"/>
      </w:pPr>
    </w:p>
    <w:p>
      <w:pPr>
        <w:pStyle w:val="Style35"/>
        <w:keepNext/>
        <w:keepLines/>
        <w:widowControl w:val="0"/>
        <w:shd w:val="clear" w:color="auto" w:fill="auto"/>
        <w:tabs>
          <w:tab w:pos="488" w:val="left"/>
        </w:tabs>
        <w:bidi w:val="0"/>
        <w:spacing w:before="0" w:line="240" w:lineRule="auto"/>
        <w:ind w:left="0" w:right="0" w:firstLine="0"/>
        <w:jc w:val="both"/>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42"/>
      <w:bookmarkEnd w:id="1843"/>
      <w:bookmarkEnd w:id="1845"/>
    </w:p>
    <w:p>
      <w:pPr>
        <w:pStyle w:val="Style35"/>
        <w:keepNext/>
        <w:keepLines/>
        <w:widowControl w:val="0"/>
        <w:shd w:val="clear" w:color="auto" w:fill="auto"/>
        <w:tabs>
          <w:tab w:pos="488" w:val="left"/>
        </w:tabs>
        <w:bidi w:val="0"/>
        <w:spacing w:before="0" w:line="240" w:lineRule="auto"/>
        <w:ind w:left="0" w:right="0" w:firstLine="0"/>
        <w:jc w:val="both"/>
      </w:pPr>
      <w:bookmarkStart w:id="1842" w:name="bookmark1842"/>
      <w:bookmarkStart w:id="1843" w:name="bookmark1843"/>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42"/>
      <w:bookmarkEnd w:id="1843"/>
      <w:bookmarkEnd w:id="184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8"/>
      <w:bookmarkEnd w:id="1849"/>
      <w:bookmarkEnd w:id="1850"/>
    </w:p>
    <w:p>
      <w:pPr>
        <w:pStyle w:val="Style35"/>
        <w:keepNext/>
        <w:keepLines/>
        <w:widowControl w:val="0"/>
        <w:shd w:val="clear" w:color="auto" w:fill="auto"/>
        <w:bidi w:val="0"/>
        <w:spacing w:before="0" w:line="240" w:lineRule="auto"/>
        <w:ind w:left="0" w:right="0" w:firstLine="0"/>
        <w:jc w:val="both"/>
      </w:pPr>
      <w:bookmarkStart w:id="1848" w:name="bookmark1848"/>
      <w:bookmarkStart w:id="1849" w:name="bookmark1849"/>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48"/>
      <w:bookmarkEnd w:id="1849"/>
      <w:bookmarkEnd w:id="1851"/>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4,656,46</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837,377.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3,819,092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328,006.6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2,346,115.5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4,656,46</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837,377.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3,819,092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328,006.6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2,346,115.5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1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2,487,561.99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124,378.10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1,849,520.00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137,538.00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68,769.00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181,850.00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4,656,469.99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837,377.10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52"/>
      <w:bookmarkEnd w:id="1853"/>
      <w:bookmarkEnd w:id="18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509,370.45</w:t>
      </w:r>
      <w:r>
        <w:rPr>
          <w:color w:val="000000"/>
          <w:spacing w:val="0"/>
          <w:w w:val="100"/>
          <w:position w:val="0"/>
        </w:rPr>
        <w:t>元；本期收回或转回坏账准备金额元。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5"/>
        <w:keepNext/>
        <w:keepLines/>
        <w:widowControl w:val="0"/>
        <w:numPr>
          <w:ilvl w:val="0"/>
          <w:numId w:val="59"/>
        </w:numPr>
        <w:shd w:val="clear" w:color="auto" w:fill="auto"/>
        <w:bidi w:val="0"/>
        <w:spacing w:before="0" w:after="380" w:line="240" w:lineRule="auto"/>
        <w:ind w:left="0" w:right="0" w:firstLine="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本期实际核销的其他应收款情况</w:t>
      </w:r>
      <w:bookmarkEnd w:id="1855"/>
      <w:bookmarkEnd w:id="1856"/>
      <w:bookmarkEnd w:id="1858"/>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59"/>
        </w:numPr>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其他应收款按款项性质分类情况</w:t>
      </w:r>
      <w:bookmarkEnd w:id="1859"/>
      <w:bookmarkEnd w:id="1860"/>
      <w:bookmarkEnd w:id="18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4,316,403.00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2,528,022.20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340,066.99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4,656,469.99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2,674,122.20</w:t>
            </w:r>
          </w:p>
        </w:tc>
      </w:tr>
    </w:tbl>
    <w:p>
      <w:pPr>
        <w:widowControl w:val="0"/>
        <w:spacing w:after="31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按欠款方归集的期末余额前五名的其他应收款情况</w:t>
      </w:r>
      <w:bookmarkEnd w:id="1863"/>
      <w:bookmarkEnd w:id="1864"/>
      <w:bookmarkEnd w:id="18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江西省煤田地质局测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绘大队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1,627,060.00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81,353.00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南平市延平区会计集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中核算中心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重庆市财政局非税收 入征收管理中心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付玉梅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137,320.00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西北工业大学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3,548,380.00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672,083.00</w:t>
            </w:r>
          </w:p>
        </w:tc>
      </w:tr>
    </w:tbl>
    <w:p>
      <w:pPr>
        <w:widowControl w:val="0"/>
        <w:spacing w:after="31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涉及政府补助的应收款项</w:t>
      </w:r>
      <w:bookmarkEnd w:id="1867"/>
      <w:bookmarkEnd w:id="1868"/>
      <w:bookmarkEnd w:id="18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35"/>
        <w:keepNext/>
        <w:keepLines/>
        <w:widowControl w:val="0"/>
        <w:numPr>
          <w:ilvl w:val="0"/>
          <w:numId w:val="59"/>
        </w:numPr>
        <w:shd w:val="clear" w:color="auto" w:fill="auto"/>
        <w:tabs>
          <w:tab w:pos="488"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bookmarkEnd w:id="1873"/>
      <w:r>
        <w:rPr>
          <w:color w:val="000000"/>
          <w:spacing w:val="0"/>
          <w:w w:val="100"/>
          <w:position w:val="0"/>
        </w:rPr>
        <w:t>因金融资产转移而终止确认的其他应收款</w:t>
      </w:r>
      <w:bookmarkEnd w:id="1871"/>
      <w:bookmarkEnd w:id="1872"/>
      <w:bookmarkEnd w:id="1874"/>
    </w:p>
    <w:p>
      <w:pPr>
        <w:pStyle w:val="Style35"/>
        <w:keepNext/>
        <w:keepLines/>
        <w:widowControl w:val="0"/>
        <w:numPr>
          <w:ilvl w:val="0"/>
          <w:numId w:val="59"/>
        </w:numPr>
        <w:shd w:val="clear" w:color="auto" w:fill="auto"/>
        <w:tabs>
          <w:tab w:pos="488" w:val="left"/>
        </w:tabs>
        <w:bidi w:val="0"/>
        <w:spacing w:before="0" w:line="240" w:lineRule="auto"/>
        <w:ind w:left="0" w:right="0" w:firstLine="0"/>
        <w:jc w:val="left"/>
      </w:pPr>
      <w:bookmarkStart w:id="1871" w:name="bookmark1871"/>
      <w:bookmarkStart w:id="1872" w:name="bookmark1872"/>
      <w:bookmarkStart w:id="1875" w:name="bookmark1875"/>
      <w:bookmarkStart w:id="1876" w:name="bookmark1876"/>
      <w:bookmarkEnd w:id="1875"/>
      <w:r>
        <w:rPr>
          <w:color w:val="000000"/>
          <w:spacing w:val="0"/>
          <w:w w:val="100"/>
          <w:position w:val="0"/>
        </w:rPr>
        <w:t>转移其他应收款且继续涉入形成的资产、负债金额</w:t>
      </w:r>
      <w:bookmarkEnd w:id="1871"/>
      <w:bookmarkEnd w:id="1872"/>
      <w:bookmarkEnd w:id="187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3</w:t>
      </w:r>
      <w:bookmarkEnd w:id="1879"/>
      <w:r>
        <w:rPr>
          <w:color w:val="000000"/>
          <w:spacing w:val="0"/>
          <w:w w:val="100"/>
          <w:position w:val="0"/>
        </w:rPr>
        <w:t>、长期股权投资</w:t>
      </w:r>
      <w:bookmarkEnd w:id="1877"/>
      <w:bookmarkEnd w:id="1878"/>
      <w:bookmarkEnd w:id="18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30,298,339.88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30,298,339.88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10,422,839.88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10,422,839.88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2,206,533.72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2,206,533.72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1,918,262.88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1,918,262.88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32,504,873.60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32,504,873.60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12,341,102.76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12,341,102.76</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81"/>
      <w:bookmarkEnd w:id="1882"/>
      <w:bookmarkEnd w:id="18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哈尔滨博思伟业 科技发展有限公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北京博思兴华软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福建华兴科技有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7,912,839.88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7,912,839.88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福州兴博新中大 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福州博思兴创信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北京博思致新互 联网科技有限责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北京支点国际资 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10,422,839.88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19,875,500.00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30,298,339.88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140"/>
        <w:jc w:val="left"/>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84"/>
      <w:bookmarkEnd w:id="1885"/>
      <w:bookmarkEnd w:id="18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福建博宇 信息科技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1,918,262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288,270.8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2,206,533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1,918,262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288,270.8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2,206,533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1,918,262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288,270.8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2,206,533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61"/>
        </w:numPr>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其他说明</w:t>
      </w:r>
      <w:bookmarkEnd w:id="1887"/>
      <w:bookmarkEnd w:id="1888"/>
      <w:bookmarkEnd w:id="1890"/>
    </w:p>
    <w:p>
      <w:pPr>
        <w:pStyle w:val="Style35"/>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91" w:name="bookmark1891"/>
      <w:bookmarkStart w:id="1892" w:name="bookmark1892"/>
      <w:r>
        <w:rPr>
          <w:rFonts w:ascii="Times New Roman" w:eastAsia="Times New Roman" w:hAnsi="Times New Roman" w:cs="Times New Roman"/>
          <w:color w:val="000000"/>
          <w:spacing w:val="0"/>
          <w:w w:val="100"/>
          <w:position w:val="0"/>
        </w:rPr>
        <w:t>4</w:t>
      </w:r>
      <w:bookmarkEnd w:id="1891"/>
      <w:r>
        <w:rPr>
          <w:color w:val="000000"/>
          <w:spacing w:val="0"/>
          <w:w w:val="100"/>
          <w:position w:val="0"/>
        </w:rPr>
        <w:t>、营业收入和营业成本</w:t>
      </w:r>
      <w:bookmarkEnd w:id="1887"/>
      <w:bookmarkEnd w:id="1888"/>
      <w:bookmarkEnd w:id="18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122,256,731.94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42,010,878.94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112,815,653.67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38,765,019.95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1,255,554.62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543,438.16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720,995.44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321,349.19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123,512,286.56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42,554,317.10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113,536,649.11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39,086,369.14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5</w:t>
      </w:r>
      <w:bookmarkEnd w:id="1895"/>
      <w:r>
        <w:rPr>
          <w:color w:val="000000"/>
          <w:spacing w:val="0"/>
          <w:w w:val="100"/>
          <w:position w:val="0"/>
        </w:rPr>
        <w:t>、投资收益</w:t>
      </w:r>
      <w:bookmarkEnd w:id="1893"/>
      <w:bookmarkEnd w:id="1894"/>
      <w:bookmarkEnd w:id="18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288,270.84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6,288,270.84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13,398,000.00</w:t>
            </w:r>
          </w:p>
        </w:tc>
      </w:tr>
    </w:tbl>
    <w:p>
      <w:pPr>
        <w:pStyle w:val="Style35"/>
        <w:keepNext/>
        <w:keepLines/>
        <w:widowControl w:val="0"/>
        <w:shd w:val="clear" w:color="auto" w:fill="auto"/>
        <w:bidi w:val="0"/>
        <w:spacing w:before="0" w:after="340" w:line="240" w:lineRule="auto"/>
        <w:ind w:left="0" w:right="0" w:firstLine="0"/>
        <w:jc w:val="both"/>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6</w:t>
      </w:r>
      <w:bookmarkEnd w:id="1899"/>
      <w:r>
        <w:rPr>
          <w:color w:val="000000"/>
          <w:spacing w:val="0"/>
          <w:w w:val="100"/>
          <w:position w:val="0"/>
        </w:rPr>
        <w:t>、其他</w:t>
      </w:r>
      <w:bookmarkEnd w:id="1897"/>
      <w:bookmarkEnd w:id="1898"/>
      <w:bookmarkEnd w:id="1900"/>
    </w:p>
    <w:p>
      <w:pPr>
        <w:pStyle w:val="Style27"/>
        <w:keepNext/>
        <w:keepLines/>
        <w:widowControl w:val="0"/>
        <w:shd w:val="clear" w:color="auto" w:fill="auto"/>
        <w:bidi w:val="0"/>
        <w:spacing w:before="0" w:line="240" w:lineRule="auto"/>
        <w:ind w:left="0" w:right="0" w:firstLine="0"/>
        <w:jc w:val="both"/>
      </w:pPr>
      <w:bookmarkStart w:id="1901" w:name="bookmark1901"/>
      <w:bookmarkStart w:id="1902" w:name="bookmark1902"/>
      <w:bookmarkStart w:id="1903" w:name="bookmark1903"/>
      <w:r>
        <w:rPr>
          <w:color w:val="000000"/>
          <w:spacing w:val="0"/>
          <w:w w:val="100"/>
          <w:position w:val="0"/>
          <w:sz w:val="24"/>
          <w:szCs w:val="24"/>
        </w:rPr>
        <w:t>十八、补充资料</w:t>
      </w:r>
      <w:bookmarkEnd w:id="1901"/>
      <w:bookmarkEnd w:id="1902"/>
      <w:bookmarkEnd w:id="1903"/>
    </w:p>
    <w:p>
      <w:pPr>
        <w:pStyle w:val="Style35"/>
        <w:keepNext/>
        <w:keepLines/>
        <w:widowControl w:val="0"/>
        <w:shd w:val="clear" w:color="auto" w:fill="auto"/>
        <w:bidi w:val="0"/>
        <w:spacing w:before="0" w:after="340" w:line="240" w:lineRule="auto"/>
        <w:ind w:left="0" w:right="0" w:firstLine="0"/>
        <w:jc w:val="both"/>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04"/>
      <w:bookmarkEnd w:id="1905"/>
      <w:bookmarkEnd w:id="1906"/>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6,348.21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402,458.57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2,241,081.52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07"/>
      <w:bookmarkEnd w:id="1908"/>
      <w:bookmarkEnd w:id="1909"/>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、境内外会计准则下会计数据差异</w:t>
      </w:r>
      <w:bookmarkEnd w:id="1910"/>
      <w:bookmarkEnd w:id="1911"/>
      <w:bookmarkEnd w:id="1913"/>
    </w:p>
    <w:p>
      <w:pPr>
        <w:pStyle w:val="Style35"/>
        <w:keepNext/>
        <w:keepLines/>
        <w:widowControl w:val="0"/>
        <w:shd w:val="clear" w:color="auto" w:fill="auto"/>
        <w:tabs>
          <w:tab w:pos="488" w:val="left"/>
        </w:tabs>
        <w:bidi w:val="0"/>
        <w:spacing w:before="0" w:after="340" w:line="240" w:lineRule="auto"/>
        <w:ind w:left="0" w:right="0" w:firstLine="0"/>
        <w:jc w:val="both"/>
      </w:pPr>
      <w:bookmarkStart w:id="1910" w:name="bookmark1910"/>
      <w:bookmarkStart w:id="1911" w:name="bookmark1911"/>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10"/>
      <w:bookmarkEnd w:id="1911"/>
      <w:bookmarkEnd w:id="1915"/>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40" w:line="240" w:lineRule="auto"/>
        <w:ind w:left="0" w:right="0" w:firstLine="0"/>
        <w:jc w:val="both"/>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16"/>
      <w:bookmarkEnd w:id="1917"/>
      <w:bookmarkEnd w:id="1919"/>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numPr>
          <w:ilvl w:val="0"/>
          <w:numId w:val="63"/>
        </w:numPr>
        <w:shd w:val="clear" w:color="auto" w:fill="auto"/>
        <w:bidi w:val="0"/>
        <w:spacing w:before="0" w:after="280" w:line="322" w:lineRule="exact"/>
        <w:ind w:left="0" w:right="0" w:firstLine="0"/>
        <w:jc w:val="left"/>
      </w:pPr>
      <w:bookmarkStart w:id="1920" w:name="bookmark1920"/>
      <w:bookmarkEnd w:id="1920"/>
      <w:r>
        <w:rPr>
          <w:color w:val="000000"/>
          <w:spacing w:val="0"/>
          <w:w w:val="100"/>
          <w:position w:val="0"/>
        </w:rPr>
        <w:t>境内外会计准则下会计数据差异原因说明，对已经境外审计机构审计的数据进行差异调节的，应注 明该境外机构的名称</w:t>
      </w:r>
    </w:p>
    <w:p>
      <w:pPr>
        <w:pStyle w:val="Style56"/>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02" w:right="1090" w:bottom="1421" w:left="1091" w:header="0" w:footer="3" w:gutter="0"/>
          <w:cols w:space="720"/>
          <w:noEndnote/>
          <w:rtlGutter w:val="0"/>
          <w:docGrid w:linePitch="360"/>
        </w:sectPr>
      </w:pPr>
      <w:bookmarkStart w:id="1921" w:name="bookmark1921"/>
      <w:r>
        <w:rPr>
          <w:rFonts w:ascii="Times New Roman" w:eastAsia="Times New Roman" w:hAnsi="Times New Roman" w:cs="Times New Roman"/>
          <w:color w:val="000000"/>
          <w:spacing w:val="0"/>
          <w:w w:val="100"/>
          <w:position w:val="0"/>
        </w:rPr>
        <w:t>4</w:t>
      </w:r>
      <w:bookmarkEnd w:id="1921"/>
      <w:r>
        <w:rPr>
          <w:color w:val="000000"/>
          <w:spacing w:val="0"/>
          <w:w w:val="100"/>
          <w:position w:val="0"/>
        </w:rPr>
        <w:t>、其他</w:t>
      </w:r>
    </w:p>
    <w:p>
      <w:pPr>
        <w:pStyle w:val="Style14"/>
        <w:keepNext/>
        <w:keepLines/>
        <w:widowControl w:val="0"/>
        <w:shd w:val="clear" w:color="auto" w:fill="auto"/>
        <w:bidi w:val="0"/>
        <w:spacing w:before="0" w:after="600" w:line="240" w:lineRule="auto"/>
        <w:ind w:left="0" w:right="0" w:firstLine="0"/>
        <w:jc w:val="center"/>
      </w:pPr>
      <w:bookmarkStart w:id="1922" w:name="bookmark1922"/>
      <w:bookmarkStart w:id="1923" w:name="bookmark1923"/>
      <w:bookmarkStart w:id="1924" w:name="bookmark1924"/>
      <w:bookmarkStart w:id="1925" w:name="bookmark1925"/>
      <w:r>
        <w:rPr>
          <w:color w:val="000000"/>
          <w:spacing w:val="0"/>
          <w:w w:val="100"/>
          <w:position w:val="0"/>
        </w:rPr>
        <w:t>第十二节备查文件目录</w:t>
      </w:r>
      <w:bookmarkEnd w:id="1923"/>
      <w:bookmarkEnd w:id="1924"/>
      <w:bookmarkEnd w:id="1925"/>
      <w:bookmarkEnd w:id="1922"/>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926" w:name="bookmark1926"/>
      <w:r>
        <w:rPr>
          <w:color w:val="000000"/>
          <w:spacing w:val="0"/>
          <w:w w:val="100"/>
          <w:position w:val="0"/>
        </w:rPr>
        <w:t>一</w:t>
      </w:r>
      <w:bookmarkEnd w:id="1926"/>
      <w:r>
        <w:rPr>
          <w:color w:val="000000"/>
          <w:spacing w:val="0"/>
          <w:w w:val="100"/>
          <w:position w:val="0"/>
        </w:rPr>
        <w:t>、</w:t>
        <w:tab/>
        <w:t>第二届董事会第十二次会议决议；</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927" w:name="bookmark1927"/>
      <w:r>
        <w:rPr>
          <w:color w:val="000000"/>
          <w:spacing w:val="0"/>
          <w:w w:val="100"/>
          <w:position w:val="0"/>
        </w:rPr>
        <w:t>二</w:t>
      </w:r>
      <w:bookmarkEnd w:id="1927"/>
      <w:r>
        <w:rPr>
          <w:color w:val="000000"/>
          <w:spacing w:val="0"/>
          <w:w w:val="100"/>
          <w:position w:val="0"/>
        </w:rPr>
        <w:t>、</w:t>
        <w:tab/>
        <w:t>第二届监事会第九次会议决议；</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928" w:name="bookmark1928"/>
      <w:r>
        <w:rPr>
          <w:color w:val="000000"/>
          <w:spacing w:val="0"/>
          <w:w w:val="100"/>
          <w:position w:val="0"/>
        </w:rPr>
        <w:t>三</w:t>
      </w:r>
      <w:bookmarkEnd w:id="1928"/>
      <w:r>
        <w:rPr>
          <w:color w:val="000000"/>
          <w:spacing w:val="0"/>
          <w:w w:val="100"/>
          <w:position w:val="0"/>
        </w:rPr>
        <w:t>、</w:t>
        <w:tab/>
        <w:t>经福建华兴会计师事务所（特殊普通合伙）盖章、注册会计师签名并盖章的审计报告；</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929" w:name="bookmark1929"/>
      <w:r>
        <w:rPr>
          <w:color w:val="000000"/>
          <w:spacing w:val="0"/>
          <w:w w:val="100"/>
          <w:position w:val="0"/>
        </w:rPr>
        <w:t>四</w:t>
      </w:r>
      <w:bookmarkEnd w:id="1929"/>
      <w:r>
        <w:rPr>
          <w:color w:val="000000"/>
          <w:spacing w:val="0"/>
          <w:w w:val="100"/>
          <w:position w:val="0"/>
        </w:rPr>
        <w:t>、</w:t>
        <w:tab/>
        <w:t>经公司法定代表人、主管会计工作的负责人、会计机构负责人（会计主管人员）签字并盖章的财务报告;</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930" w:name="bookmark1930"/>
      <w:r>
        <w:rPr>
          <w:color w:val="000000"/>
          <w:spacing w:val="0"/>
          <w:w w:val="100"/>
          <w:position w:val="0"/>
        </w:rPr>
        <w:t>五</w:t>
      </w:r>
      <w:bookmarkEnd w:id="1930"/>
      <w:r>
        <w:rPr>
          <w:color w:val="000000"/>
          <w:spacing w:val="0"/>
          <w:w w:val="100"/>
          <w:position w:val="0"/>
        </w:rPr>
        <w:t>、</w:t>
        <w:tab/>
        <w:t>报告期内在中国证监会指定信息披露载体上公开披露过的所有公司文件的正本及公告的原件；</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931" w:name="bookmark1931"/>
      <w:r>
        <w:rPr>
          <w:color w:val="000000"/>
          <w:spacing w:val="0"/>
          <w:w w:val="100"/>
          <w:position w:val="0"/>
        </w:rPr>
        <w:t>六</w:t>
      </w:r>
      <w:bookmarkEnd w:id="1931"/>
      <w:r>
        <w:rPr>
          <w:color w:val="000000"/>
          <w:spacing w:val="0"/>
          <w:w w:val="100"/>
          <w:position w:val="0"/>
        </w:rPr>
        <w:t>、</w:t>
        <w:tab/>
        <w:t>深圳证券交易所要求的其他文件。</w:t>
      </w:r>
    </w:p>
    <w:sectPr>
      <w:footnotePr>
        <w:pos w:val="pageBottom"/>
        <w:numFmt w:val="decimal"/>
        <w:numRestart w:val="continuous"/>
      </w:footnotePr>
      <w:pgSz w:w="11900" w:h="16840"/>
      <w:pgMar w:top="1647" w:right="1073" w:bottom="1647"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6480175</wp:posOffset>
              </wp:positionH>
              <wp:positionV relativeFrom="page">
                <wp:posOffset>9984740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10.25pt;margin-top:786.20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4387850</wp:posOffset>
              </wp:positionH>
              <wp:positionV relativeFrom="page">
                <wp:posOffset>478790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5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4139565</wp:posOffset>
              </wp:positionH>
              <wp:positionV relativeFrom="page">
                <wp:posOffset>557530</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25.94999999999999pt;margin-top:43.899999999999999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福建博思软件股份有限公司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469900</wp:posOffset>
              </wp:positionH>
              <wp:positionV relativeFrom="page">
                <wp:posOffset>703580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37.pt;margin-top:55.399999999999999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2A2424"/>
      <w:sz w:val="36"/>
      <w:szCs w:val="3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Tahoma" w:eastAsia="Tahoma" w:hAnsi="Tahoma" w:cs="Tahoma"/>
      <w:b/>
      <w:bCs/>
      <w:i w:val="0"/>
      <w:iCs w:val="0"/>
      <w:smallCaps w:val="0"/>
      <w:strike w:val="0"/>
      <w:color w:val="454041"/>
      <w:sz w:val="16"/>
      <w:szCs w:val="16"/>
      <w:u w:val="none"/>
      <w:shd w:val="clear" w:color="auto" w:fill="auto"/>
    </w:rPr>
  </w:style>
  <w:style w:type="character" w:customStyle="1" w:styleId="CharStyle13">
    <w:name w:val="正文文本 (3)_"/>
    <w:basedOn w:val="DefaultParagraphFont"/>
    <w:link w:val="Style12"/>
    <w:rPr>
      <w:rFonts w:ascii="SimSun" w:eastAsia="SimSun" w:hAnsi="SimSun" w:cs="SimSun"/>
      <w:b/>
      <w:bCs/>
      <w:i w:val="0"/>
      <w:iCs w:val="0"/>
      <w:smallCaps w:val="0"/>
      <w:strike w:val="0"/>
      <w:sz w:val="36"/>
      <w:szCs w:val="36"/>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5)_"/>
    <w:basedOn w:val="DefaultParagraphFont"/>
    <w:link w:val="Style17"/>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7">
    <w:name w:val="正文文本 (8)_"/>
    <w:basedOn w:val="DefaultParagraphFont"/>
    <w:link w:val="Style56"/>
    <w:rPr>
      <w:rFonts w:ascii="SimSun" w:eastAsia="SimSun" w:hAnsi="SimSun" w:cs="SimSun"/>
      <w:b/>
      <w:bCs/>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2A2424"/>
      <w:sz w:val="36"/>
      <w:szCs w:val="3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740" w:line="226" w:lineRule="auto"/>
      <w:jc w:val="center"/>
    </w:pPr>
    <w:rPr>
      <w:rFonts w:ascii="Tahoma" w:eastAsia="Tahoma" w:hAnsi="Tahoma" w:cs="Tahoma"/>
      <w:b/>
      <w:bCs/>
      <w:i w:val="0"/>
      <w:iCs w:val="0"/>
      <w:smallCaps w:val="0"/>
      <w:strike w:val="0"/>
      <w:color w:val="454041"/>
      <w:sz w:val="16"/>
      <w:szCs w:val="16"/>
      <w:u w:val="none"/>
      <w:shd w:val="clear" w:color="auto" w:fill="auto"/>
    </w:rPr>
  </w:style>
  <w:style w:type="paragraph" w:customStyle="1" w:styleId="Style12">
    <w:name w:val="正文文本 (3)"/>
    <w:basedOn w:val="Normal"/>
    <w:link w:val="CharStyle13"/>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4">
    <w:name w:val="标题 #2"/>
    <w:basedOn w:val="Normal"/>
    <w:link w:val="CharStyle15"/>
    <w:pPr>
      <w:widowControl w:val="0"/>
      <w:shd w:val="clear" w:color="auto" w:fill="auto"/>
      <w:spacing w:before="26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5)"/>
    <w:basedOn w:val="Normal"/>
    <w:link w:val="CharStyle18"/>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9">
    <w:name w:val="正文文本 (2)"/>
    <w:basedOn w:val="Normal"/>
    <w:link w:val="CharStyle20"/>
    <w:pPr>
      <w:widowControl w:val="0"/>
      <w:shd w:val="clear" w:color="auto" w:fill="auto"/>
      <w:spacing w:after="100" w:line="61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3"/>
    <w:basedOn w:val="Normal"/>
    <w:link w:val="CharStyle28"/>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w:basedOn w:val="Normal"/>
    <w:link w:val="CharStyle32"/>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4"/>
    <w:basedOn w:val="Normal"/>
    <w:link w:val="CharStyle36"/>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正文文本 (8)"/>
    <w:basedOn w:val="Normal"/>
    <w:link w:val="CharStyle57"/>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