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57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409440" cy="10001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440" cy="1000125"/>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福建博思软件股份有限公司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76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3764" w:right="3763" w:firstLine="0"/>
        <w:jc w:val="center"/>
        <w:rPr>
          <w:rFonts w:ascii="Times New Roman" w:hAnsi="Times New Roman" w:cs="Times New Roman" w:eastAsia="Times New Roman" w:hint="default"/>
          <w:sz w:val="22"/>
          <w:szCs w:val="22"/>
        </w:rPr>
      </w:pPr>
      <w:r>
        <w:rPr>
          <w:rFonts w:ascii="Times New Roman"/>
          <w:b/>
          <w:sz w:val="22"/>
        </w:rPr>
        <w:t>2018-019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公司负责人陈航、主管会计工作负责人郑升尉及会计机构负责人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朱红玉声明：保证年度报告中财务报告的真实、准确、完整。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公司在发展过程中，存在市场竞争风险，技术开发、产品升级风险，信息</w:t>
      </w:r>
      <w:r>
        <w:rPr>
          <w:rFonts w:ascii="宋体" w:hAnsi="宋体" w:cs="宋体" w:eastAsia="宋体" w:hint="default"/>
          <w:spacing w:val="3"/>
          <w:sz w:val="28"/>
          <w:szCs w:val="28"/>
        </w:rPr>
      </w:r>
    </w:p>
    <w:p>
      <w:pPr>
        <w:spacing w:line="400" w:lineRule="auto" w:before="0"/>
        <w:ind w:left="1133" w:right="113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安全风险，客户和销售区域集中的风险，核心技术泄露、核心技术人员流失的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风险，新业务、新领域开拓风险、应收账款余额较大风险等风险因素，敬请广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
          <w:w w:val="95"/>
          <w:sz w:val="28"/>
          <w:szCs w:val="28"/>
        </w:rPr>
        <w:t>大投资者注意投资风险，详细内容见本报告中第四节第九小节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公司未来发展的</w:t>
      </w:r>
      <w:r>
        <w:rPr>
          <w:rFonts w:ascii="宋体" w:hAnsi="宋体" w:cs="宋体" w:eastAsia="宋体" w:hint="default"/>
          <w:b/>
          <w:bCs/>
          <w:w w:val="95"/>
          <w:sz w:val="28"/>
          <w:szCs w:val="28"/>
        </w:rPr>
        <w:t> </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展望</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spacing w:val="64"/>
          <w:sz w:val="28"/>
          <w:szCs w:val="28"/>
        </w:rPr>
        <w:t> </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可能面临的风险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8"/>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72032000</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5"/>
          <w:sz w:val="28"/>
          <w:szCs w:val="28"/>
        </w:rPr>
        <w:t>为基数，向全</w:t>
      </w:r>
      <w:r>
        <w:rPr>
          <w:rFonts w:ascii="宋体" w:hAnsi="宋体" w:cs="宋体" w:eastAsia="宋体" w:hint="default"/>
          <w:spacing w:val="-5"/>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以资本公积</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764"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博思电子政务、华兴科技</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449"/>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福建博思电子政务科技有限公司（由</w:t>
            </w:r>
            <w:r>
              <w:rPr>
                <w:rFonts w:ascii="Times New Roman" w:hAnsi="Times New Roman" w:cs="Times New Roman" w:eastAsia="Times New Roman" w:hint="default"/>
                <w:sz w:val="18"/>
                <w:szCs w:val="18"/>
              </w:rPr>
              <w:t>“</w:t>
            </w:r>
            <w:r>
              <w:rPr>
                <w:rFonts w:ascii="宋体" w:hAnsi="宋体" w:cs="宋体" w:eastAsia="宋体" w:hint="default"/>
                <w:sz w:val="18"/>
                <w:szCs w:val="18"/>
              </w:rPr>
              <w:t>福建华兴科技有限责任公 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月更名而来）</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北京博思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黑龙江博思、哈尔滨博思</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449"/>
              <w:jc w:val="left"/>
              <w:rPr>
                <w:rFonts w:ascii="宋体" w:hAnsi="宋体" w:cs="宋体" w:eastAsia="宋体" w:hint="default"/>
                <w:sz w:val="18"/>
                <w:szCs w:val="18"/>
              </w:rPr>
            </w:pPr>
            <w:r>
              <w:rPr>
                <w:rFonts w:ascii="宋体" w:hAnsi="宋体" w:cs="宋体" w:eastAsia="宋体" w:hint="default"/>
                <w:sz w:val="18"/>
                <w:szCs w:val="18"/>
              </w:rPr>
              <w:t>黑龙江博思软件有限公司（由</w:t>
            </w:r>
            <w:r>
              <w:rPr>
                <w:rFonts w:ascii="Times New Roman" w:hAnsi="Times New Roman" w:cs="Times New Roman" w:eastAsia="Times New Roman" w:hint="default"/>
                <w:sz w:val="18"/>
                <w:szCs w:val="18"/>
              </w:rPr>
              <w:t>“</w:t>
            </w:r>
            <w:r>
              <w:rPr>
                <w:rFonts w:ascii="宋体" w:hAnsi="宋体" w:cs="宋体" w:eastAsia="宋体" w:hint="default"/>
                <w:sz w:val="18"/>
                <w:szCs w:val="18"/>
              </w:rPr>
              <w:t>哈尔滨博思伟业科技发展有限公 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月更而来）</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福州兴博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博思致新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支点国际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博思创业园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内蒙金财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吉林金财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保荐机构、国金证券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r>
      <w:tr>
        <w:trPr>
          <w:trHeight w:val="296"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缴通公共缴费网</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公共网上缴费平台，又称公共缴费服务平台，互联网网址为 </w:t>
            </w:r>
            <w:hyperlink r:id="rId9">
              <w:r>
                <w:rPr>
                  <w:rFonts w:ascii="Times New Roman" w:hAnsi="Times New Roman" w:cs="Times New Roman" w:eastAsia="Times New Roman" w:hint="default"/>
                  <w:spacing w:val="-3"/>
                  <w:w w:val="99"/>
                  <w:sz w:val="18"/>
                  <w:szCs w:val="18"/>
                </w:rPr>
                <w:t>http://www.ggjfw.com/</w:t>
              </w:r>
            </w:hyperlink>
            <w:r>
              <w:rPr>
                <w:rFonts w:ascii="宋体" w:hAnsi="宋体" w:cs="宋体" w:eastAsia="宋体" w:hint="default"/>
                <w:spacing w:val="-3"/>
                <w:w w:val="99"/>
                <w:sz w:val="18"/>
                <w:szCs w:val="18"/>
              </w:rPr>
              <w:t>，是发行人在互联网上为缴费人提供一站式的网</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pacing w:val="-2"/>
                <w:sz w:val="18"/>
                <w:szCs w:val="18"/>
              </w:rPr>
              <w:t>上非税业务办理、网上支付和领取财政电子票据的平台。目前主要针</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298"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对可以适用网上办理的非税收入业务，如交通违章缴费、会计从业资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格考试报名、公务员录用考试报名、国家司法考试报名等。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非税收入收缴电子化管理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利用现代信息网络技术，以经过数字签名的合法、有效的电子文件为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依据，全流程在线办理政府非税收入收缴业务的一种管理方式。</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财政电子票据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电子票据在财政票据领域的应用，其核心思想就是实现财政票据无纸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化，利用电子签名、电子签章、身份识别、数据加密等技术，通过计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算机和互联网以电子信息传递形式实现传统纸质票据的功能，财政电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子票据是传统财政票据的扩展和补充。</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8946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博思软件</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300525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博思软件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Fujian Boss Software</w:t>
            </w:r>
            <w:r>
              <w:rPr>
                <w:rFonts w:ascii="Times New Roman"/>
                <w:spacing w:val="-6"/>
                <w:sz w:val="18"/>
              </w:rPr>
              <w:t> </w:t>
            </w:r>
            <w:r>
              <w:rPr>
                <w:rFonts w:ascii="Times New Roman"/>
                <w:sz w:val="18"/>
              </w:rPr>
              <w:t>Corp.</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Boss</w:t>
            </w:r>
            <w:r>
              <w:rPr>
                <w:rFonts w:ascii="Times New Roman"/>
                <w:spacing w:val="-2"/>
                <w:sz w:val="18"/>
              </w:rPr>
              <w:t> </w:t>
            </w:r>
            <w:r>
              <w:rPr>
                <w:rFonts w:ascii="Times New Roman"/>
                <w:sz w:val="18"/>
              </w:rPr>
              <w:t>Soft</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陈航</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福建省闽侯县上街镇科技东路福州高新技术产业区</w:t>
            </w:r>
            <w:r>
              <w:rPr>
                <w:rFonts w:ascii="Times New Roman" w:hAnsi="Times New Roman" w:cs="Times New Roman" w:eastAsia="Times New Roman" w:hint="default"/>
                <w:sz w:val="18"/>
                <w:szCs w:val="18"/>
              </w:rPr>
              <w:t>“</w:t>
            </w:r>
            <w:r>
              <w:rPr>
                <w:rFonts w:ascii="宋体" w:hAnsi="宋体" w:cs="宋体" w:eastAsia="宋体" w:hint="default"/>
                <w:sz w:val="18"/>
                <w:szCs w:val="18"/>
              </w:rPr>
              <w:t>海西高新技术产业园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创业大厦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区七层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http://www.bosssoft.com.cn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bosssoft@bosssoft.com.cn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刘春贤</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bosssoft@bosssoft.com.cn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bosssoft@bosssoft.com.cn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4"/>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福建省福州市鼓楼区湖东路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号中山大厦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郑丽惠、郭璇</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庄海峻、陈志群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309,882,371.93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171,251,296.12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153,197,534.27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54,685,146.71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38,301,620.49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36,731,975.96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53,961,830.30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36,060,538.97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34,613,996.30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56,187,904.96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32,997,092.55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48,836,982.82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0.7986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804,561,302.12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480,442,114.57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278,764,026.98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481,275,603.05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422,225,359.08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226,928,649.16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23,533,527.69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51,586,279.94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56,043,172.60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178,719,391.70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-5,905,848.66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10,770,813.54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7,646,261.25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42,173,920.58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-5,917,816.91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10,708,142.87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7,626,967.86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41,544,536.48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-34,114,561.99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-8,187,790.77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-6,977,079.59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105,467,337.31</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33,765.96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6,348.21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806,466.47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2,682,150.00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2,486,014.23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10,533.49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19,688.99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23,945.79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126,661.23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402,458.57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373,761.19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64,647.11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723,316.41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2,241,081.52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2,117,979.66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1494" w:right="0"/>
        <w:jc w:val="left"/>
      </w:pPr>
      <w:r>
        <w:rPr>
          <w:rFonts w:ascii="Times New Roman" w:hAnsi="Times New Roman" w:cs="Times New Roman" w:eastAsia="Times New Roman" w:hint="default"/>
        </w:rPr>
        <w:t>1</w:t>
      </w:r>
      <w:r>
        <w:rPr/>
        <w:t>、公司主营业务及主要产品 </w:t>
      </w:r>
      <w:r>
        <w:rPr>
          <w:spacing w:val="-2"/>
        </w:rPr>
        <w:t>公司主营业务为软件产品的开发、销售与服务，软件产品主要应用于在财政票据、政府非税收入和政府采购等领域。在</w:t>
      </w:r>
    </w:p>
    <w:p>
      <w:pPr>
        <w:pStyle w:val="BodyText"/>
        <w:spacing w:line="316" w:lineRule="auto" w:before="31"/>
        <w:ind w:left="1134" w:right="1032"/>
        <w:jc w:val="left"/>
      </w:pPr>
      <w:r>
        <w:rPr>
          <w:spacing w:val="-2"/>
        </w:rPr>
        <w:t>财政票据、政府非税收入领域，主要面向财政票据电子化管理、财政电子票据管理、政府非税收入管理信息化及公共缴费服</w:t>
      </w:r>
      <w:r>
        <w:rPr>
          <w:spacing w:val="-66"/>
        </w:rPr>
        <w:t> </w:t>
      </w:r>
      <w:r>
        <w:rPr>
          <w:spacing w:val="-66"/>
        </w:rPr>
      </w:r>
      <w:r>
        <w:rPr/>
        <w:t>务领域，为财政票据用票单位、各级财政部门提供财政票据电子化管理及政府非税收入信息化管理相关的软件产品和服务， 在此基础上通过公司自主研发的</w:t>
      </w:r>
      <w:r>
        <w:rPr>
          <w:rFonts w:ascii="宋体" w:hAnsi="宋体" w:cs="宋体" w:eastAsia="宋体" w:hint="default"/>
        </w:rPr>
        <w:t>e</w:t>
      </w:r>
      <w:r>
        <w:rPr/>
        <w:t>缴通公共缴费网与执收单位网上业务系统、非税收入管理系统和银行网上支付系统的互联</w:t>
      </w:r>
      <w:r>
        <w:rPr>
          <w:spacing w:val="-83"/>
        </w:rPr>
        <w:t> </w:t>
      </w:r>
      <w:r>
        <w:rPr>
          <w:spacing w:val="-83"/>
        </w:rPr>
      </w:r>
      <w:r>
        <w:rPr>
          <w:spacing w:val="-4"/>
        </w:rPr>
        <w:t>互通，为社会公众提供公共缴费、网上业务办理及相关增值服务。在政府采购领域，公司主要面向参与政府采购的财政部门、</w:t>
      </w:r>
      <w:r>
        <w:rPr>
          <w:spacing w:val="-45"/>
        </w:rPr>
        <w:t> </w:t>
      </w:r>
      <w:r>
        <w:rPr>
          <w:spacing w:val="-45"/>
        </w:rPr>
      </w:r>
      <w:r>
        <w:rPr/>
        <w:t>公共资源交易中心、采购人、社会代理机构、供应商等相关主体提供政府采购信息化监管和电子交易平台建设。</w:t>
      </w:r>
    </w:p>
    <w:p>
      <w:pPr>
        <w:pStyle w:val="BodyText"/>
        <w:spacing w:line="240" w:lineRule="auto" w:before="19"/>
        <w:ind w:left="1493" w:right="0"/>
        <w:jc w:val="left"/>
      </w:pPr>
      <w:r>
        <w:rPr/>
        <w:t>主要业务具体如下：</w:t>
      </w:r>
    </w:p>
    <w:p>
      <w:pPr>
        <w:pStyle w:val="BodyText"/>
        <w:spacing w:line="240" w:lineRule="auto" w:before="76"/>
        <w:ind w:left="1493" w:right="0"/>
        <w:jc w:val="left"/>
      </w:pPr>
      <w:r>
        <w:rPr/>
        <w:t>（</w:t>
      </w:r>
      <w:r>
        <w:rPr>
          <w:rFonts w:ascii="Times New Roman" w:hAnsi="Times New Roman" w:cs="Times New Roman" w:eastAsia="Times New Roman" w:hint="default"/>
        </w:rPr>
        <w:t>1</w:t>
      </w:r>
      <w:r>
        <w:rPr/>
        <w:t>）软件开发与销售业务</w:t>
      </w:r>
    </w:p>
    <w:p>
      <w:pPr>
        <w:pStyle w:val="BodyText"/>
        <w:spacing w:line="316" w:lineRule="auto" w:before="63"/>
        <w:ind w:left="1494" w:right="0"/>
        <w:jc w:val="left"/>
      </w:pPr>
      <w:r>
        <w:rPr/>
        <w:t>①标准化软件业务 </w:t>
      </w:r>
      <w:r>
        <w:rPr>
          <w:spacing w:val="-2"/>
        </w:rPr>
        <w:t>公司在多年的发展历程中，始终聚焦于与政府非税收入管理相关的财政管理信息化领域，现已形成包括财政票据电子化</w:t>
      </w:r>
    </w:p>
    <w:p>
      <w:pPr>
        <w:pStyle w:val="BodyText"/>
        <w:spacing w:line="319" w:lineRule="auto" w:before="19"/>
        <w:ind w:left="1134" w:right="1032"/>
        <w:jc w:val="left"/>
      </w:pPr>
      <w:r>
        <w:rPr>
          <w:spacing w:val="-2"/>
        </w:rPr>
        <w:t>管理系统、财政电子票据管理系统、非税收入收缴管理系统及非税收入政策管理系统在内的全过程管理产品及与财政管理相</w:t>
      </w:r>
      <w:r>
        <w:rPr>
          <w:spacing w:val="-64"/>
        </w:rPr>
        <w:t> </w:t>
      </w:r>
      <w:r>
        <w:rPr>
          <w:spacing w:val="-64"/>
        </w:rPr>
      </w:r>
      <w:r>
        <w:rPr>
          <w:spacing w:val="-2"/>
        </w:rPr>
        <w:t>关的其他软件产品。另近年来，公司加强政府采购业务的投入，在政府采购领域，公司已经形成政府采购基础资源库、政府</w:t>
      </w:r>
      <w:r>
        <w:rPr>
          <w:spacing w:val="-66"/>
        </w:rPr>
        <w:t> </w:t>
      </w:r>
      <w:r>
        <w:rPr>
          <w:spacing w:val="-66"/>
        </w:rPr>
      </w:r>
      <w:r>
        <w:rPr/>
        <w:t>采购诚信平台、政府采购监管平台、政府采购电子招投标平台、政府采购电子卖场平台、供应商服务平台等系列软件产品， 产品线完全覆盖了整个政府采购业务范围。</w:t>
      </w:r>
    </w:p>
    <w:p>
      <w:pPr>
        <w:pStyle w:val="BodyText"/>
        <w:spacing w:line="316" w:lineRule="auto" w:before="17"/>
        <w:ind w:left="1494" w:right="0"/>
        <w:jc w:val="left"/>
      </w:pPr>
      <w:r>
        <w:rPr/>
        <w:t>②定制软件业务 </w:t>
      </w:r>
      <w:r>
        <w:rPr>
          <w:spacing w:val="-2"/>
        </w:rPr>
        <w:t>定制软件开发是根据不同用户的业务需求，以公司自有的标准化软件产品为主要构件，有针对性地为客户开发各种定制</w:t>
      </w:r>
    </w:p>
    <w:p>
      <w:pPr>
        <w:pStyle w:val="BodyText"/>
        <w:spacing w:line="316" w:lineRule="auto" w:before="19"/>
        <w:ind w:left="1134" w:right="0"/>
        <w:jc w:val="left"/>
      </w:pPr>
      <w:r>
        <w:rPr>
          <w:spacing w:val="-4"/>
        </w:rPr>
        <w:t>软件，使系统更符合客户实际的业务需求。公司根据与客户签订的技术开发合同，组成专门的项目小组，对客户的业务流程、</w:t>
      </w:r>
      <w:r>
        <w:rPr>
          <w:spacing w:val="-46"/>
        </w:rPr>
        <w:t> </w:t>
      </w:r>
      <w:r>
        <w:rPr>
          <w:spacing w:val="-46"/>
        </w:rPr>
      </w:r>
      <w:r>
        <w:rPr/>
        <w:t>运用环境特点等进行充分实地调查，并根据用户的个性化需求进行专门的软件设计与开发。</w:t>
      </w:r>
    </w:p>
    <w:p>
      <w:pPr>
        <w:pStyle w:val="BodyText"/>
        <w:spacing w:line="240" w:lineRule="auto" w:before="19"/>
        <w:ind w:left="1493" w:right="0"/>
        <w:jc w:val="left"/>
      </w:pPr>
      <w:r>
        <w:rPr/>
        <w:t>（</w:t>
      </w:r>
      <w:r>
        <w:rPr>
          <w:rFonts w:ascii="Times New Roman" w:hAnsi="Times New Roman" w:cs="Times New Roman" w:eastAsia="Times New Roman" w:hint="default"/>
        </w:rPr>
        <w:t>2</w:t>
      </w:r>
      <w:r>
        <w:rPr/>
        <w:t>）技术服务</w:t>
      </w:r>
    </w:p>
    <w:p>
      <w:pPr>
        <w:pStyle w:val="BodyText"/>
        <w:spacing w:line="316" w:lineRule="auto" w:before="63"/>
        <w:ind w:left="1493" w:right="1118"/>
        <w:jc w:val="left"/>
      </w:pPr>
      <w:r>
        <w:rPr/>
        <w:t>①运维服务 </w:t>
      </w:r>
      <w:r>
        <w:rPr>
          <w:spacing w:val="-2"/>
        </w:rPr>
        <w:t>主要是为客户提供标准化软件产品及定制软件产品的后续维护和技术支持，包括软件已有功能的质量维护、功能障碍的</w:t>
      </w:r>
    </w:p>
    <w:p>
      <w:pPr>
        <w:pStyle w:val="BodyText"/>
        <w:spacing w:line="240" w:lineRule="auto" w:before="19"/>
        <w:ind w:right="0"/>
        <w:jc w:val="left"/>
      </w:pPr>
      <w:r>
        <w:rPr/>
        <w:t>消除、参数及配置修改及产品功能扩展、升级等服务。</w:t>
      </w:r>
    </w:p>
    <w:p>
      <w:pPr>
        <w:pStyle w:val="BodyText"/>
        <w:spacing w:line="316" w:lineRule="auto" w:before="76"/>
        <w:ind w:left="1494" w:right="1110"/>
        <w:jc w:val="left"/>
      </w:pPr>
      <w:r>
        <w:rPr/>
        <w:t>②公共缴费服务 公司积极响应国务院发展互联网</w:t>
      </w:r>
      <w:r>
        <w:rPr>
          <w:rFonts w:ascii="Times New Roman" w:hAnsi="Times New Roman" w:cs="Times New Roman" w:eastAsia="Times New Roman" w:hint="default"/>
        </w:rPr>
        <w:t>+</w:t>
      </w:r>
      <w:r>
        <w:rPr/>
        <w:t>政务服务精神，结合财政部推广非税电子化的行业政策，拓展出新一代互联网缴费产</w:t>
      </w:r>
    </w:p>
    <w:p>
      <w:pPr>
        <w:pStyle w:val="BodyText"/>
        <w:spacing w:line="309" w:lineRule="auto"/>
        <w:ind w:left="1134" w:right="1131"/>
        <w:jc w:val="both"/>
      </w:pPr>
      <w:r>
        <w:rPr>
          <w:spacing w:val="-2"/>
        </w:rPr>
        <w:t>品</w:t>
      </w:r>
      <w:r>
        <w:rPr>
          <w:rFonts w:ascii="Times New Roman" w:hAnsi="Times New Roman" w:cs="Times New Roman" w:eastAsia="Times New Roman" w:hint="default"/>
          <w:spacing w:val="-2"/>
        </w:rPr>
        <w:t>“</w:t>
      </w:r>
      <w:r>
        <w:rPr>
          <w:spacing w:val="-2"/>
        </w:rPr>
        <w:t>通用缴款支撑服务</w:t>
      </w:r>
      <w:r>
        <w:rPr>
          <w:rFonts w:ascii="Times New Roman" w:hAnsi="Times New Roman" w:cs="Times New Roman" w:eastAsia="Times New Roman" w:hint="default"/>
          <w:spacing w:val="-2"/>
        </w:rPr>
        <w:t>”</w:t>
      </w:r>
      <w:r>
        <w:rPr>
          <w:spacing w:val="-2"/>
        </w:rPr>
        <w:t>，该服务采用互联网聚合支付理念，充分运用现代互联网信息技术手段，全面支撑政府和行政事业单</w:t>
      </w:r>
      <w:r>
        <w:rPr>
          <w:spacing w:val="-45"/>
        </w:rPr>
        <w:t> </w:t>
      </w:r>
      <w:r>
        <w:rPr>
          <w:spacing w:val="-45"/>
        </w:rPr>
      </w:r>
      <w:r>
        <w:rPr>
          <w:spacing w:val="-2"/>
        </w:rPr>
        <w:t>位非税和非涉税行政服务网上缴费，争取发展成为各级政府和行政事业单位智慧政务信息化工程中的统一支付平台。公司的</w:t>
      </w:r>
      <w:r>
        <w:rPr>
          <w:spacing w:val="-64"/>
        </w:rPr>
        <w:t> </w:t>
      </w:r>
      <w:r>
        <w:rPr>
          <w:spacing w:val="-64"/>
        </w:rPr>
      </w:r>
      <w:r>
        <w:rPr>
          <w:rFonts w:ascii="Times New Roman" w:hAnsi="Times New Roman" w:cs="Times New Roman" w:eastAsia="Times New Roman" w:hint="default"/>
        </w:rPr>
        <w:t>e</w:t>
      </w:r>
      <w:r>
        <w:rPr/>
        <w:t>缴通公共缴费平台将继续为部分省份提供会计考试报名、司法考试报名、人事考试报名及交警罚没缴费等提供服务。</w:t>
      </w:r>
    </w:p>
    <w:p>
      <w:pPr>
        <w:pStyle w:val="BodyText"/>
        <w:spacing w:line="316" w:lineRule="auto" w:before="5"/>
        <w:ind w:left="1493" w:right="0"/>
        <w:jc w:val="left"/>
      </w:pPr>
      <w:r>
        <w:rPr/>
        <w:t>③会计培训服务 子公司博思电子政务在合并之前提供的会计考试培训业务在合并后仍持续开展，但该项业务收入占全部收入的比重较</w:t>
      </w:r>
    </w:p>
    <w:p>
      <w:pPr>
        <w:pStyle w:val="BodyText"/>
        <w:spacing w:line="240" w:lineRule="auto" w:before="19"/>
        <w:ind w:right="0"/>
        <w:jc w:val="left"/>
      </w:pPr>
      <w:r>
        <w:rPr/>
        <w:t>小。</w:t>
      </w:r>
    </w:p>
    <w:p>
      <w:pPr>
        <w:pStyle w:val="BodyText"/>
        <w:spacing w:line="300" w:lineRule="auto" w:before="77"/>
        <w:ind w:left="1494" w:right="0"/>
        <w:jc w:val="left"/>
      </w:pPr>
      <w:r>
        <w:rPr/>
        <w:t>（</w:t>
      </w:r>
      <w:r>
        <w:rPr>
          <w:rFonts w:ascii="Times New Roman" w:hAnsi="Times New Roman" w:cs="Times New Roman" w:eastAsia="Times New Roman" w:hint="default"/>
        </w:rPr>
        <w:t>3</w:t>
      </w:r>
      <w:r>
        <w:rPr/>
        <w:t>）硬件及耗材等销售 </w:t>
      </w:r>
      <w:r>
        <w:rPr>
          <w:spacing w:val="-2"/>
        </w:rPr>
        <w:t>作为公司核心业务的补充，公司硬件及耗材等销售业务是向客户提供外购的软、硬件产品以满足客户的</w:t>
      </w:r>
      <w:r>
        <w:rPr>
          <w:rFonts w:ascii="Times New Roman" w:hAnsi="Times New Roman" w:cs="Times New Roman" w:eastAsia="Times New Roman" w:hint="default"/>
          <w:spacing w:val="-2"/>
        </w:rPr>
        <w:t>IT</w:t>
      </w:r>
      <w:r>
        <w:rPr>
          <w:spacing w:val="-2"/>
        </w:rPr>
        <w:t>集成需求，提</w:t>
      </w:r>
    </w:p>
    <w:p>
      <w:pPr>
        <w:pStyle w:val="BodyText"/>
        <w:spacing w:line="316" w:lineRule="auto" w:before="13"/>
        <w:ind w:left="1493" w:right="4813" w:hanging="360"/>
        <w:jc w:val="left"/>
      </w:pPr>
      <w:r>
        <w:rPr/>
        <w:t>升综合服务能力。 报告期内，公司主营业务、主要产品及主要经营模式未发生重大变化。 </w:t>
      </w:r>
      <w:r>
        <w:rPr>
          <w:rFonts w:ascii="Times New Roman" w:hAnsi="Times New Roman" w:cs="Times New Roman" w:eastAsia="Times New Roman" w:hint="default"/>
        </w:rPr>
        <w:t>2</w:t>
      </w:r>
      <w:r>
        <w:rPr/>
        <w:t>、报告期业绩驱动因素</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360"/>
        <w:jc w:val="left"/>
      </w:pPr>
      <w:r>
        <w:rPr>
          <w:rFonts w:ascii="Times New Roman" w:hAnsi="Times New Roman" w:cs="Times New Roman" w:eastAsia="Times New Roman" w:hint="default"/>
          <w:spacing w:val="-2"/>
        </w:rPr>
        <w:t>2017</w:t>
      </w:r>
      <w:r>
        <w:rPr>
          <w:spacing w:val="-2"/>
        </w:rPr>
        <w:t>年，公司实现营业收入</w:t>
      </w:r>
      <w:r>
        <w:rPr>
          <w:rFonts w:ascii="Times New Roman" w:hAnsi="Times New Roman" w:cs="Times New Roman" w:eastAsia="Times New Roman" w:hint="default"/>
          <w:spacing w:val="-2"/>
        </w:rPr>
        <w:t>30,988.24</w:t>
      </w:r>
      <w:r>
        <w:rPr>
          <w:spacing w:val="-2"/>
        </w:rPr>
        <w:t>万元，较上年同期增长</w:t>
      </w:r>
      <w:r>
        <w:rPr>
          <w:rFonts w:ascii="Times New Roman" w:hAnsi="Times New Roman" w:cs="Times New Roman" w:eastAsia="Times New Roman" w:hint="default"/>
          <w:spacing w:val="-2"/>
        </w:rPr>
        <w:t>80.95%</w:t>
      </w:r>
      <w:r>
        <w:rPr>
          <w:spacing w:val="-2"/>
        </w:rPr>
        <w:t>；归属于上市公司普通股股东的净利润</w:t>
      </w:r>
      <w:r>
        <w:rPr>
          <w:rFonts w:ascii="Times New Roman" w:hAnsi="Times New Roman" w:cs="Times New Roman" w:eastAsia="Times New Roman" w:hint="default"/>
          <w:spacing w:val="-2"/>
        </w:rPr>
        <w:t>5,468.51</w:t>
      </w:r>
      <w:r>
        <w:rPr>
          <w:spacing w:val="-2"/>
        </w:rPr>
        <w:t>万元，</w:t>
      </w:r>
      <w:r>
        <w:rPr/>
        <w:t> 同比增长</w:t>
      </w:r>
      <w:r>
        <w:rPr>
          <w:rFonts w:ascii="Times New Roman" w:hAnsi="Times New Roman" w:cs="Times New Roman" w:eastAsia="Times New Roman" w:hint="default"/>
        </w:rPr>
        <w:t>42.78%</w:t>
      </w:r>
      <w:r>
        <w:rPr/>
        <w:t>。业绩驱动主要因素为：公司在华北等地区的市场拓展成效显著，同时控股并购了内蒙金财等公司，营业</w:t>
      </w:r>
      <w:r>
        <w:rPr>
          <w:spacing w:val="-23"/>
        </w:rPr>
        <w:t> </w:t>
      </w:r>
      <w:r>
        <w:rPr>
          <w:spacing w:val="-23"/>
        </w:rPr>
      </w:r>
      <w:r>
        <w:rPr/>
        <w:t>收入稳步上升；同时公司注重产品质量和服务品质，使得软件销售和技术服务收入持续上升。</w:t>
      </w:r>
    </w:p>
    <w:p>
      <w:pPr>
        <w:pStyle w:val="BodyText"/>
        <w:spacing w:line="240" w:lineRule="auto" w:before="31"/>
        <w:ind w:left="1493" w:right="0"/>
        <w:jc w:val="left"/>
      </w:pPr>
      <w:r>
        <w:rPr>
          <w:rFonts w:ascii="Times New Roman" w:hAnsi="Times New Roman" w:cs="Times New Roman" w:eastAsia="Times New Roman" w:hint="default"/>
        </w:rPr>
        <w:t>3</w:t>
      </w:r>
      <w:r>
        <w:rPr/>
        <w:t>、行业发展情况</w:t>
      </w:r>
    </w:p>
    <w:p>
      <w:pPr>
        <w:pStyle w:val="BodyText"/>
        <w:spacing w:line="240" w:lineRule="auto" w:before="63"/>
        <w:ind w:left="1494" w:right="0"/>
        <w:jc w:val="left"/>
      </w:pPr>
      <w:r>
        <w:rPr/>
        <w:t>关于行业发展情况详细内容见本报告中第四节第九小节</w:t>
      </w:r>
      <w:r>
        <w:rPr>
          <w:rFonts w:ascii="Times New Roman" w:hAnsi="Times New Roman" w:cs="Times New Roman" w:eastAsia="Times New Roman" w:hint="default"/>
        </w:rPr>
        <w:t>“</w:t>
      </w:r>
      <w:r>
        <w:rPr/>
        <w:t>公司未来发展的展望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中</w:t>
      </w:r>
      <w:r>
        <w:rPr>
          <w:rFonts w:ascii="Times New Roman" w:hAnsi="Times New Roman" w:cs="Times New Roman" w:eastAsia="Times New Roman" w:hint="default"/>
        </w:rPr>
        <w:t>“</w:t>
      </w:r>
      <w:r>
        <w:rPr/>
        <w:t>行业发展情况</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1218.01%</w:t>
            </w:r>
            <w:r>
              <w:rPr>
                <w:rFonts w:ascii="宋体" w:hAnsi="宋体" w:cs="宋体" w:eastAsia="宋体" w:hint="default"/>
                <w:spacing w:val="-3"/>
                <w:sz w:val="18"/>
                <w:szCs w:val="18"/>
              </w:rPr>
              <w:t>，主要是向新增的联营企业追加投资，并确认投资收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251.50%</w:t>
            </w:r>
            <w:r>
              <w:rPr>
                <w:rFonts w:ascii="宋体" w:hAnsi="宋体" w:cs="宋体" w:eastAsia="宋体" w:hint="default"/>
                <w:sz w:val="18"/>
                <w:szCs w:val="18"/>
              </w:rPr>
              <w:t>，主要是非同一控制下合并无形资产评估增值。</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126.44%</w:t>
            </w:r>
            <w:r>
              <w:rPr>
                <w:rFonts w:ascii="宋体" w:hAnsi="宋体" w:cs="宋体" w:eastAsia="宋体" w:hint="default"/>
                <w:sz w:val="18"/>
                <w:szCs w:val="18"/>
              </w:rPr>
              <w:t>，主要是公司加大市场开拓力度，产品销量大幅增加 以及当年新增部分应收账款未到约定付款期。</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56.44%</w:t>
            </w:r>
            <w:r>
              <w:rPr>
                <w:rFonts w:ascii="宋体" w:hAnsi="宋体" w:cs="宋体" w:eastAsia="宋体" w:hint="default"/>
                <w:spacing w:val="-3"/>
                <w:sz w:val="18"/>
                <w:szCs w:val="18"/>
              </w:rPr>
              <w:t>，主要是公司按照合同规定预付给供应单位的款项增加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，主要是理财投资预估利息收入。</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85.64%</w:t>
            </w:r>
            <w:r>
              <w:rPr>
                <w:rFonts w:ascii="宋体" w:hAnsi="宋体" w:cs="宋体" w:eastAsia="宋体" w:hint="default"/>
                <w:sz w:val="18"/>
                <w:szCs w:val="18"/>
              </w:rPr>
              <w:t>，主要是非同一控制下合并存货期末余额增加所致。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680476.54%</w:t>
            </w:r>
            <w:r>
              <w:rPr>
                <w:rFonts w:ascii="宋体" w:hAnsi="宋体" w:cs="宋体" w:eastAsia="宋体" w:hint="default"/>
                <w:sz w:val="18"/>
                <w:szCs w:val="18"/>
              </w:rPr>
              <w:t>，主要是投资短期的理财产品产生的其他流动资 产。</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346.33%</w:t>
            </w:r>
            <w:r>
              <w:rPr>
                <w:rFonts w:ascii="宋体" w:hAnsi="宋体" w:cs="宋体" w:eastAsia="宋体" w:hint="default"/>
                <w:sz w:val="18"/>
                <w:szCs w:val="18"/>
              </w:rPr>
              <w:t>，主要是非同一控制下企业合并成本与享有被合并单 位可辨认净资产公允价值确认的商誉。</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，主要是新增待摊办公室装修款。</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375.54%</w:t>
            </w:r>
            <w:r>
              <w:rPr>
                <w:rFonts w:ascii="宋体" w:hAnsi="宋体" w:cs="宋体" w:eastAsia="宋体" w:hint="default"/>
                <w:sz w:val="18"/>
                <w:szCs w:val="18"/>
              </w:rPr>
              <w:t>，主要是股权激励产生的递延所得税资产。</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left="1494" w:right="0"/>
        <w:jc w:val="left"/>
      </w:pPr>
      <w:r>
        <w:rPr>
          <w:rFonts w:ascii="Times New Roman" w:hAnsi="Times New Roman" w:cs="Times New Roman" w:eastAsia="Times New Roman" w:hint="default"/>
        </w:rPr>
        <w:t>1</w:t>
      </w:r>
      <w:r>
        <w:rPr/>
        <w:t>、行业经验优势 </w:t>
      </w:r>
      <w:r>
        <w:rPr>
          <w:spacing w:val="-2"/>
        </w:rPr>
        <w:t>公司长期专注于财政信息化领域，积累了多年的财政信息化经验，深入领会国家有关财政票据电子化管理改革、财政电</w:t>
      </w:r>
    </w:p>
    <w:p>
      <w:pPr>
        <w:pStyle w:val="BodyText"/>
        <w:spacing w:line="316" w:lineRule="auto" w:before="31"/>
        <w:ind w:left="1134" w:right="0"/>
        <w:jc w:val="left"/>
      </w:pPr>
      <w:r>
        <w:rPr>
          <w:spacing w:val="-2"/>
        </w:rPr>
        <w:t>子票据管理及政府非税收入管理的制度要求和政策导向，切实把握各级政府财政票据管理和非税收入管理的特点和需求，提</w:t>
      </w:r>
      <w:r>
        <w:rPr>
          <w:spacing w:val="-64"/>
        </w:rPr>
        <w:t> </w:t>
      </w:r>
      <w:r>
        <w:rPr>
          <w:spacing w:val="-64"/>
        </w:rPr>
      </w:r>
      <w:r>
        <w:rPr/>
        <w:t>供贴近客户实际应用的软件产品和个性化服务，能够实现财政票据管理及非税收入管理与软件信息技术的深度融合。</w:t>
      </w:r>
    </w:p>
    <w:p>
      <w:pPr>
        <w:pStyle w:val="BodyText"/>
        <w:spacing w:line="240" w:lineRule="auto" w:before="19"/>
        <w:ind w:left="1493" w:right="0"/>
        <w:jc w:val="left"/>
      </w:pPr>
      <w:r>
        <w:rPr>
          <w:rFonts w:ascii="Times New Roman" w:hAnsi="Times New Roman" w:cs="Times New Roman" w:eastAsia="Times New Roman" w:hint="default"/>
        </w:rPr>
        <w:t>2</w:t>
      </w:r>
      <w:r>
        <w:rPr/>
        <w:t>、客户资源优势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29" w:firstLine="360"/>
        <w:jc w:val="both"/>
      </w:pPr>
      <w:r>
        <w:rPr>
          <w:spacing w:val="-2"/>
        </w:rPr>
        <w:t>经过</w:t>
      </w:r>
      <w:r>
        <w:rPr>
          <w:rFonts w:ascii="Times New Roman" w:hAnsi="Times New Roman" w:cs="Times New Roman" w:eastAsia="Times New Roman" w:hint="default"/>
          <w:spacing w:val="-2"/>
        </w:rPr>
        <w:t>10</w:t>
      </w:r>
      <w:r>
        <w:rPr>
          <w:spacing w:val="-2"/>
        </w:rPr>
        <w:t>多年的发展和积累，公司的客户涵盖了多个省、自治区、直辖市的国家机构、卫生教育部门、群众团体和社会团</w:t>
      </w:r>
      <w:r>
        <w:rPr/>
        <w:t> </w:t>
      </w:r>
      <w:r>
        <w:rPr>
          <w:spacing w:val="-2"/>
        </w:rPr>
        <w:t>体等；公司客户群整体质量优良，结构合理，同时公司始终强调品牌建设，重视客户需求，技术支持和服务到位，客户满意</w:t>
      </w:r>
      <w:r>
        <w:rPr>
          <w:spacing w:val="-68"/>
        </w:rPr>
        <w:t> </w:t>
      </w:r>
      <w:r>
        <w:rPr>
          <w:spacing w:val="-68"/>
        </w:rPr>
      </w:r>
      <w:r>
        <w:rPr>
          <w:spacing w:val="-2"/>
        </w:rPr>
        <w:t>度和忠诚度较高，客户对公司各类产品形成了较强的黏性。数量较大且不断增长的优质客户未来产品的后续服务和更新换代</w:t>
      </w:r>
      <w:r>
        <w:rPr>
          <w:spacing w:val="-64"/>
        </w:rPr>
        <w:t> </w:t>
      </w:r>
      <w:r>
        <w:rPr>
          <w:spacing w:val="-64"/>
        </w:rPr>
      </w:r>
      <w:r>
        <w:rPr/>
        <w:t>可为公司带来可期的业绩增长。</w:t>
      </w:r>
    </w:p>
    <w:p>
      <w:pPr>
        <w:pStyle w:val="BodyText"/>
        <w:spacing w:line="300" w:lineRule="auto" w:before="23"/>
        <w:ind w:left="1493" w:right="1118"/>
        <w:jc w:val="left"/>
      </w:pPr>
      <w:r>
        <w:rPr>
          <w:rFonts w:ascii="Times New Roman" w:hAnsi="Times New Roman" w:cs="Times New Roman" w:eastAsia="Times New Roman" w:hint="default"/>
        </w:rPr>
        <w:t>3</w:t>
      </w:r>
      <w:r>
        <w:rPr/>
        <w:t>、产品优势 </w:t>
      </w:r>
      <w:r>
        <w:rPr>
          <w:spacing w:val="-2"/>
        </w:rPr>
        <w:t>公司从设立之初就专注于财政信息化领域，公司创始人有二十多年的财政信息化经验积累。公司管理团队掌握财政管理</w:t>
      </w:r>
    </w:p>
    <w:p>
      <w:pPr>
        <w:pStyle w:val="BodyText"/>
        <w:spacing w:line="316" w:lineRule="auto" w:before="31"/>
        <w:ind w:right="1131"/>
        <w:jc w:val="both"/>
      </w:pPr>
      <w:r>
        <w:rPr>
          <w:spacing w:val="-2"/>
        </w:rPr>
        <w:t>流程和关键环节、深谙财政管理的重点和难点，在产品开发中始终贯彻科技加管理的产品理念；公司设立不久就抓住财政部</w:t>
      </w:r>
      <w:r>
        <w:rPr>
          <w:spacing w:val="-66"/>
        </w:rPr>
        <w:t> </w:t>
      </w:r>
      <w:r>
        <w:rPr>
          <w:spacing w:val="-66"/>
        </w:rPr>
      </w:r>
      <w:r>
        <w:rPr>
          <w:spacing w:val="-2"/>
        </w:rPr>
        <w:t>门加强非税收入管理的契机，迅速开发出功能齐全、适应性强、具有前瞻性和良好兼容性的非税收入管理软件产品；并在建</w:t>
      </w:r>
      <w:r>
        <w:rPr>
          <w:spacing w:val="-66"/>
        </w:rPr>
        <w:t> </w:t>
      </w:r>
      <w:r>
        <w:rPr>
          <w:spacing w:val="-66"/>
        </w:rPr>
      </w:r>
      <w:r>
        <w:rPr/>
        <w:t>立先发优势基础上，不断打破自我束缚，推陈出新，自主对产品更新换代，引领行业应用模式。</w:t>
      </w:r>
    </w:p>
    <w:p>
      <w:pPr>
        <w:pStyle w:val="BodyText"/>
        <w:spacing w:line="300" w:lineRule="auto" w:before="19"/>
        <w:ind w:left="1494" w:right="0"/>
        <w:jc w:val="left"/>
      </w:pPr>
      <w:r>
        <w:rPr>
          <w:rFonts w:ascii="Times New Roman" w:hAnsi="Times New Roman" w:cs="Times New Roman" w:eastAsia="Times New Roman" w:hint="default"/>
        </w:rPr>
        <w:t>4</w:t>
      </w:r>
      <w:r>
        <w:rPr/>
        <w:t>、核心技术优势 </w:t>
      </w:r>
      <w:r>
        <w:rPr>
          <w:spacing w:val="-2"/>
        </w:rPr>
        <w:t>公司自成立以来，不断完善创新机制，培育创新文化和技术优势，构建创新型企业。公司通过持续的投入和研发，形成</w:t>
      </w:r>
    </w:p>
    <w:p>
      <w:pPr>
        <w:pStyle w:val="BodyText"/>
        <w:spacing w:line="307" w:lineRule="auto" w:before="31"/>
        <w:ind w:right="1032"/>
        <w:jc w:val="left"/>
      </w:pPr>
      <w:r>
        <w:rPr/>
        <w:t>了一批关键核心技术，包括博思</w:t>
      </w:r>
      <w:r>
        <w:rPr>
          <w:rFonts w:ascii="Times New Roman" w:hAnsi="Times New Roman" w:cs="Times New Roman" w:eastAsia="Times New Roman" w:hint="default"/>
        </w:rPr>
        <w:t>RIA</w:t>
      </w:r>
      <w:r>
        <w:rPr/>
        <w:t>（</w:t>
      </w:r>
      <w:r>
        <w:rPr>
          <w:rFonts w:ascii="Times New Roman" w:hAnsi="Times New Roman" w:cs="Times New Roman" w:eastAsia="Times New Roman" w:hint="default"/>
        </w:rPr>
        <w:t>Rich Internet Applications</w:t>
      </w:r>
      <w:r>
        <w:rPr/>
        <w:t>）架构、</w:t>
      </w:r>
      <w:r>
        <w:rPr>
          <w:rFonts w:ascii="Times New Roman" w:hAnsi="Times New Roman" w:cs="Times New Roman" w:eastAsia="Times New Roman" w:hint="default"/>
        </w:rPr>
        <w:t>REST</w:t>
      </w:r>
      <w:r>
        <w:rPr/>
        <w:t>（</w:t>
      </w:r>
      <w:r>
        <w:rPr>
          <w:rFonts w:ascii="Times New Roman" w:hAnsi="Times New Roman" w:cs="Times New Roman" w:eastAsia="Times New Roman" w:hint="default"/>
        </w:rPr>
        <w:t>Representational State</w:t>
      </w:r>
      <w:r>
        <w:rPr>
          <w:rFonts w:ascii="Times New Roman" w:hAnsi="Times New Roman" w:cs="Times New Roman" w:eastAsia="Times New Roman" w:hint="default"/>
          <w:spacing w:val="19"/>
        </w:rPr>
        <w:t> </w:t>
      </w:r>
      <w:r>
        <w:rPr>
          <w:rFonts w:ascii="Times New Roman" w:hAnsi="Times New Roman" w:cs="Times New Roman" w:eastAsia="Times New Roman" w:hint="default"/>
        </w:rPr>
        <w:t>Transfer</w:t>
      </w:r>
      <w:r>
        <w:rPr/>
        <w:t>表述性状态转 </w:t>
      </w:r>
      <w:r>
        <w:rPr>
          <w:spacing w:val="-4"/>
        </w:rPr>
        <w:t>移）架构、财政电子票据云存储、异步调用服务中间件、超大规模数据应用技术、票据表单自定义系统、加密卡微型数据库、</w:t>
      </w:r>
      <w:r>
        <w:rPr>
          <w:spacing w:val="-44"/>
        </w:rPr>
        <w:t> </w:t>
      </w:r>
      <w:r>
        <w:rPr>
          <w:spacing w:val="-44"/>
        </w:rPr>
      </w:r>
      <w:r>
        <w:rPr/>
        <w:t>智能移动开票技术、便捷型多层分布式架构、通用业务报文服务中间件（</w:t>
      </w:r>
      <w:r>
        <w:rPr>
          <w:rFonts w:ascii="Times New Roman" w:hAnsi="Times New Roman" w:cs="Times New Roman" w:eastAsia="Times New Roman" w:hint="default"/>
        </w:rPr>
        <w:t>DG Ware</w:t>
      </w:r>
      <w:r>
        <w:rPr/>
        <w:t>）与网关中介（</w:t>
      </w:r>
      <w:r>
        <w:rPr>
          <w:rFonts w:ascii="Times New Roman" w:hAnsi="Times New Roman" w:cs="Times New Roman" w:eastAsia="Times New Roman" w:hint="default"/>
        </w:rPr>
        <w:t>DG Proxy</w:t>
      </w:r>
      <w:r>
        <w:rPr>
          <w:rFonts w:ascii="Times New Roman" w:hAnsi="Times New Roman" w:cs="Times New Roman" w:eastAsia="Times New Roman" w:hint="default"/>
          <w:spacing w:val="31"/>
        </w:rPr>
        <w:t> </w:t>
      </w:r>
      <w:r>
        <w:rPr>
          <w:rFonts w:ascii="Times New Roman" w:hAnsi="Times New Roman" w:cs="Times New Roman" w:eastAsia="Times New Roman" w:hint="default"/>
        </w:rPr>
        <w:t>Ware</w:t>
      </w:r>
      <w:r>
        <w:rPr/>
        <w:t>）等核心 技术。</w:t>
      </w:r>
    </w:p>
    <w:p>
      <w:pPr>
        <w:pStyle w:val="BodyText"/>
        <w:spacing w:line="300" w:lineRule="auto" w:before="26"/>
        <w:ind w:left="1494" w:right="0"/>
        <w:jc w:val="left"/>
      </w:pPr>
      <w:r>
        <w:rPr>
          <w:rFonts w:ascii="Times New Roman" w:hAnsi="Times New Roman" w:cs="Times New Roman" w:eastAsia="Times New Roman" w:hint="default"/>
        </w:rPr>
        <w:t>5</w:t>
      </w:r>
      <w:r>
        <w:rPr/>
        <w:t>、团队与人才优势 </w:t>
      </w:r>
      <w:r>
        <w:rPr>
          <w:spacing w:val="-2"/>
        </w:rPr>
        <w:t>公司经过</w:t>
      </w:r>
      <w:r>
        <w:rPr>
          <w:rFonts w:ascii="Times New Roman" w:hAnsi="Times New Roman" w:cs="Times New Roman" w:eastAsia="Times New Roman" w:hint="default"/>
          <w:spacing w:val="-2"/>
        </w:rPr>
        <w:t>10</w:t>
      </w:r>
      <w:r>
        <w:rPr>
          <w:spacing w:val="-2"/>
        </w:rPr>
        <w:t>多年的发展和积累，已形成了富有行业经验、凝聚力强且分工合理的核心管理团队及拥有较高技术水平的优</w:t>
      </w:r>
    </w:p>
    <w:p>
      <w:pPr>
        <w:pStyle w:val="BodyText"/>
        <w:spacing w:line="314" w:lineRule="auto" w:before="13"/>
        <w:ind w:right="1129"/>
        <w:jc w:val="both"/>
      </w:pPr>
      <w:r>
        <w:rPr>
          <w:spacing w:val="-2"/>
        </w:rPr>
        <w:t>秀研发与技术团队。公司核心团队是国内最早进入财政票据电子化和非税收入管理信息化应用软件领域的专业团队之一，战</w:t>
      </w:r>
      <w:r>
        <w:rPr>
          <w:spacing w:val="-64"/>
        </w:rPr>
        <w:t> </w:t>
      </w:r>
      <w:r>
        <w:rPr>
          <w:spacing w:val="-64"/>
        </w:rPr>
      </w:r>
      <w:r>
        <w:rPr>
          <w:spacing w:val="-2"/>
        </w:rPr>
        <w:t>略目标一致，凝聚力强，行业理解深刻，专业优势互补。核心团队成员均具有</w:t>
      </w:r>
      <w:r>
        <w:rPr>
          <w:rFonts w:ascii="Times New Roman" w:hAnsi="Times New Roman" w:cs="Times New Roman" w:eastAsia="Times New Roman" w:hint="default"/>
          <w:spacing w:val="-2"/>
        </w:rPr>
        <w:t>10</w:t>
      </w:r>
      <w:r>
        <w:rPr>
          <w:spacing w:val="-2"/>
        </w:rPr>
        <w:t>年以上的行业经验，分别在研发、销售和运</w:t>
      </w:r>
      <w:r>
        <w:rPr>
          <w:spacing w:val="-66"/>
        </w:rPr>
        <w:t> </w:t>
      </w:r>
      <w:r>
        <w:rPr>
          <w:spacing w:val="-66"/>
        </w:rPr>
      </w:r>
      <w:r>
        <w:rPr>
          <w:spacing w:val="-2"/>
        </w:rPr>
        <w:t>营等重要管理岗位担任领导职务，分工明确，结构合理。同时，公司聚集了一批具有丰富经验的行业解决方案专家、软件工</w:t>
      </w:r>
      <w:r>
        <w:rPr>
          <w:spacing w:val="-66"/>
        </w:rPr>
        <w:t> </w:t>
      </w:r>
      <w:r>
        <w:rPr>
          <w:spacing w:val="-66"/>
        </w:rPr>
      </w:r>
      <w:r>
        <w:rPr>
          <w:spacing w:val="-2"/>
        </w:rPr>
        <w:t>程技术人员以及具有较高技术水平的工程实施队伍，拥有福州和北京两个研发中心，为公司的研发和技术服务提供有力的支</w:t>
      </w:r>
      <w:r>
        <w:rPr>
          <w:spacing w:val="-64"/>
        </w:rPr>
        <w:t> </w:t>
      </w:r>
      <w:r>
        <w:rPr>
          <w:spacing w:val="-64"/>
        </w:rPr>
      </w:r>
      <w:r>
        <w:rPr/>
        <w:t>撑。雄厚的技术人才资源是公司快速发展的基础。</w:t>
      </w:r>
    </w:p>
    <w:p>
      <w:pPr>
        <w:pStyle w:val="BodyText"/>
        <w:spacing w:line="300" w:lineRule="auto" w:before="21"/>
        <w:ind w:left="1494" w:right="0"/>
        <w:jc w:val="left"/>
      </w:pPr>
      <w:r>
        <w:rPr>
          <w:rFonts w:ascii="Times New Roman" w:hAnsi="Times New Roman" w:cs="Times New Roman" w:eastAsia="Times New Roman" w:hint="default"/>
        </w:rPr>
        <w:t>6</w:t>
      </w:r>
      <w:r>
        <w:rPr/>
        <w:t>、营销和服务网络优势 </w:t>
      </w:r>
      <w:r>
        <w:rPr>
          <w:spacing w:val="-2"/>
        </w:rPr>
        <w:t>目前，公司在福建、黑龙江、北京、云南、广西、重庆等省、自治区、直辖市建立了营销网络，配备了销售人员，与客</w:t>
      </w:r>
    </w:p>
    <w:p>
      <w:pPr>
        <w:pStyle w:val="BodyText"/>
        <w:spacing w:line="316" w:lineRule="auto" w:before="31"/>
        <w:ind w:left="1493" w:right="0" w:hanging="360"/>
        <w:jc w:val="left"/>
      </w:pPr>
      <w:r>
        <w:rPr/>
        <w:t>户保持持续、经常性的联系，能及时、有效地对客户的需求及采购信息做出反应，把握产品营销机会。 </w:t>
      </w:r>
      <w:r>
        <w:rPr>
          <w:spacing w:val="-2"/>
        </w:rPr>
        <w:t>对于软件企业来说，服务在软件产品的销售链条上有着更重要的作用，软件企业提供的服务实际上是产品的一部分，服</w:t>
      </w:r>
    </w:p>
    <w:p>
      <w:pPr>
        <w:pStyle w:val="BodyText"/>
        <w:spacing w:line="316" w:lineRule="auto" w:before="19"/>
        <w:ind w:left="1134" w:right="0"/>
        <w:jc w:val="left"/>
      </w:pPr>
      <w:r>
        <w:rPr>
          <w:spacing w:val="-2"/>
        </w:rPr>
        <w:t>务的质量直接影响到客户对产品的体验。目前，公司已初步建立了以全国运维中心、区域中心、市级运维网点构成的三级服</w:t>
      </w:r>
      <w:r>
        <w:rPr>
          <w:spacing w:val="-66"/>
        </w:rPr>
        <w:t> </w:t>
      </w:r>
      <w:r>
        <w:rPr>
          <w:spacing w:val="-66"/>
        </w:rPr>
      </w:r>
      <w:r>
        <w:rPr>
          <w:spacing w:val="-4"/>
        </w:rPr>
        <w:t>务架构，能够为全国用户提供持续、及时、高效的售前咨询、实施和售后运维服务。反应灵敏的营销机制和完善的服务网络，</w:t>
      </w:r>
      <w:r>
        <w:rPr>
          <w:spacing w:val="-44"/>
        </w:rPr>
        <w:t> </w:t>
      </w:r>
      <w:r>
        <w:rPr>
          <w:spacing w:val="-44"/>
        </w:rPr>
      </w:r>
      <w:r>
        <w:rPr/>
        <w:t>为公司业务发展提供有力的竞争优势。</w:t>
      </w:r>
    </w:p>
    <w:p>
      <w:pPr>
        <w:spacing w:after="0" w:line="31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1"/>
        </w:rPr>
        <w:t>报告期内，公司实现营业收入</w:t>
      </w:r>
      <w:r>
        <w:rPr>
          <w:rFonts w:ascii="Times New Roman" w:hAnsi="Times New Roman" w:cs="Times New Roman" w:eastAsia="Times New Roman" w:hint="default"/>
          <w:spacing w:val="-1"/>
        </w:rPr>
        <w:t>30,988.24</w:t>
      </w:r>
      <w:r>
        <w:rPr>
          <w:spacing w:val="-1"/>
        </w:rPr>
        <w:t>万元，较上年同期增长</w:t>
      </w:r>
      <w:r>
        <w:rPr>
          <w:rFonts w:ascii="Times New Roman" w:hAnsi="Times New Roman" w:cs="Times New Roman" w:eastAsia="Times New Roman" w:hint="default"/>
          <w:spacing w:val="-1"/>
        </w:rPr>
        <w:t>80.95%</w:t>
      </w:r>
      <w:r>
        <w:rPr>
          <w:spacing w:val="-1"/>
        </w:rPr>
        <w:t>；归属于上市公司普通股股东的净利润</w:t>
      </w:r>
      <w:r>
        <w:rPr>
          <w:rFonts w:ascii="Times New Roman" w:hAnsi="Times New Roman" w:cs="Times New Roman" w:eastAsia="Times New Roman" w:hint="default"/>
          <w:spacing w:val="-1"/>
        </w:rPr>
        <w:t>5,468.51</w:t>
      </w:r>
      <w:r>
        <w:rPr>
          <w:spacing w:val="-1"/>
        </w:rPr>
        <w:t>万</w:t>
      </w:r>
      <w:r>
        <w:rPr/>
        <w:t> 元，同比增长</w:t>
      </w:r>
      <w:r>
        <w:rPr>
          <w:rFonts w:ascii="Times New Roman" w:hAnsi="Times New Roman" w:cs="Times New Roman" w:eastAsia="Times New Roman" w:hint="default"/>
        </w:rPr>
        <w:t>42.78%</w:t>
      </w:r>
      <w:r>
        <w:rPr/>
        <w:t>。截至报告期末，公司总资产为</w:t>
      </w:r>
      <w:r>
        <w:rPr>
          <w:rFonts w:ascii="Times New Roman" w:hAnsi="Times New Roman" w:cs="Times New Roman" w:eastAsia="Times New Roman" w:hint="default"/>
        </w:rPr>
        <w:t>80,456.13</w:t>
      </w:r>
      <w:r>
        <w:rPr/>
        <w:t>万元，较报告期初增长</w:t>
      </w:r>
      <w:r>
        <w:rPr>
          <w:rFonts w:ascii="Times New Roman" w:hAnsi="Times New Roman" w:cs="Times New Roman" w:eastAsia="Times New Roman" w:hint="default"/>
        </w:rPr>
        <w:t>67.46%</w:t>
      </w:r>
      <w:r>
        <w:rPr/>
        <w:t>；归属于上市公司股东的所有</w:t>
      </w:r>
      <w:r>
        <w:rPr>
          <w:spacing w:val="-30"/>
        </w:rPr>
        <w:t> </w:t>
      </w:r>
      <w:r>
        <w:rPr>
          <w:spacing w:val="-30"/>
        </w:rPr>
      </w:r>
      <w:r>
        <w:rPr/>
        <w:t>者权益为</w:t>
      </w:r>
      <w:r>
        <w:rPr>
          <w:rFonts w:ascii="Times New Roman" w:hAnsi="Times New Roman" w:cs="Times New Roman" w:eastAsia="Times New Roman" w:hint="default"/>
        </w:rPr>
        <w:t>48,127.56</w:t>
      </w:r>
      <w:r>
        <w:rPr/>
        <w:t>万元，较报告期初增长</w:t>
      </w:r>
      <w:r>
        <w:rPr>
          <w:rFonts w:ascii="Times New Roman" w:hAnsi="Times New Roman" w:cs="Times New Roman" w:eastAsia="Times New Roman" w:hint="default"/>
        </w:rPr>
        <w:t>13.99%</w:t>
      </w:r>
      <w:r>
        <w:rPr/>
        <w:t>。</w:t>
      </w:r>
    </w:p>
    <w:p>
      <w:pPr>
        <w:pStyle w:val="BodyText"/>
        <w:spacing w:line="240" w:lineRule="auto" w:before="13"/>
        <w:ind w:left="1494" w:right="0"/>
        <w:jc w:val="left"/>
      </w:pPr>
      <w:r>
        <w:rPr>
          <w:rFonts w:ascii="Times New Roman" w:hAnsi="Times New Roman" w:cs="Times New Roman" w:eastAsia="Times New Roman" w:hint="default"/>
        </w:rPr>
        <w:t>1</w:t>
      </w:r>
      <w:r>
        <w:rPr/>
        <w:t>、业绩增长的主要原因</w:t>
      </w:r>
    </w:p>
    <w:p>
      <w:pPr>
        <w:pStyle w:val="BodyText"/>
        <w:spacing w:line="300" w:lineRule="auto" w:before="63"/>
        <w:ind w:left="1493" w:right="1123"/>
        <w:jc w:val="left"/>
      </w:pPr>
      <w:r>
        <w:rPr/>
        <w:t>（</w:t>
      </w:r>
      <w:r>
        <w:rPr>
          <w:rFonts w:ascii="Times New Roman" w:hAnsi="Times New Roman" w:cs="Times New Roman" w:eastAsia="Times New Roman" w:hint="default"/>
        </w:rPr>
        <w:t>1</w:t>
      </w:r>
      <w:r>
        <w:rPr/>
        <w:t>）软件开发与销售业务持续增长 报告期内，软件开发与销售业务销售收入与去年同期相比增加</w:t>
      </w:r>
      <w:r>
        <w:rPr>
          <w:rFonts w:ascii="Times New Roman" w:hAnsi="Times New Roman" w:cs="Times New Roman" w:eastAsia="Times New Roman" w:hint="default"/>
        </w:rPr>
        <w:t>3,324.99</w:t>
      </w:r>
      <w:r>
        <w:rPr/>
        <w:t>万元，主要原因是报告期内软件在华北等区域推</w:t>
      </w:r>
    </w:p>
    <w:p>
      <w:pPr>
        <w:pStyle w:val="BodyText"/>
        <w:spacing w:line="316" w:lineRule="auto" w:before="13"/>
        <w:ind w:left="1134" w:right="1130"/>
        <w:jc w:val="both"/>
      </w:pPr>
      <w:r>
        <w:rPr>
          <w:spacing w:val="-2"/>
        </w:rPr>
        <w:t>广，并成功拓展了宁夏、海南、天津、上海等省份及直辖市，同时公司控股并购了内蒙金财，使得软件开发与销售业务销售</w:t>
      </w:r>
      <w:r>
        <w:rPr>
          <w:spacing w:val="-68"/>
        </w:rPr>
        <w:t> </w:t>
      </w:r>
      <w:r>
        <w:rPr>
          <w:spacing w:val="-68"/>
        </w:rPr>
      </w:r>
      <w:r>
        <w:rPr/>
        <w:t>收入增加。</w:t>
      </w:r>
    </w:p>
    <w:p>
      <w:pPr>
        <w:pStyle w:val="BodyText"/>
        <w:spacing w:line="300" w:lineRule="auto" w:before="19"/>
        <w:ind w:left="1494" w:right="1122"/>
        <w:jc w:val="left"/>
      </w:pPr>
      <w:r>
        <w:rPr/>
        <w:t>（</w:t>
      </w:r>
      <w:r>
        <w:rPr>
          <w:rFonts w:ascii="Times New Roman" w:hAnsi="Times New Roman" w:cs="Times New Roman" w:eastAsia="Times New Roman" w:hint="default"/>
        </w:rPr>
        <w:t>2</w:t>
      </w:r>
      <w:r>
        <w:rPr/>
        <w:t>）技术服务收入持续增长 报告期内，技术服务销售收入与去年同期相比增加</w:t>
      </w:r>
      <w:r>
        <w:rPr>
          <w:rFonts w:ascii="Times New Roman" w:hAnsi="Times New Roman" w:cs="Times New Roman" w:eastAsia="Times New Roman" w:hint="default"/>
        </w:rPr>
        <w:t>9,605.69</w:t>
      </w:r>
      <w:r>
        <w:rPr/>
        <w:t>万元，主要原因是公司的客户以各类行政事业单位为主，这</w:t>
      </w:r>
    </w:p>
    <w:p>
      <w:pPr>
        <w:pStyle w:val="BodyText"/>
        <w:spacing w:line="316" w:lineRule="auto" w:before="13"/>
        <w:ind w:left="1134" w:right="1130"/>
        <w:jc w:val="both"/>
      </w:pPr>
      <w:r>
        <w:rPr>
          <w:spacing w:val="-2"/>
        </w:rPr>
        <w:t>些客户对信息系统运行的稳定性及安全性要求极高，公司软件产品销售免费运维服务期结束后，仍需要公司持续为其提供运</w:t>
      </w:r>
      <w:r>
        <w:rPr>
          <w:spacing w:val="-64"/>
        </w:rPr>
        <w:t> </w:t>
      </w:r>
      <w:r>
        <w:rPr>
          <w:spacing w:val="-64"/>
        </w:rPr>
      </w:r>
      <w:r>
        <w:rPr>
          <w:spacing w:val="-2"/>
        </w:rPr>
        <w:t>维服务，从而不断地积累客户，运维服务收入也逐年增加；从区域上看，随着福建、东北等地区前期软件销售的拓展，本报</w:t>
      </w:r>
      <w:r>
        <w:rPr>
          <w:spacing w:val="-68"/>
        </w:rPr>
        <w:t> </w:t>
      </w:r>
      <w:r>
        <w:rPr>
          <w:spacing w:val="-68"/>
        </w:rPr>
      </w:r>
      <w:r>
        <w:rPr/>
        <w:t>告期内，上述区域技术服务收入增长较大。</w:t>
      </w:r>
    </w:p>
    <w:p>
      <w:pPr>
        <w:pStyle w:val="BodyText"/>
        <w:spacing w:line="300" w:lineRule="auto" w:before="19"/>
        <w:ind w:left="1494" w:right="0"/>
        <w:jc w:val="left"/>
      </w:pPr>
      <w:r>
        <w:rPr>
          <w:rFonts w:ascii="Times New Roman" w:hAnsi="Times New Roman" w:cs="Times New Roman" w:eastAsia="Times New Roman" w:hint="default"/>
        </w:rPr>
        <w:t>2</w:t>
      </w:r>
      <w:r>
        <w:rPr/>
        <w:t>、报告期内的主要工作 </w:t>
      </w:r>
      <w:r>
        <w:rPr>
          <w:spacing w:val="-2"/>
        </w:rPr>
        <w:t>报告期内，在完成经营目标的同时，公司在业务开拓、研发投入、资本运作、人力资源和公司治理等方面，也取得了较</w:t>
      </w:r>
    </w:p>
    <w:p>
      <w:pPr>
        <w:pStyle w:val="BodyText"/>
        <w:spacing w:line="240" w:lineRule="auto" w:before="31"/>
        <w:ind w:left="1134" w:right="0"/>
        <w:jc w:val="both"/>
      </w:pPr>
      <w:r>
        <w:rPr/>
        <w:t>大的进步：</w:t>
      </w:r>
    </w:p>
    <w:p>
      <w:pPr>
        <w:pStyle w:val="BodyText"/>
        <w:spacing w:line="300" w:lineRule="auto" w:before="77"/>
        <w:ind w:left="1493" w:right="0"/>
        <w:jc w:val="left"/>
      </w:pPr>
      <w:r>
        <w:rPr/>
        <w:t>（</w:t>
      </w:r>
      <w:r>
        <w:rPr>
          <w:rFonts w:ascii="Times New Roman" w:hAnsi="Times New Roman" w:cs="Times New Roman" w:eastAsia="Times New Roman" w:hint="default"/>
        </w:rPr>
        <w:t>1</w:t>
      </w:r>
      <w:r>
        <w:rPr/>
        <w:t>）持续业务开拓，保持业绩增长 </w:t>
      </w:r>
      <w:r>
        <w:rPr>
          <w:spacing w:val="-4"/>
        </w:rPr>
        <w:t>报告期内，公司业务开拓成效显著，在传统优势领域继续领先，同时在互联网服务方面取得一定突破。在销售区域方面，</w:t>
      </w:r>
    </w:p>
    <w:p>
      <w:pPr>
        <w:pStyle w:val="BodyText"/>
        <w:spacing w:line="309" w:lineRule="auto" w:before="31"/>
        <w:ind w:left="1134" w:right="1130"/>
        <w:jc w:val="both"/>
      </w:pPr>
      <w:r>
        <w:rPr>
          <w:spacing w:val="-2"/>
        </w:rPr>
        <w:t>除原有地区外，</w:t>
      </w:r>
      <w:r>
        <w:rPr>
          <w:rFonts w:ascii="Times New Roman" w:hAnsi="Times New Roman" w:cs="Times New Roman" w:eastAsia="Times New Roman" w:hint="default"/>
          <w:spacing w:val="-2"/>
        </w:rPr>
        <w:t>2017</w:t>
      </w:r>
      <w:r>
        <w:rPr>
          <w:spacing w:val="-2"/>
        </w:rPr>
        <w:t>年成功拓展了宁夏、海南、天津、上海等省份及直辖市。在业务领域，公司成功配合客户进行了电子票</w:t>
      </w:r>
      <w:r>
        <w:rPr>
          <w:spacing w:val="-62"/>
        </w:rPr>
        <w:t> </w:t>
      </w:r>
      <w:r>
        <w:rPr>
          <w:spacing w:val="-62"/>
        </w:rPr>
      </w:r>
      <w:r>
        <w:rPr>
          <w:spacing w:val="-2"/>
        </w:rPr>
        <w:t>据的试点工作，为后续电子票据的推广应用打下基础；其次在推进非税收缴电子化改革中，公司在多个省份已有项目实施落</w:t>
      </w:r>
      <w:r>
        <w:rPr>
          <w:spacing w:val="-66"/>
        </w:rPr>
        <w:t> </w:t>
      </w:r>
      <w:r>
        <w:rPr>
          <w:spacing w:val="-66"/>
        </w:rPr>
      </w:r>
      <w:r>
        <w:rPr/>
        <w:t>地；在政府采购业务方面，公司整合政府采购业务初见成效，业务成功拓展了福建等区域。</w:t>
      </w:r>
    </w:p>
    <w:p>
      <w:pPr>
        <w:pStyle w:val="BodyText"/>
        <w:spacing w:line="240" w:lineRule="auto" w:before="24"/>
        <w:ind w:left="1493" w:right="0"/>
        <w:jc w:val="left"/>
      </w:pPr>
      <w:r>
        <w:rPr/>
        <w:t>（</w:t>
      </w:r>
      <w:r>
        <w:rPr>
          <w:rFonts w:ascii="Times New Roman" w:hAnsi="Times New Roman" w:cs="Times New Roman" w:eastAsia="Times New Roman" w:hint="default"/>
        </w:rPr>
        <w:t>2</w:t>
      </w:r>
      <w:r>
        <w:rPr/>
        <w:t>）加强研发投入，提高创新实力</w:t>
      </w:r>
    </w:p>
    <w:p>
      <w:pPr>
        <w:pStyle w:val="BodyText"/>
        <w:spacing w:line="307" w:lineRule="auto" w:before="63"/>
        <w:ind w:right="0" w:firstLine="360"/>
        <w:jc w:val="left"/>
      </w:pPr>
      <w:r>
        <w:rPr>
          <w:rFonts w:ascii="Times New Roman" w:hAnsi="Times New Roman" w:cs="Times New Roman" w:eastAsia="Times New Roman" w:hint="default"/>
        </w:rPr>
        <w:t>2017</w:t>
      </w:r>
      <w:r>
        <w:rPr/>
        <w:t>年，公司的研发费用为</w:t>
      </w:r>
      <w:r>
        <w:rPr>
          <w:rFonts w:ascii="Times New Roman" w:hAnsi="Times New Roman" w:cs="Times New Roman" w:eastAsia="Times New Roman" w:hint="default"/>
        </w:rPr>
        <w:t>4,865.58</w:t>
      </w:r>
      <w:r>
        <w:rPr/>
        <w:t>万元，占营业收入的</w:t>
      </w:r>
      <w:r>
        <w:rPr>
          <w:rFonts w:ascii="Times New Roman" w:hAnsi="Times New Roman" w:cs="Times New Roman" w:eastAsia="Times New Roman" w:hint="default"/>
        </w:rPr>
        <w:t>15.70%</w:t>
      </w:r>
      <w:r>
        <w:rPr/>
        <w:t>，比去年同期增长</w:t>
      </w:r>
      <w:r>
        <w:rPr>
          <w:rFonts w:ascii="Times New Roman" w:hAnsi="Times New Roman" w:cs="Times New Roman" w:eastAsia="Times New Roman" w:hint="default"/>
        </w:rPr>
        <w:t>99.03%</w:t>
      </w:r>
      <w:r>
        <w:rPr/>
        <w:t>。作为财政部财政票据管理系 </w:t>
      </w:r>
      <w:r>
        <w:rPr>
          <w:spacing w:val="-2"/>
        </w:rPr>
        <w:t>统和非税收入管理系统的软件开发与服务企业，公司积极增加研发投入研究电子票据和收缴电子化，积极为财政部制定电子</w:t>
      </w:r>
      <w:r>
        <w:rPr>
          <w:spacing w:val="-64"/>
        </w:rPr>
        <w:t> </w:t>
      </w:r>
      <w:r>
        <w:rPr>
          <w:spacing w:val="-64"/>
        </w:rPr>
      </w:r>
      <w:r>
        <w:rPr>
          <w:spacing w:val="-2"/>
        </w:rPr>
        <w:t>票据标准和电子缴费标准提供技术协助，并结合互联网</w:t>
      </w:r>
      <w:r>
        <w:rPr>
          <w:rFonts w:ascii="Times New Roman" w:hAnsi="Times New Roman" w:cs="Times New Roman" w:eastAsia="Times New Roman" w:hint="default"/>
          <w:spacing w:val="-2"/>
        </w:rPr>
        <w:t>+</w:t>
      </w:r>
      <w:r>
        <w:rPr>
          <w:spacing w:val="-2"/>
        </w:rPr>
        <w:t>政务的政府治理需求，扩充互联网缴费、智慧城市领域产品的研发。</w:t>
      </w:r>
      <w:r>
        <w:rPr>
          <w:spacing w:val="-76"/>
        </w:rPr>
        <w:t> </w:t>
      </w:r>
      <w:r>
        <w:rPr>
          <w:spacing w:val="-76"/>
        </w:rPr>
      </w:r>
      <w:r>
        <w:rPr/>
        <w:t>同时基于多元化发展需要，开展了政府采购和财政业务一体化的产品规划和研发。</w:t>
      </w:r>
    </w:p>
    <w:p>
      <w:pPr>
        <w:pStyle w:val="BodyText"/>
        <w:spacing w:line="240" w:lineRule="auto" w:before="26"/>
        <w:ind w:left="1493" w:right="0"/>
        <w:jc w:val="left"/>
      </w:pPr>
      <w:r>
        <w:rPr/>
        <w:t>（</w:t>
      </w:r>
      <w:r>
        <w:rPr>
          <w:rFonts w:ascii="Times New Roman" w:hAnsi="Times New Roman" w:cs="Times New Roman" w:eastAsia="Times New Roman" w:hint="default"/>
        </w:rPr>
        <w:t>3</w:t>
      </w:r>
      <w:r>
        <w:rPr/>
        <w:t>）收购优质企业，扩大业务规模</w:t>
      </w:r>
    </w:p>
    <w:p>
      <w:pPr>
        <w:pStyle w:val="BodyText"/>
        <w:spacing w:line="309" w:lineRule="auto" w:before="63"/>
        <w:ind w:right="1131" w:firstLine="360"/>
        <w:jc w:val="both"/>
      </w:pPr>
      <w:r>
        <w:rPr>
          <w:rFonts w:ascii="Times New Roman" w:hAnsi="Times New Roman" w:cs="Times New Roman" w:eastAsia="Times New Roman" w:hint="default"/>
          <w:spacing w:val="-1"/>
        </w:rPr>
        <w:t>2017</w:t>
      </w:r>
      <w:r>
        <w:rPr>
          <w:spacing w:val="-1"/>
        </w:rPr>
        <w:t>年，公司以自有资金收购内蒙古金财信息技术有限公司</w:t>
      </w:r>
      <w:r>
        <w:rPr>
          <w:rFonts w:ascii="Times New Roman" w:hAnsi="Times New Roman" w:cs="Times New Roman" w:eastAsia="Times New Roman" w:hint="default"/>
          <w:spacing w:val="-1"/>
        </w:rPr>
        <w:t>70%</w:t>
      </w:r>
      <w:r>
        <w:rPr>
          <w:spacing w:val="-1"/>
        </w:rPr>
        <w:t>股权，内蒙金财作为内蒙古自治区财政业务领域的龙头</w:t>
      </w:r>
      <w:r>
        <w:rPr/>
        <w:t> </w:t>
      </w:r>
      <w:r>
        <w:rPr>
          <w:spacing w:val="-2"/>
        </w:rPr>
        <w:t>企业及内蒙古自治区财政部门和商业银行的核心供应商和服务商，此次收购能够使公司的产品应用和客户分布得到延伸，促</w:t>
      </w:r>
      <w:r>
        <w:rPr>
          <w:spacing w:val="-64"/>
        </w:rPr>
        <w:t> </w:t>
      </w:r>
      <w:r>
        <w:rPr>
          <w:spacing w:val="-64"/>
        </w:rPr>
      </w:r>
      <w:r>
        <w:rPr/>
        <w:t>进公司业务的区域扩展。此外，公司同时参股了同力科技、吉林金财等行业内公司。</w:t>
      </w:r>
    </w:p>
    <w:p>
      <w:pPr>
        <w:pStyle w:val="BodyText"/>
        <w:spacing w:line="300" w:lineRule="auto" w:before="23"/>
        <w:ind w:left="1493" w:right="0"/>
        <w:jc w:val="left"/>
      </w:pPr>
      <w:r>
        <w:rPr/>
        <w:t>（</w:t>
      </w:r>
      <w:r>
        <w:rPr>
          <w:rFonts w:ascii="Times New Roman" w:hAnsi="Times New Roman" w:cs="Times New Roman" w:eastAsia="Times New Roman" w:hint="default"/>
        </w:rPr>
        <w:t>4</w:t>
      </w:r>
      <w:r>
        <w:rPr/>
        <w:t>）实施股权激励，共谋未来发展 </w:t>
      </w:r>
      <w:r>
        <w:rPr>
          <w:spacing w:val="-2"/>
        </w:rPr>
        <w:t>报告期内，为了进一步提升公司的管理和业务能力，公司积极引进人才，员工人数较上年同期有较大增长。为了充分调</w:t>
      </w:r>
    </w:p>
    <w:p>
      <w:pPr>
        <w:pStyle w:val="BodyText"/>
        <w:spacing w:line="307" w:lineRule="auto" w:before="31"/>
        <w:ind w:right="1042"/>
        <w:jc w:val="both"/>
      </w:pPr>
      <w:r>
        <w:rPr>
          <w:spacing w:val="-2"/>
        </w:rPr>
        <w:t>动公司员工的积极性，有效地将股东利益、公司利益和核心团队个人利益结合在一起，公司积极探索科学、规范的激励体系</w:t>
      </w:r>
      <w:r>
        <w:rPr>
          <w:spacing w:val="-66"/>
        </w:rPr>
        <w:t> </w:t>
      </w:r>
      <w:r>
        <w:rPr>
          <w:spacing w:val="-66"/>
        </w:rPr>
      </w:r>
      <w:r>
        <w:rPr/>
        <w:t>与管理机制，并推出限制性股票激励计划，授予日为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日完成登记上市，股权激励人数</w:t>
      </w:r>
      <w:r>
        <w:rPr>
          <w:rFonts w:ascii="Times New Roman" w:hAnsi="Times New Roman" w:cs="Times New Roman" w:eastAsia="Times New Roman" w:hint="default"/>
        </w:rPr>
        <w:t>194</w:t>
      </w:r>
      <w:r>
        <w:rPr>
          <w:rFonts w:ascii="Times New Roman" w:hAnsi="Times New Roman" w:cs="Times New Roman" w:eastAsia="Times New Roman" w:hint="default"/>
          <w:spacing w:val="-37"/>
        </w:rPr>
        <w:t> </w:t>
      </w:r>
      <w:r>
        <w:rPr/>
        <w:t>人，共</w:t>
      </w:r>
      <w:r>
        <w:rPr>
          <w:rFonts w:ascii="Times New Roman" w:hAnsi="Times New Roman" w:cs="Times New Roman" w:eastAsia="Times New Roman" w:hint="default"/>
        </w:rPr>
        <w:t>389.30</w:t>
      </w:r>
      <w:r>
        <w:rPr/>
        <w:t>万股。随后为了促进公司持续、健康发展，使各方共同关注公司的长远发展，公司又推出了第一期员工持股计 </w:t>
      </w:r>
      <w:r>
        <w:rPr>
          <w:spacing w:val="-5"/>
        </w:rPr>
        <w:t>划。截至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6</w:t>
      </w:r>
      <w:r>
        <w:rPr>
          <w:spacing w:val="-5"/>
        </w:rPr>
        <w:t>日，公司第一期员工持股计划已完成股票购买，共累计买入公司股票</w:t>
      </w:r>
      <w:r>
        <w:rPr>
          <w:rFonts w:ascii="Times New Roman" w:hAnsi="Times New Roman" w:cs="Times New Roman" w:eastAsia="Times New Roman" w:hint="default"/>
          <w:spacing w:val="-5"/>
        </w:rPr>
        <w:t>4,139,952</w:t>
      </w:r>
      <w:r>
        <w:rPr>
          <w:spacing w:val="-5"/>
        </w:rPr>
        <w:t>股，占公司总股本的</w:t>
      </w:r>
      <w:r>
        <w:rPr>
          <w:rFonts w:ascii="Times New Roman" w:hAnsi="Times New Roman" w:cs="Times New Roman" w:eastAsia="Times New Roman" w:hint="default"/>
          <w:spacing w:val="-5"/>
        </w:rPr>
        <w:t>5.75%</w:t>
      </w:r>
      <w:r>
        <w:rPr>
          <w:spacing w:val="-5"/>
        </w:rPr>
        <w:t>。</w:t>
      </w:r>
    </w:p>
    <w:p>
      <w:pPr>
        <w:pStyle w:val="BodyText"/>
        <w:spacing w:line="300" w:lineRule="auto" w:before="7"/>
        <w:ind w:left="1493" w:right="0"/>
        <w:jc w:val="left"/>
      </w:pPr>
      <w:r>
        <w:rPr/>
        <w:t>（</w:t>
      </w:r>
      <w:r>
        <w:rPr>
          <w:rFonts w:ascii="Times New Roman" w:hAnsi="Times New Roman" w:cs="Times New Roman" w:eastAsia="Times New Roman" w:hint="default"/>
        </w:rPr>
        <w:t>5</w:t>
      </w:r>
      <w:r>
        <w:rPr/>
        <w:t>）完善公司治理，促进规范运作 </w:t>
      </w:r>
      <w:r>
        <w:rPr>
          <w:spacing w:val="-2"/>
        </w:rPr>
        <w:t>报告期内，公司按照上市公司监管要求积极推进完善内控建设、信息披露、投资者关系和三会运作等工作，逐步完善公</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司治理。通过互动易平台、投资者关系电话等多渠道常态互动，畅通投资者与上市公司交流的渠道，充分保护中小投资者利</w:t>
      </w:r>
      <w:r>
        <w:rPr>
          <w:spacing w:val="-66"/>
        </w:rPr>
        <w:t> </w:t>
      </w:r>
      <w:r>
        <w:rPr>
          <w:spacing w:val="-66"/>
        </w:rPr>
      </w:r>
      <w:r>
        <w:rPr/>
        <w:t>益，增强了公司运作透明度，维护了上市公司良好市场形象。</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7"/>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1"/>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309,882,371.93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171,251,296.12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309,882,371.93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171,251,296.12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92,673,545.97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59,423,694.56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34.70%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203,323,373.65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107,266,425.38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62.64%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12,378,404.31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3,249,089.55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1,507,048.00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1,312,086.63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97,570,381.21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72,973,803.72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42.61%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99,353,751.74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37,133,587.59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35,072,975.30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27,004,041.34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15.77%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4,106,500.26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6,825,717.34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23,634,809.13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14,485,464.53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50,143,954.29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12,828,681.60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290.87%</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309,882,371.93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97,383,817.55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92,673,545.97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17,387,161.44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203,323,373.65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70,719,978.10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97,570,381.21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33,300,898.56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99,353,751.74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32,610,730.39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35,072,975.30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7,595,359.26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50,143,954.29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17,622,895.90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57" w:lineRule="auto" w:before="44"/>
        <w:ind w:left="1134"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6,885,032.70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4,839,421.02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571,205.17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580,223.64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原材料－软件载 体等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6,617,743.26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1,212,689.94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软件实施费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3,313,180.31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2,942,718.75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41,659,482.31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21,963,846.47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4,290,331.47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2,747,664.08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外协费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12,305,854.92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3,946,635.98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土地确权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8,586,654.42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5,543,769.15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3,282,199.22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5,521,430.19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库存商品－硬件 及耗材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8,607,045.61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1,942,030.95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255,555.54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182,538.45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595,455.76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856,001.29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租赁合同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场租成本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407,578.60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1"/>
        <w:ind w:right="0" w:firstLine="360"/>
        <w:jc w:val="left"/>
      </w:pPr>
      <w:r>
        <w:rPr>
          <w:spacing w:val="-2"/>
        </w:rPr>
        <w:t>本年公司投资设立子公司而增加并表单位为：福建博思创业园管理有限公司；同时，非同一控制下企业合并形成的控股</w:t>
      </w:r>
      <w:r>
        <w:rPr/>
        <w:t> 子公司而增加的并表单位为：内蒙古金财信息技术有限公司。</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41,065,375.94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0.77%</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3" w:right="0"/>
              <w:jc w:val="left"/>
              <w:rPr>
                <w:rFonts w:ascii="Times New Roman" w:hAnsi="Times New Roman" w:cs="Times New Roman" w:eastAsia="Times New Roman" w:hint="default"/>
                <w:sz w:val="18"/>
                <w:szCs w:val="18"/>
              </w:rPr>
            </w:pPr>
            <w:r>
              <w:rPr>
                <w:rFonts w:ascii="Times New Roman"/>
                <w:sz w:val="18"/>
              </w:rPr>
              <w:t>8,686,792.44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8,625,999.80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8,391,572.31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8,230,965.13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7,130,046.26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41,065,375.94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13.25%</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12,103,229.72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16.62%</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2,904,088.68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2,685,982.73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2,559,148.87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2,041,509.44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12,103,229.72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36.83%</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55,209,517.05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27,822,307.75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98.44%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主要是各办事处开拓市场人工费增 加及股权激励销售人员承担成本所 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95,095,448.67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50,892,384.84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86.86%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主要是公司管理人员工资上涨、股权 激励管理人员承担成本，以及合并范 围内子公司数量增加共同影响所致。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-1,290,112.94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-741,678.62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-73.95%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主要是结构性存款利息收入增加所 致。</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2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为了提高公司产品核心竞争力，加强软件</w:t>
      </w:r>
      <w:r>
        <w:rPr>
          <w:rFonts w:ascii="Times New Roman" w:hAnsi="Times New Roman" w:cs="Times New Roman" w:eastAsia="Times New Roman" w:hint="default"/>
        </w:rPr>
        <w:t>+</w:t>
      </w:r>
      <w:r>
        <w:rPr/>
        <w:t>互联网服务的产品体系建设，作为财政部财政票据管理系统和非税收入管理</w:t>
      </w:r>
    </w:p>
    <w:p>
      <w:pPr>
        <w:pStyle w:val="BodyText"/>
        <w:spacing w:line="217" w:lineRule="exact"/>
        <w:ind w:right="0"/>
        <w:jc w:val="left"/>
      </w:pPr>
      <w:r>
        <w:rPr/>
        <w:t>系统的软件开发与服务企业，公司积极增加研发投入研究电子票据和收缴电子化，积极为财政部制定电子票据标准和电子缴</w:t>
      </w:r>
    </w:p>
    <w:p>
      <w:pPr>
        <w:pStyle w:val="BodyText"/>
        <w:spacing w:line="316" w:lineRule="auto" w:before="76"/>
        <w:ind w:left="1134" w:right="1122"/>
        <w:jc w:val="left"/>
      </w:pPr>
      <w:r>
        <w:rPr/>
        <w:t>费标准提供技术协助，并结合互联网</w:t>
      </w:r>
      <w:r>
        <w:rPr>
          <w:rFonts w:ascii="宋体" w:hAnsi="宋体" w:cs="宋体" w:eastAsia="宋体" w:hint="default"/>
        </w:rPr>
        <w:t>+</w:t>
      </w:r>
      <w:r>
        <w:rPr/>
        <w:t>政务的政府治理需求，扩充互联网缴费、智慧城市领域产品的研发。同时基于多元化</w:t>
      </w:r>
      <w:r>
        <w:rPr>
          <w:spacing w:val="-83"/>
        </w:rPr>
        <w:t> </w:t>
      </w:r>
      <w:r>
        <w:rPr>
          <w:spacing w:val="-83"/>
        </w:rPr>
      </w:r>
      <w:r>
        <w:rPr/>
        <w:t>发展需要，开展了政府采购和财政业务一体化的产品规划和研发。</w:t>
      </w:r>
    </w:p>
    <w:p>
      <w:pPr>
        <w:pStyle w:val="BodyText"/>
        <w:spacing w:line="312" w:lineRule="auto" w:before="19"/>
        <w:ind w:left="1134" w:right="1131" w:firstLine="300"/>
        <w:jc w:val="both"/>
      </w:pPr>
      <w:r>
        <w:rPr/>
        <w:t>（</w:t>
      </w:r>
      <w:r>
        <w:rPr>
          <w:rFonts w:ascii="Times New Roman" w:hAnsi="Times New Roman" w:cs="Times New Roman" w:eastAsia="Times New Roman" w:hint="default"/>
        </w:rPr>
        <w:t>1</w:t>
      </w:r>
      <w:r>
        <w:rPr/>
        <w:t>）报告期内，公司结合财政部电子票据改革在各省试点推广的需要，继续深化财政票据领域的研发创新，从提供纸 </w:t>
      </w:r>
      <w:r>
        <w:rPr>
          <w:spacing w:val="-2"/>
        </w:rPr>
        <w:t>质财政票据电子化管理扩展到财政电子票据管理，在财政票据电子化系统基础上扩充电子票据服务功能，为财政部门及开票</w:t>
      </w:r>
      <w:r>
        <w:rPr>
          <w:spacing w:val="-64"/>
        </w:rPr>
        <w:t> </w:t>
      </w:r>
      <w:r>
        <w:rPr>
          <w:spacing w:val="-64"/>
        </w:rPr>
      </w:r>
      <w:r>
        <w:rPr>
          <w:spacing w:val="-2"/>
        </w:rPr>
        <w:t>单位提供财政电子票据管理和社会化流转的全生命周期管理，电子票据管理系统满足财政部门从财政纸质票据过渡到财政电</w:t>
      </w:r>
      <w:r>
        <w:rPr>
          <w:spacing w:val="-64"/>
        </w:rPr>
        <w:t> </w:t>
      </w:r>
      <w:r>
        <w:rPr>
          <w:spacing w:val="-64"/>
        </w:rPr>
      </w:r>
      <w:r>
        <w:rPr/>
        <w:t>子票据的业务管理需求，大大提升财政票据管理较率，方便了缴款人，并为大数据分析业务打下基础。</w:t>
      </w:r>
    </w:p>
    <w:p>
      <w:pPr>
        <w:pStyle w:val="BodyText"/>
        <w:spacing w:line="309" w:lineRule="auto" w:before="22"/>
        <w:ind w:right="1132" w:firstLine="300"/>
        <w:jc w:val="both"/>
      </w:pPr>
      <w:r>
        <w:rPr/>
        <w:t>（</w:t>
      </w:r>
      <w:r>
        <w:rPr>
          <w:rFonts w:ascii="Times New Roman" w:hAnsi="Times New Roman" w:cs="Times New Roman" w:eastAsia="Times New Roman" w:hint="default"/>
        </w:rPr>
        <w:t>2</w:t>
      </w:r>
      <w:r>
        <w:rPr/>
        <w:t>）报告期内，公司结合非税电子化改革在各省全面推广的需要，继续深化非税收缴电子化领域的研发，按照财政部 </w:t>
      </w:r>
      <w:r>
        <w:rPr>
          <w:spacing w:val="-2"/>
        </w:rPr>
        <w:t>全国电子缴款标准，建立省级集中及统一的金融服务渠道，研发全国通用的财政电子缴款通用接口产品和银行代理财政中间</w:t>
      </w:r>
      <w:r>
        <w:rPr>
          <w:spacing w:val="-64"/>
        </w:rPr>
        <w:t> </w:t>
      </w:r>
      <w:r>
        <w:rPr>
          <w:spacing w:val="-64"/>
        </w:rPr>
      </w:r>
      <w:r>
        <w:rPr/>
        <w:t>业务系统，为财政、代理银行及第三方支付机构提供系统支撑，实现与财政、代理银行之间的信息交换。</w:t>
      </w:r>
    </w:p>
    <w:p>
      <w:pPr>
        <w:pStyle w:val="BodyText"/>
        <w:spacing w:line="307" w:lineRule="auto" w:before="24"/>
        <w:ind w:right="1129" w:firstLine="300"/>
        <w:jc w:val="both"/>
      </w:pPr>
      <w:r>
        <w:rPr>
          <w:spacing w:val="-1"/>
        </w:rPr>
        <w:t>（</w:t>
      </w:r>
      <w:r>
        <w:rPr>
          <w:rFonts w:ascii="Times New Roman" w:hAnsi="Times New Roman" w:cs="Times New Roman" w:eastAsia="Times New Roman" w:hint="default"/>
          <w:spacing w:val="-1"/>
        </w:rPr>
        <w:t>3</w:t>
      </w:r>
      <w:r>
        <w:rPr>
          <w:spacing w:val="-1"/>
        </w:rPr>
        <w:t>）报告期内，公司充分发扬财政部非税电子化和电子票据改革的优势，结合智慧城市和互联网</w:t>
      </w:r>
      <w:r>
        <w:rPr>
          <w:rFonts w:ascii="Times New Roman" w:hAnsi="Times New Roman" w:cs="Times New Roman" w:eastAsia="Times New Roman" w:hint="default"/>
          <w:spacing w:val="-1"/>
        </w:rPr>
        <w:t>+</w:t>
      </w:r>
      <w:r>
        <w:rPr>
          <w:spacing w:val="-1"/>
        </w:rPr>
        <w:t>政务的社会需求和行</w:t>
      </w:r>
      <w:r>
        <w:rPr/>
        <w:t> </w:t>
      </w:r>
      <w:r>
        <w:rPr>
          <w:spacing w:val="-2"/>
        </w:rPr>
        <w:t>业动态，在公共服务电子缴费领域，全面提供和推广</w:t>
      </w:r>
      <w:r>
        <w:rPr>
          <w:rFonts w:ascii="Times New Roman" w:hAnsi="Times New Roman" w:cs="Times New Roman" w:eastAsia="Times New Roman" w:hint="default"/>
          <w:spacing w:val="-2"/>
        </w:rPr>
        <w:t>“</w:t>
      </w:r>
      <w:r>
        <w:rPr>
          <w:spacing w:val="-2"/>
        </w:rPr>
        <w:t>开单、缴费、开票</w:t>
      </w:r>
      <w:r>
        <w:rPr>
          <w:rFonts w:ascii="Times New Roman" w:hAnsi="Times New Roman" w:cs="Times New Roman" w:eastAsia="Times New Roman" w:hint="default"/>
          <w:spacing w:val="-2"/>
        </w:rPr>
        <w:t>”</w:t>
      </w:r>
      <w:r>
        <w:rPr>
          <w:spacing w:val="-2"/>
        </w:rPr>
        <w:t>的一站式城市和政务智能服务解决方案，以电子缴</w:t>
      </w:r>
      <w:r>
        <w:rPr>
          <w:spacing w:val="-47"/>
        </w:rPr>
        <w:t> </w:t>
      </w:r>
      <w:r>
        <w:rPr>
          <w:spacing w:val="-47"/>
        </w:rPr>
      </w:r>
      <w:r>
        <w:rPr/>
        <w:t>费公共服务平台（</w:t>
      </w:r>
      <w:r>
        <w:rPr>
          <w:rFonts w:ascii="Times New Roman" w:hAnsi="Times New Roman" w:cs="Times New Roman" w:eastAsia="Times New Roman" w:hint="default"/>
        </w:rPr>
        <w:t>e</w:t>
      </w:r>
      <w:r>
        <w:rPr/>
        <w:t>缴通）为基础，结合聚合支付理念，创新研发了统一公共支付平台产品，为各省政府和财政提供业务办</w:t>
      </w:r>
      <w:r>
        <w:rPr>
          <w:spacing w:val="-77"/>
        </w:rPr>
        <w:t> </w:t>
      </w:r>
      <w:r>
        <w:rPr>
          <w:spacing w:val="-77"/>
        </w:rPr>
      </w:r>
      <w:r>
        <w:rPr>
          <w:spacing w:val="-2"/>
        </w:rPr>
        <w:t>理在线缴费和开票服务，实现网上一站式办理，老百姓少跑腿，甚至一次都不跑。同时，公司为福州市政府建设统一电子缴</w:t>
      </w:r>
      <w:r>
        <w:rPr>
          <w:spacing w:val="-66"/>
        </w:rPr>
        <w:t> </w:t>
      </w:r>
      <w:r>
        <w:rPr>
          <w:spacing w:val="-66"/>
        </w:rPr>
      </w:r>
      <w:r>
        <w:rPr>
          <w:spacing w:val="-2"/>
        </w:rPr>
        <w:t>费平台，与福州市政府联合研发电子缴费二维码技术标准，并加大推广行业应用，实现政务、公交、地铁、医院、教育等场</w:t>
      </w:r>
      <w:r>
        <w:rPr>
          <w:spacing w:val="-72"/>
        </w:rPr>
        <w:t> </w:t>
      </w:r>
      <w:r>
        <w:rPr>
          <w:spacing w:val="-72"/>
        </w:rPr>
      </w:r>
      <w:r>
        <w:rPr/>
        <w:t>景缴费</w:t>
      </w:r>
      <w:r>
        <w:rPr>
          <w:rFonts w:ascii="Times New Roman" w:hAnsi="Times New Roman" w:cs="Times New Roman" w:eastAsia="Times New Roman" w:hint="default"/>
        </w:rPr>
        <w:t>,</w:t>
      </w:r>
      <w:r>
        <w:rPr/>
        <w:t>让市民享受</w:t>
      </w:r>
      <w:r>
        <w:rPr>
          <w:rFonts w:ascii="Times New Roman" w:hAnsi="Times New Roman" w:cs="Times New Roman" w:eastAsia="Times New Roman" w:hint="default"/>
        </w:rPr>
        <w:t>“</w:t>
      </w:r>
      <w:r>
        <w:rPr/>
        <w:t>一码通行</w:t>
      </w:r>
      <w:r>
        <w:rPr>
          <w:rFonts w:ascii="Times New Roman" w:hAnsi="Times New Roman" w:cs="Times New Roman" w:eastAsia="Times New Roman" w:hint="default"/>
        </w:rPr>
        <w:t>”</w:t>
      </w:r>
      <w:r>
        <w:rPr/>
        <w:t>公共服务缴费。</w:t>
      </w:r>
    </w:p>
    <w:p>
      <w:pPr>
        <w:pStyle w:val="BodyText"/>
        <w:spacing w:line="309" w:lineRule="auto" w:before="7"/>
        <w:ind w:right="1131" w:firstLine="300"/>
        <w:jc w:val="both"/>
      </w:pPr>
      <w:r>
        <w:rPr/>
        <w:t>（</w:t>
      </w:r>
      <w:r>
        <w:rPr>
          <w:rFonts w:ascii="Times New Roman" w:hAnsi="Times New Roman" w:cs="Times New Roman" w:eastAsia="Times New Roman" w:hint="default"/>
        </w:rPr>
        <w:t>4</w:t>
      </w:r>
      <w:r>
        <w:rPr/>
        <w:t>）报告期内，在政府采购业务领域，为了协助政府实现政府采购</w:t>
      </w:r>
      <w:r>
        <w:rPr>
          <w:rFonts w:ascii="Times New Roman" w:hAnsi="Times New Roman" w:cs="Times New Roman" w:eastAsia="Times New Roman" w:hint="default"/>
        </w:rPr>
        <w:t>“</w:t>
      </w:r>
      <w:r>
        <w:rPr/>
        <w:t>效率更高、价格更低、品质更优</w:t>
      </w:r>
      <w:r>
        <w:rPr>
          <w:rFonts w:ascii="Times New Roman" w:hAnsi="Times New Roman" w:cs="Times New Roman" w:eastAsia="Times New Roman" w:hint="default"/>
        </w:rPr>
        <w:t>”</w:t>
      </w:r>
      <w:r>
        <w:rPr/>
        <w:t>的要求，公司研 </w:t>
      </w:r>
      <w:r>
        <w:rPr>
          <w:spacing w:val="-2"/>
        </w:rPr>
        <w:t>发政府采购系列产品，包含电子卖场平台、执行交易平台和监督管理平台等产品，并在福建省全面应用，加大公司在政府采</w:t>
      </w:r>
      <w:r>
        <w:rPr>
          <w:spacing w:val="-66"/>
        </w:rPr>
        <w:t> </w:t>
      </w:r>
      <w:r>
        <w:rPr>
          <w:spacing w:val="-66"/>
        </w:rPr>
      </w:r>
      <w:r>
        <w:rPr/>
        <w:t>购业务领域的竞争力。</w:t>
      </w:r>
    </w:p>
    <w:p>
      <w:pPr>
        <w:pStyle w:val="BodyText"/>
        <w:spacing w:line="307" w:lineRule="auto" w:before="24"/>
        <w:ind w:right="1104" w:firstLine="300"/>
        <w:jc w:val="both"/>
      </w:pPr>
      <w:r>
        <w:rPr>
          <w:spacing w:val="-6"/>
        </w:rPr>
        <w:t>（</w:t>
      </w:r>
      <w:r>
        <w:rPr>
          <w:rFonts w:ascii="Times New Roman" w:hAnsi="Times New Roman" w:cs="Times New Roman" w:eastAsia="Times New Roman" w:hint="default"/>
          <w:spacing w:val="-6"/>
        </w:rPr>
        <w:t>5</w:t>
      </w:r>
      <w:r>
        <w:rPr>
          <w:spacing w:val="-6"/>
        </w:rPr>
        <w:t>）报告期内，在财政预算管理业务领域，围绕新预算法、国库现金、大数据分析等多项管理改革，为实现财政管理</w:t>
      </w:r>
      <w:r>
        <w:rPr>
          <w:spacing w:val="11"/>
        </w:rPr>
        <w:t> </w:t>
      </w:r>
      <w:r>
        <w:rPr>
          <w:rFonts w:ascii="Times New Roman" w:hAnsi="Times New Roman" w:cs="Times New Roman" w:eastAsia="Times New Roman" w:hint="default"/>
        </w:rPr>
        <w:t>“</w:t>
      </w:r>
      <w:r>
        <w:rPr/>
        <w:t>更 准确、更高效、更量化</w:t>
      </w:r>
      <w:r>
        <w:rPr>
          <w:rFonts w:ascii="Times New Roman" w:hAnsi="Times New Roman" w:cs="Times New Roman" w:eastAsia="Times New Roman" w:hint="default"/>
        </w:rPr>
        <w:t>”</w:t>
      </w:r>
      <w:r>
        <w:rPr/>
        <w:t>的需求，公司及下属子公司基于财政部应用支撑平台</w:t>
      </w:r>
      <w:r>
        <w:rPr>
          <w:rFonts w:ascii="Times New Roman" w:hAnsi="Times New Roman" w:cs="Times New Roman" w:eastAsia="Times New Roman" w:hint="default"/>
        </w:rPr>
        <w:t>2.0</w:t>
      </w:r>
      <w:r>
        <w:rPr/>
        <w:t>研发了财政一体化系统，覆盖预算、执行、 </w:t>
      </w:r>
      <w:r>
        <w:rPr>
          <w:spacing w:val="-2"/>
        </w:rPr>
        <w:t>核算、决算的业务闭环管理过程，包含财政授权和运行监控中心、财政集中式一体化管理系统、财政大数据中心，并在部分</w:t>
      </w:r>
      <w:r>
        <w:rPr>
          <w:spacing w:val="-66"/>
        </w:rPr>
        <w:t> </w:t>
      </w:r>
      <w:r>
        <w:rPr>
          <w:spacing w:val="-66"/>
        </w:rPr>
      </w:r>
      <w:r>
        <w:rPr/>
        <w:t>省份得到应用，加大了公司在财政核心业务领域的竞争力。</w:t>
      </w:r>
    </w:p>
    <w:p>
      <w:pPr>
        <w:pStyle w:val="BodyText"/>
        <w:spacing w:line="240" w:lineRule="auto" w:before="67"/>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48,655,797.15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24,446,038.31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19,579,033.46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326,397,575.49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180,694,179.90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270,209,670.53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147,697,087.35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56,187,904.96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32,997,092.55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1,237,144.34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12,271.44%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146,875,830.39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19,575,015.59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-145,638,686.05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-19,565,015.59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132,943,690.00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2,431,199.55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24,304,322.71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130,512,490.45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157,893,677.29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41,061,709.36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171,325,754.25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-76.03%</w:t>
            </w:r>
          </w:p>
        </w:tc>
      </w:tr>
    </w:tbl>
    <w:p>
      <w:pPr>
        <w:pStyle w:val="BodyText"/>
        <w:spacing w:line="240" w:lineRule="auto" w:before="51"/>
        <w:ind w:left="1134" w:right="0"/>
        <w:jc w:val="left"/>
      </w:pPr>
      <w:r>
        <w:rPr/>
        <w:t>相关数据同比发生重大变动的主要影响因素说明</w:t>
      </w:r>
    </w:p>
    <w:p>
      <w:pPr>
        <w:pStyle w:val="BodyText"/>
        <w:spacing w:line="319" w:lineRule="auto" w:before="116"/>
        <w:ind w:right="1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经营活动现金流入小计较上年增长</w:t>
      </w:r>
      <w:r>
        <w:rPr>
          <w:rFonts w:ascii="Times New Roman" w:hAnsi="Times New Roman" w:cs="Times New Roman" w:eastAsia="Times New Roman" w:hint="default"/>
        </w:rPr>
        <w:t>80.64%</w:t>
      </w:r>
      <w:r>
        <w:rPr/>
        <w:t>，主要是销售商品提供劳务资金回笼良好，及存款利息收入增加所致。 经营活动现金流出小计较上年增长</w:t>
      </w:r>
      <w:r>
        <w:rPr>
          <w:rFonts w:ascii="Times New Roman" w:hAnsi="Times New Roman" w:cs="Times New Roman" w:eastAsia="Times New Roman" w:hint="default"/>
        </w:rPr>
        <w:t>82.95%</w:t>
      </w:r>
      <w:r>
        <w:rPr/>
        <w:t>，主要是随着业务收入的增加而递增的采购业务支出、与人工成本支出，以及日</w:t>
      </w:r>
    </w:p>
    <w:p>
      <w:pPr>
        <w:pStyle w:val="BodyText"/>
        <w:spacing w:line="316" w:lineRule="auto"/>
        <w:ind w:left="1134" w:right="5202"/>
        <w:jc w:val="left"/>
      </w:pPr>
      <w:r>
        <w:rPr/>
        <w:t>常费用支出占比增大共同影响所致。 投资活动现金流入小计较上年增长</w:t>
      </w:r>
      <w:r>
        <w:rPr>
          <w:rFonts w:ascii="Times New Roman" w:hAnsi="Times New Roman" w:cs="Times New Roman" w:eastAsia="Times New Roman" w:hint="default"/>
        </w:rPr>
        <w:t>12,271.44%</w:t>
      </w:r>
      <w:r>
        <w:rPr/>
        <w:t>，主要是理财投资收益。</w:t>
      </w:r>
    </w:p>
    <w:p>
      <w:pPr>
        <w:pStyle w:val="BodyText"/>
        <w:spacing w:line="319" w:lineRule="auto"/>
        <w:ind w:right="1137"/>
        <w:jc w:val="left"/>
      </w:pPr>
      <w:r>
        <w:rPr>
          <w:spacing w:val="-1"/>
        </w:rPr>
        <w:t>投资活动现金流出小计较上年增长</w:t>
      </w:r>
      <w:r>
        <w:rPr>
          <w:rFonts w:ascii="Times New Roman" w:hAnsi="Times New Roman" w:cs="Times New Roman" w:eastAsia="Times New Roman" w:hint="default"/>
          <w:spacing w:val="-1"/>
        </w:rPr>
        <w:t>650.32%</w:t>
      </w:r>
      <w:r>
        <w:rPr>
          <w:spacing w:val="-1"/>
        </w:rPr>
        <w:t>，主要是对联营企业的投资支出、理财投资支出及为取得子公司支付给股东的投</w:t>
      </w:r>
      <w:r>
        <w:rPr>
          <w:spacing w:val="-42"/>
        </w:rPr>
        <w:t> </w:t>
      </w:r>
      <w:r>
        <w:rPr>
          <w:spacing w:val="-42"/>
        </w:rPr>
      </w:r>
      <w:r>
        <w:rPr/>
        <w:t>资款。 筹资活动现金流出小计较上年下降</w:t>
      </w:r>
      <w:r>
        <w:rPr>
          <w:rFonts w:ascii="Times New Roman" w:hAnsi="Times New Roman" w:cs="Times New Roman" w:eastAsia="Times New Roman" w:hint="default"/>
        </w:rPr>
        <w:t>90%</w:t>
      </w:r>
      <w:r>
        <w:rPr/>
        <w:t>，主要是报告期仅子公司对少数股东的股利分配，比上年筹资支出下降</w:t>
      </w:r>
      <w:r>
        <w:rPr>
          <w:rFonts w:ascii="Times New Roman" w:hAnsi="Times New Roman" w:cs="Times New Roman" w:eastAsia="Times New Roman" w:hint="default"/>
        </w:rPr>
        <w:t>90%</w:t>
      </w:r>
      <w:r>
        <w:rPr/>
        <w:t>。 报告期内公司经营活动产生的现金净流量与本年度净利润存在重大差异的原因说明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3,958,491.36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主要是对联营企业的投资 收益及理财投资收益。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6,566,387.46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6" w:right="0"/>
              <w:jc w:val="left"/>
              <w:rPr>
                <w:rFonts w:ascii="Times New Roman" w:hAnsi="Times New Roman" w:cs="Times New Roman" w:eastAsia="Times New Roman" w:hint="default"/>
                <w:sz w:val="18"/>
                <w:szCs w:val="18"/>
              </w:rPr>
            </w:pPr>
            <w:r>
              <w:rPr>
                <w:rFonts w:ascii="Times New Roman"/>
                <w:sz w:val="18"/>
              </w:rPr>
              <w:t>10.34%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主要是对应收账款和其他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28"/>
              <w:jc w:val="left"/>
              <w:rPr>
                <w:rFonts w:ascii="宋体" w:hAnsi="宋体" w:cs="宋体" w:eastAsia="宋体" w:hint="default"/>
                <w:sz w:val="18"/>
                <w:szCs w:val="18"/>
              </w:rPr>
            </w:pPr>
            <w:r>
              <w:rPr>
                <w:rFonts w:ascii="宋体" w:hAnsi="宋体" w:cs="宋体" w:eastAsia="宋体" w:hint="default"/>
                <w:sz w:val="18"/>
                <w:szCs w:val="18"/>
              </w:rPr>
              <w:t>应收款计提的坏账准备金。</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223,159.63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主要是资产报废收入与政 府补助收入。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143,252.93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21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主要是房租合同违约支出。</w:t>
            </w:r>
          </w:p>
        </w:tc>
        <w:tc>
          <w:tcPr>
            <w:tcW w:w="23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7,237,978.49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主要是增值税退税收入。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303,161,159.4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37.68%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259,634,866.04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54.04%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-16.36%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主要是报告期进行理财投资，减少货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币资金持有比例。</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107,955,135.9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47,674,161.56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3.50%</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13,142,743.91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7,079,537.78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11,926,645.46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12,340,722.32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29,082,227.38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2,206,533.72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143,469,575.1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120,993,234.97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25.18%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-7.35%</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截止报告期末，其他货币资金因办理保函而受限的金额</w:t>
      </w:r>
      <w:r>
        <w:rPr>
          <w:rFonts w:ascii="Times New Roman" w:hAnsi="Times New Roman" w:cs="Times New Roman" w:eastAsia="Times New Roman" w:hint="default"/>
        </w:rPr>
        <w:t>2,672,444.07</w:t>
      </w:r>
      <w:r>
        <w:rPr/>
        <w:t>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122,040,100.00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group style="position:absolute;margin-left:128.119995pt;margin-top:479.499969pt;width:32.6pt;height:151.8pt;mso-position-horizontal-relative:page;mso-position-vertical-relative:page;z-index:-989440" coordorigin="2562,9590" coordsize="652,3036">
            <v:group style="position:absolute;left:2562;top:9590;width:652;height:2632" coordorigin="2562,9590" coordsize="652,2632">
              <v:shape style="position:absolute;left:2562;top:9590;width:652;height:2632" coordorigin="2562,9590" coordsize="652,2632" path="m2562,12222l3214,12222,3214,9590,2562,9590,2562,12222xe" filled="true" fillcolor="#ffffff" stroked="false">
                <v:path arrowok="t"/>
                <v:fill type="solid"/>
              </v:shape>
            </v:group>
            <v:group style="position:absolute;left:2574;top:12222;width:2;height:393" coordorigin="2574,12222" coordsize="2,393">
              <v:shape style="position:absolute;left:2574;top:12222;width:2;height:393" coordorigin="2574,12222" coordsize="0,393" path="m2574,12222l2574,12614e" filled="false" stroked="true" strokeweight="1.140pt" strokecolor="#ffffff">
                <v:path arrowok="t"/>
              </v:shape>
            </v:group>
            <v:group style="position:absolute;left:2585;top:12222;width:606;height:393" coordorigin="2585,12222" coordsize="606,393">
              <v:shape style="position:absolute;left:2585;top:12222;width:606;height:393" coordorigin="2585,12222" coordsize="606,393" path="m2585,12614l3191,12614,3191,12222,2585,12222,2585,12614xe" filled="true" fillcolor="#ffffff" stroked="false">
                <v:path arrowok="t"/>
                <v:fill type="solid"/>
              </v:shape>
            </v:group>
            <w10:wrap type="none"/>
          </v:group>
        </w:pict>
      </w: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65"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福建博 思创业 园管理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119"/>
              <w:jc w:val="both"/>
              <w:rPr>
                <w:rFonts w:ascii="宋体" w:hAnsi="宋体" w:cs="宋体" w:eastAsia="宋体" w:hint="default"/>
                <w:sz w:val="18"/>
                <w:szCs w:val="18"/>
              </w:rPr>
            </w:pPr>
            <w:r>
              <w:rPr>
                <w:rFonts w:ascii="宋体" w:hAnsi="宋体" w:cs="宋体" w:eastAsia="宋体" w:hint="default"/>
                <w:sz w:val="18"/>
                <w:szCs w:val="18"/>
              </w:rPr>
              <w:t>企业孵 化服务 和运营 工作</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1" w:right="0"/>
              <w:jc w:val="center"/>
              <w:rPr>
                <w:rFonts w:ascii="Times New Roman" w:hAnsi="Times New Roman" w:cs="Times New Roman" w:eastAsia="Times New Roman" w:hint="default"/>
                <w:sz w:val="18"/>
                <w:szCs w:val="18"/>
              </w:rPr>
            </w:pPr>
            <w:r>
              <w:rPr>
                <w:rFonts w:ascii="Times New Roman"/>
                <w:sz w:val="18"/>
              </w:rPr>
              <w:t>51.00%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福州鼎 坤创业 孵化器 管理有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3"/>
              <w:jc w:val="both"/>
              <w:rPr>
                <w:rFonts w:ascii="宋体" w:hAnsi="宋体" w:cs="宋体" w:eastAsia="宋体" w:hint="default"/>
                <w:sz w:val="18"/>
                <w:szCs w:val="18"/>
              </w:rPr>
            </w:pPr>
            <w:r>
              <w:rPr>
                <w:rFonts w:ascii="宋体" w:hAnsi="宋体" w:cs="宋体" w:eastAsia="宋体" w:hint="default"/>
                <w:sz w:val="18"/>
                <w:szCs w:val="18"/>
              </w:rPr>
              <w:t>企业孵 化服务 和运营 工作</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 </w:t>
            </w:r>
            <w:r>
              <w:rPr>
                <w:rFonts w:ascii="Times New Roman" w:hAnsi="Times New Roman" w:cs="Times New Roman" w:eastAsia="Times New Roman" w:hint="default"/>
                <w:spacing w:val="-16"/>
                <w:sz w:val="18"/>
                <w:szCs w:val="18"/>
              </w:rPr>
              <w:t>cn/</w:t>
            </w:r>
            <w:r>
              <w:rPr>
                <w:rFonts w:ascii="宋体" w:hAnsi="宋体" w:cs="宋体" w:eastAsia="宋体" w:hint="default"/>
                <w:spacing w:val="-16"/>
                <w:sz w:val="18"/>
                <w:szCs w:val="18"/>
              </w:rPr>
              <w:t>）（公</w:t>
            </w:r>
          </w:p>
          <w:p>
            <w:pPr>
              <w:pStyle w:val="TableParagraph"/>
              <w:spacing w:line="217" w:lineRule="exact"/>
              <w:ind w:left="23" w:right="0"/>
              <w:jc w:val="both"/>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6"/>
              <w:ind w:left="23" w:right="0"/>
              <w:jc w:val="both"/>
              <w:rPr>
                <w:rFonts w:ascii="Times New Roman" w:hAnsi="Times New Roman" w:cs="Times New Roman" w:eastAsia="Times New Roman" w:hint="default"/>
                <w:sz w:val="18"/>
                <w:szCs w:val="18"/>
              </w:rPr>
            </w:pPr>
            <w:r>
              <w:rPr>
                <w:rFonts w:ascii="Times New Roman"/>
                <w:sz w:val="18"/>
              </w:rPr>
              <w:t>2017-04</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28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19"/>
              <w:jc w:val="both"/>
              <w:rPr>
                <w:rFonts w:ascii="宋体" w:hAnsi="宋体" w:cs="宋体" w:eastAsia="宋体" w:hint="default"/>
                <w:sz w:val="18"/>
                <w:szCs w:val="18"/>
              </w:rPr>
            </w:pPr>
            <w:r>
              <w:rPr>
                <w:rFonts w:ascii="宋体" w:hAnsi="宋体" w:cs="宋体" w:eastAsia="宋体" w:hint="default"/>
                <w:sz w:val="18"/>
                <w:szCs w:val="18"/>
              </w:rPr>
              <w:t>福州同 力科技 开发有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 w:right="119"/>
              <w:jc w:val="both"/>
              <w:rPr>
                <w:rFonts w:ascii="宋体" w:hAnsi="宋体" w:cs="宋体" w:eastAsia="宋体" w:hint="default"/>
                <w:sz w:val="18"/>
                <w:szCs w:val="18"/>
              </w:rPr>
            </w:pPr>
            <w:r>
              <w:rPr>
                <w:rFonts w:ascii="宋体" w:hAnsi="宋体" w:cs="宋体" w:eastAsia="宋体" w:hint="default"/>
                <w:sz w:val="18"/>
                <w:szCs w:val="18"/>
              </w:rPr>
              <w:t>信息安 全和软 件开发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收购及 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1" w:right="0"/>
              <w:jc w:val="center"/>
              <w:rPr>
                <w:rFonts w:ascii="Times New Roman" w:hAnsi="Times New Roman" w:cs="Times New Roman" w:eastAsia="Times New Roman" w:hint="default"/>
                <w:sz w:val="18"/>
                <w:szCs w:val="18"/>
              </w:rPr>
            </w:pPr>
            <w:r>
              <w:rPr>
                <w:rFonts w:ascii="Times New Roman"/>
                <w:sz w:val="18"/>
              </w:rPr>
              <w:t>30.00%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张海 闽、陈 兵、林 镇勋、 刘茂林</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信息安 全和软 件开发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2,033,81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 </w:t>
            </w:r>
            <w:r>
              <w:rPr>
                <w:rFonts w:ascii="Times New Roman" w:hAnsi="Times New Roman" w:cs="Times New Roman" w:eastAsia="Times New Roman" w:hint="default"/>
                <w:spacing w:val="-16"/>
                <w:sz w:val="18"/>
                <w:szCs w:val="18"/>
              </w:rPr>
              <w:t>cn/</w:t>
            </w:r>
            <w:r>
              <w:rPr>
                <w:rFonts w:ascii="宋体" w:hAnsi="宋体" w:cs="宋体" w:eastAsia="宋体" w:hint="default"/>
                <w:spacing w:val="-16"/>
                <w:sz w:val="18"/>
                <w:szCs w:val="18"/>
              </w:rPr>
              <w:t>）（公</w:t>
            </w:r>
          </w:p>
          <w:p>
            <w:pPr>
              <w:pStyle w:val="TableParagraph"/>
              <w:spacing w:line="217" w:lineRule="exact"/>
              <w:ind w:left="23" w:right="0"/>
              <w:jc w:val="both"/>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6"/>
              <w:ind w:left="23" w:right="0"/>
              <w:jc w:val="both"/>
              <w:rPr>
                <w:rFonts w:ascii="Times New Roman" w:hAnsi="Times New Roman" w:cs="Times New Roman" w:eastAsia="Times New Roman" w:hint="default"/>
                <w:sz w:val="18"/>
                <w:szCs w:val="18"/>
              </w:rPr>
            </w:pPr>
            <w:r>
              <w:rPr>
                <w:rFonts w:ascii="Times New Roman"/>
                <w:sz w:val="18"/>
              </w:rPr>
              <w:t>2017-05</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566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内蒙古 金财信 息技术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计算机 软件开 </w:t>
            </w:r>
            <w:r>
              <w:rPr>
                <w:rFonts w:ascii="宋体" w:hAnsi="宋体" w:cs="宋体" w:eastAsia="宋体" w:hint="default"/>
                <w:spacing w:val="-21"/>
                <w:sz w:val="18"/>
                <w:szCs w:val="18"/>
              </w:rPr>
              <w:t>发、服务</w:t>
            </w:r>
            <w:r>
              <w:rPr>
                <w:rFonts w:ascii="宋体" w:hAnsi="宋体" w:cs="宋体" w:eastAsia="宋体" w:hint="default"/>
                <w:sz w:val="18"/>
                <w:szCs w:val="18"/>
              </w:rPr>
              <w:t> 及销售 计算机 </w:t>
            </w:r>
            <w:r>
              <w:rPr>
                <w:rFonts w:ascii="宋体" w:hAnsi="宋体" w:cs="宋体" w:eastAsia="宋体" w:hint="default"/>
                <w:spacing w:val="-21"/>
                <w:sz w:val="18"/>
                <w:szCs w:val="18"/>
              </w:rPr>
              <w:t>硬件、办</w:t>
            </w:r>
            <w:r>
              <w:rPr>
                <w:rFonts w:ascii="宋体" w:hAnsi="宋体" w:cs="宋体" w:eastAsia="宋体" w:hint="default"/>
                <w:sz w:val="18"/>
                <w:szCs w:val="18"/>
              </w:rPr>
              <w:t> 公用品 的销售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51" w:right="0"/>
              <w:jc w:val="center"/>
              <w:rPr>
                <w:rFonts w:ascii="Times New Roman" w:hAnsi="Times New Roman" w:cs="Times New Roman" w:eastAsia="Times New Roman" w:hint="default"/>
                <w:sz w:val="18"/>
                <w:szCs w:val="18"/>
              </w:rPr>
            </w:pPr>
            <w:r>
              <w:rPr>
                <w:rFonts w:ascii="Times New Roman"/>
                <w:sz w:val="18"/>
              </w:rPr>
              <w:t>70.00%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池澈、 张升、 航爱、 赵永 强、徐 捷、郭 长与、 孙振 宇、高 君晓、 菅伟 丽、郭 涛、张 志华、 深圳市 昕泽投 资发展 有限公</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计算机 软件开 发、服 务及销 售；计 算机硬 件、办 公用品 的销售</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3"/>
              <w:jc w:val="right"/>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7,800,41</w:t>
            </w:r>
          </w:p>
          <w:p>
            <w:pPr>
              <w:pStyle w:val="TableParagraph"/>
              <w:spacing w:line="240" w:lineRule="auto" w:before="106"/>
              <w:ind w:left="391" w:right="0"/>
              <w:jc w:val="left"/>
              <w:rPr>
                <w:rFonts w:ascii="Times New Roman" w:hAnsi="Times New Roman" w:cs="Times New Roman" w:eastAsia="Times New Roman" w:hint="default"/>
                <w:sz w:val="18"/>
                <w:szCs w:val="18"/>
              </w:rPr>
            </w:pPr>
            <w:r>
              <w:rPr>
                <w:rFonts w:ascii="Times New Roman"/>
                <w:sz w:val="18"/>
              </w:rPr>
              <w:t>6.87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www.cni nfo.com. </w:t>
            </w:r>
            <w:r>
              <w:rPr>
                <w:rFonts w:ascii="Times New Roman" w:hAnsi="Times New Roman" w:cs="Times New Roman" w:eastAsia="Times New Roman" w:hint="default"/>
                <w:spacing w:val="-16"/>
                <w:sz w:val="18"/>
                <w:szCs w:val="18"/>
              </w:rPr>
              <w:t>cn/</w:t>
            </w:r>
            <w:r>
              <w:rPr>
                <w:rFonts w:ascii="宋体" w:hAnsi="宋体" w:cs="宋体" w:eastAsia="宋体" w:hint="default"/>
                <w:spacing w:val="-16"/>
                <w:sz w:val="18"/>
                <w:szCs w:val="18"/>
              </w:rPr>
              <w:t>）（公</w:t>
            </w:r>
          </w:p>
          <w:p>
            <w:pPr>
              <w:pStyle w:val="TableParagraph"/>
              <w:spacing w:line="217" w:lineRule="exact"/>
              <w:ind w:left="23" w:right="0"/>
              <w:jc w:val="both"/>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6"/>
              <w:ind w:left="23" w:right="0"/>
              <w:jc w:val="both"/>
              <w:rPr>
                <w:rFonts w:ascii="Times New Roman" w:hAnsi="Times New Roman" w:cs="Times New Roman" w:eastAsia="Times New Roman" w:hint="default"/>
                <w:sz w:val="18"/>
                <w:szCs w:val="18"/>
              </w:rPr>
            </w:pPr>
            <w:r>
              <w:rPr>
                <w:rFonts w:ascii="Times New Roman"/>
                <w:sz w:val="18"/>
              </w:rPr>
              <w:t>2017-08</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5"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923"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司、北 京兴财 信息技</w:t>
            </w:r>
            <w:r>
              <w:rPr>
                <w:rFonts w:ascii="Times New Roman" w:hAnsi="Times New Roman" w:cs="Times New Roman" w:eastAsia="Times New Roman" w:hint="default"/>
                <w:sz w:val="18"/>
                <w:szCs w:val="18"/>
              </w:rPr>
              <w:t>- </w:t>
            </w:r>
            <w:r>
              <w:rPr>
                <w:rFonts w:ascii="宋体" w:hAnsi="宋体" w:cs="宋体" w:eastAsia="宋体" w:hint="default"/>
                <w:sz w:val="18"/>
                <w:szCs w:val="18"/>
              </w:rPr>
              <w:t>术有限 责任公 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98,100,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9,807,08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9.68</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5,485.79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10,854.32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6,564.86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5,485.79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10,854.32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6,564.86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19"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382" w:right="1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、实际募集资金金额、资金到位时间 </w:t>
            </w:r>
            <w:r>
              <w:rPr>
                <w:rFonts w:ascii="宋体" w:hAnsi="宋体" w:cs="宋体" w:eastAsia="宋体" w:hint="default"/>
                <w:spacing w:val="-2"/>
                <w:sz w:val="18"/>
                <w:szCs w:val="18"/>
              </w:rPr>
              <w:t>经中国证券监督管理委员会《关于核准福建博思软件股份有限公司首次公开发行股票的批复》（证监许可</w:t>
            </w:r>
            <w:r>
              <w:rPr>
                <w:rFonts w:ascii="Times New Roman" w:hAnsi="Times New Roman" w:cs="Times New Roman" w:eastAsia="Times New Roman" w:hint="default"/>
                <w:spacing w:val="-2"/>
                <w:sz w:val="18"/>
                <w:szCs w:val="18"/>
              </w:rPr>
              <w:t>[2016]1457</w:t>
            </w:r>
          </w:p>
          <w:p>
            <w:pPr>
              <w:pStyle w:val="TableParagraph"/>
              <w:spacing w:line="300" w:lineRule="auto" w:before="13"/>
              <w:ind w:left="22" w:right="38"/>
              <w:jc w:val="left"/>
              <w:rPr>
                <w:rFonts w:ascii="宋体" w:hAnsi="宋体" w:cs="宋体" w:eastAsia="宋体" w:hint="default"/>
                <w:sz w:val="18"/>
                <w:szCs w:val="18"/>
              </w:rPr>
            </w:pPr>
            <w:r>
              <w:rPr>
                <w:rFonts w:ascii="宋体" w:hAnsi="宋体" w:cs="宋体" w:eastAsia="宋体" w:hint="default"/>
                <w:sz w:val="18"/>
                <w:szCs w:val="18"/>
              </w:rPr>
              <w:t>号）核准，并经深圳证券交易所同意，公司向社会公开发行人民币普通股（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1,710.00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 格为每股人民币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199,728,000.00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元，扣除证券承销费及保荐费合计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元后，汇入公</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司验资专户的资金净额为人民币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180,728,000.00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元。发行新股募集资金净额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180,728,000.00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元经扣除公司自行支付的中介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机构费和其他发行费用人民币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11,810,000.00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元后，实际募集资金净额人民币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168,918,000.00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元。福建华兴会计师事务所（特</w:t>
            </w:r>
          </w:p>
          <w:p>
            <w:pPr>
              <w:pStyle w:val="TableParagraph"/>
              <w:spacing w:line="300"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殊普通合伙）已于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日对公司首次公开发行股票的资金到位情况进行了审验，出具了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闽华兴所（</w:t>
            </w:r>
            <w:r>
              <w:rPr>
                <w:rFonts w:ascii="Times New Roman" w:hAnsi="Times New Roman" w:cs="Times New Roman" w:eastAsia="Times New Roman" w:hint="default"/>
                <w:sz w:val="18"/>
                <w:szCs w:val="18"/>
              </w:rPr>
              <w:t>2016</w:t>
            </w:r>
            <w:r>
              <w:rPr>
                <w:rFonts w:ascii="宋体" w:hAnsi="宋体" w:cs="宋体" w:eastAsia="宋体" w:hint="default"/>
                <w:sz w:val="18"/>
                <w:szCs w:val="18"/>
              </w:rPr>
              <w:t>）验 字</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N-002</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0"/>
                <w:w w:val="100"/>
                <w:sz w:val="18"/>
                <w:szCs w:val="18"/>
              </w:rPr>
              <w:t>号</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《验资报告》。</w:t>
            </w:r>
          </w:p>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年度募集资金使用金额及余额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634" w:lineRule="exact"/>
        <w:ind w:left="113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2pt;height:31.75pt;mso-position-horizontal-relative:char;mso-position-vertical-relative:line" type="#_x0000_t202" filled="false" stroked="true" strokeweight=".48pt" strokecolor="#000000">
            <w10:anchorlock/>
            <v:textbox inset="0,0,0,0">
              <w:txbxContent>
                <w:p>
                  <w:pPr>
                    <w:pStyle w:val="BodyText"/>
                    <w:spacing w:line="240" w:lineRule="auto" w:before="10"/>
                    <w:ind w:left="382" w:right="0"/>
                    <w:jc w:val="left"/>
                  </w:pPr>
                  <w:r>
                    <w:rPr>
                      <w:rFonts w:ascii="Times New Roman" w:hAnsi="Times New Roman" w:cs="Times New Roman" w:eastAsia="Times New Roman" w:hint="default"/>
                    </w:rPr>
                    <w:t>2017 </w:t>
                  </w:r>
                  <w:r>
                    <w:rPr/>
                    <w:t>年度公司募集资金产生的利息收入</w:t>
                  </w:r>
                  <w:r>
                    <w:rPr>
                      <w:spacing w:val="-45"/>
                    </w:rPr>
                    <w:t> </w:t>
                  </w:r>
                  <w:r>
                    <w:rPr>
                      <w:rFonts w:ascii="Times New Roman" w:hAnsi="Times New Roman" w:cs="Times New Roman" w:eastAsia="Times New Roman" w:hint="default"/>
                    </w:rPr>
                    <w:t>1,370,352.82</w:t>
                  </w:r>
                  <w:r>
                    <w:rPr>
                      <w:rFonts w:ascii="Times New Roman" w:hAnsi="Times New Roman" w:cs="Times New Roman" w:eastAsia="Times New Roman" w:hint="default"/>
                      <w:spacing w:val="1"/>
                    </w:rPr>
                    <w:t> </w:t>
                  </w:r>
                  <w:r>
                    <w:rPr>
                      <w:spacing w:val="-4"/>
                    </w:rPr>
                    <w:t>元；公司实际使用募集资金</w:t>
                  </w:r>
                  <w:r>
                    <w:rPr>
                      <w:spacing w:val="-45"/>
                    </w:rPr>
                    <w:t> </w:t>
                  </w:r>
                  <w:r>
                    <w:rPr>
                      <w:rFonts w:ascii="Times New Roman" w:hAnsi="Times New Roman" w:cs="Times New Roman" w:eastAsia="Times New Roman" w:hint="default"/>
                    </w:rPr>
                    <w:t>54,860,131.89</w:t>
                  </w:r>
                  <w:r>
                    <w:rPr>
                      <w:rFonts w:ascii="Times New Roman" w:hAnsi="Times New Roman" w:cs="Times New Roman" w:eastAsia="Times New Roman" w:hint="default"/>
                      <w:spacing w:val="1"/>
                    </w:rPr>
                    <w:t> </w:t>
                  </w:r>
                  <w:r>
                    <w:rPr>
                      <w:spacing w:val="-13"/>
                    </w:rPr>
                    <w:t>元（含</w:t>
                  </w:r>
                  <w:r>
                    <w:rPr>
                      <w:spacing w:val="-46"/>
                    </w:rPr>
                    <w:t> </w:t>
                  </w:r>
                  <w:r>
                    <w:rPr>
                      <w:rFonts w:ascii="Times New Roman" w:hAnsi="Times New Roman" w:cs="Times New Roman" w:eastAsia="Times New Roman" w:hint="default"/>
                    </w:rPr>
                    <w:t>2,218.81 </w:t>
                  </w:r>
                  <w:r>
                    <w:rPr/>
                    <w:t>元的银</w:t>
                  </w:r>
                </w:p>
                <w:p>
                  <w:pPr>
                    <w:pStyle w:val="BodyText"/>
                    <w:spacing w:line="240" w:lineRule="auto" w:before="63"/>
                    <w:ind w:left="22" w:right="0"/>
                    <w:jc w:val="left"/>
                  </w:pPr>
                  <w:r>
                    <w:rPr/>
                    <w:t>行手续费支出</w:t>
                  </w:r>
                  <w:r>
                    <w:rPr>
                      <w:spacing w:val="-90"/>
                    </w:rPr>
                    <w:t>）</w:t>
                  </w: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1"/>
                    </w:rPr>
                    <w:t>公</w:t>
                  </w:r>
                  <w:r>
                    <w:rPr/>
                    <w:t>司募集资金专户余额为</w:t>
                  </w:r>
                  <w:r>
                    <w:rPr>
                      <w:spacing w:val="-46"/>
                    </w:rPr>
                    <w:t> </w:t>
                  </w:r>
                  <w:r>
                    <w:rPr>
                      <w:rFonts w:ascii="Times New Roman" w:hAnsi="Times New Roman" w:cs="Times New Roman" w:eastAsia="Times New Roman" w:hint="default"/>
                    </w:rPr>
                    <w:t>65,648,562.21 </w:t>
                  </w:r>
                  <w:r>
                    <w:rPr/>
                    <w:t>元。</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64" w:type="dxa"/>
        <w:tblLayout w:type="fixed"/>
        <w:tblCellMar>
          <w:top w:w="0" w:type="dxa"/>
          <w:left w:w="0" w:type="dxa"/>
          <w:bottom w:w="0" w:type="dxa"/>
          <w:right w:w="0" w:type="dxa"/>
        </w:tblCellMar>
        <w:tblLook w:val="01E0"/>
      </w:tblPr>
      <w:tblGrid>
        <w:gridCol w:w="1770"/>
        <w:gridCol w:w="779"/>
        <w:gridCol w:w="780"/>
        <w:gridCol w:w="780"/>
        <w:gridCol w:w="780"/>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、非税收入管理及公 共缴费服务平台项目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8,322.94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8,322.94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5,073.4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2,432.30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、运维服务体系建设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2,784.16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、技术研究中心建设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2,168.77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1,626.48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1,370.29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17,033.9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16,922.97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5,485.79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10,854.33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2,780.01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17,033.9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16,922.97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10,854.33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2,780.01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非税收入管理及公共缴费服务平台项目和运维服务体系建设项目在建设中未达产。</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gridSpan w:val="10"/>
            <w:tcBorders>
              <w:top w:val="single" w:sz="4" w:space="0" w:color="000000"/>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800"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800"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0" w:type="dxa"/>
            <w:gridSpan w:val="10"/>
            <w:vMerge/>
            <w:tcBorders>
              <w:left w:val="single" w:sz="9" w:space="0" w:color="D2D2D2"/>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0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1105"/>
        <w:jc w:val="right"/>
      </w:pPr>
      <w:r>
        <w:rPr/>
        <w:pict>
          <v:shape style="position:absolute;margin-left:58.200001pt;margin-top:-279.628296pt;width:479.25pt;height:591.5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35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日召开的第二届董事会第十六次会议、第二届监事会第十三次会议审议通过 </w:t>
                        </w:r>
                        <w:r>
                          <w:rPr>
                            <w:rFonts w:ascii="宋体" w:hAnsi="宋体" w:cs="宋体" w:eastAsia="宋体" w:hint="default"/>
                            <w:spacing w:val="-5"/>
                            <w:sz w:val="18"/>
                            <w:szCs w:val="18"/>
                          </w:rPr>
                          <w:t>了《关于部分募投项目变更实施方式、投资结构，调整投资进度的议案》，同意公司变更部分募投项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目实施方式、投资结构，调整投资进度，并经公司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年第三次临时股东大会审议通过。本次变更 </w:t>
                        </w:r>
                        <w:r>
                          <w:rPr>
                            <w:rFonts w:ascii="宋体" w:hAnsi="宋体" w:cs="宋体" w:eastAsia="宋体" w:hint="default"/>
                            <w:spacing w:val="-3"/>
                            <w:sz w:val="18"/>
                            <w:szCs w:val="18"/>
                          </w:rPr>
                          <w:t>后的投资结构与公司在招股说明书中已披露的有关内容的主要变化为：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、非税收入管理及公共缴费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服务平台项目：变更本项目的实施方式和投资结构，减少对软硬件的建设投入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2,864.29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万元，变更</w:t>
                        </w:r>
                      </w:p>
                      <w:p>
                        <w:pPr>
                          <w:pStyle w:val="TableParagraph"/>
                          <w:spacing w:line="240" w:lineRule="auto" w:before="9"/>
                          <w:ind w:left="22" w:right="0"/>
                          <w:jc w:val="both"/>
                          <w:rPr>
                            <w:rFonts w:ascii="宋体" w:hAnsi="宋体" w:cs="宋体" w:eastAsia="宋体" w:hint="default"/>
                            <w:sz w:val="18"/>
                            <w:szCs w:val="18"/>
                          </w:rPr>
                        </w:pPr>
                        <w:r>
                          <w:rPr>
                            <w:rFonts w:ascii="宋体" w:hAnsi="宋体" w:cs="宋体" w:eastAsia="宋体" w:hint="default"/>
                            <w:sz w:val="18"/>
                            <w:szCs w:val="18"/>
                          </w:rPr>
                          <w:t>为实施费用的投入，变更实施方式后本项目的投资总额不变计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8,322.94</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、运维服务体系建设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项目：变更本项目的实施方式和投资结构，减少对软硬件场地的建设投入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目实施费用的投入，变更实施方式后本项目的投资总额不变计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4,431.26</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、技术研究中心建设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项目：变更本项目的实施方式和投资结构，减少对软硬件的采购投入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564.80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万元，增加对研发中心</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建设的投入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453.87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万元，变更实施方式后本项目的投资总额减少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110.93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万元，总投资额计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2,168.77</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日，公司以自筹资金预先投入募集资金投资项目款项合计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43,623,104.00</w:t>
                        </w:r>
                        <w:r>
                          <w:rPr>
                            <w:rFonts w:ascii="Times New Roman" w:hAnsi="Times New Roman" w:cs="Times New Roman" w:eastAsia="Times New Roman" w:hint="default"/>
                            <w:spacing w:val="34"/>
                            <w:sz w:val="18"/>
                            <w:szCs w:val="18"/>
                          </w:rPr>
                          <w:t> </w:t>
                        </w:r>
                        <w:r>
                          <w:rPr>
                            <w:rFonts w:ascii="宋体" w:hAnsi="宋体" w:cs="宋体" w:eastAsia="宋体" w:hint="default"/>
                            <w:spacing w:val="-15"/>
                            <w:sz w:val="18"/>
                            <w:szCs w:val="18"/>
                          </w:rPr>
                          <w:t>元。其</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中非税收入管理及公共缴费服务平台项目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20,629,295.85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元；运维服务体系建设项目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14,825,754.20</w:t>
                        </w:r>
                      </w:p>
                      <w:p>
                        <w:pPr>
                          <w:pStyle w:val="TableParagraph"/>
                          <w:spacing w:line="309" w:lineRule="auto" w:before="63"/>
                          <w:ind w:left="22" w:right="25"/>
                          <w:jc w:val="both"/>
                          <w:rPr>
                            <w:rFonts w:ascii="宋体" w:hAnsi="宋体" w:cs="宋体" w:eastAsia="宋体" w:hint="default"/>
                            <w:sz w:val="18"/>
                            <w:szCs w:val="18"/>
                          </w:rPr>
                        </w:pPr>
                        <w:r>
                          <w:rPr>
                            <w:rFonts w:ascii="宋体" w:hAnsi="宋体" w:cs="宋体" w:eastAsia="宋体" w:hint="default"/>
                            <w:sz w:val="18"/>
                            <w:szCs w:val="18"/>
                          </w:rPr>
                          <w:t>元；技术研究中心建设项目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8,168,053.94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元。公司第二届第十次董事会、第二届第七次监事会审议 并通过了以募集资金置换预先投入的自筹资金的议案；独立董事发表了独立意见；福建华兴会计师 </w:t>
                        </w:r>
                        <w:r>
                          <w:rPr>
                            <w:rFonts w:ascii="宋体" w:hAnsi="宋体" w:cs="宋体" w:eastAsia="宋体" w:hint="default"/>
                            <w:spacing w:val="-7"/>
                            <w:sz w:val="18"/>
                            <w:szCs w:val="18"/>
                          </w:rPr>
                          <w:t>事务所出具了《鉴证报告》；国金证券出具了《核查意见》。公司本期使用募集资金置换已投入资金</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日的第二届董事会第十次会议、第二届监事会第七次会议通过《关于使用闲</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置募集资金进行现金管理的议案</w:t>
                        </w:r>
                        <w:r>
                          <w:rPr>
                            <w:rFonts w:ascii="宋体" w:hAnsi="宋体" w:cs="宋体" w:eastAsia="宋体" w:hint="default"/>
                            <w:spacing w:val="-90"/>
                            <w:sz w:val="18"/>
                            <w:szCs w:val="18"/>
                          </w:rPr>
                          <w:t>》</w:t>
                        </w:r>
                        <w:r>
                          <w:rPr>
                            <w:rFonts w:ascii="宋体" w:hAnsi="宋体" w:cs="宋体" w:eastAsia="宋体" w:hint="default"/>
                            <w:sz w:val="18"/>
                            <w:szCs w:val="18"/>
                          </w:rPr>
                          <w:t>，同意使用不超过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万元的闲置募集资金购买投资期限不</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个月的银行保本型产品（包括但不限于协定存款、结构性存款、有保本约定的投资产品等）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报告期内，公司使用闲置募集资金购买银行保本型产品：①招商银行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CFZ00241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结构性存款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3,800.00 </w:t>
                        </w:r>
                        <w:r>
                          <w:rPr>
                            <w:rFonts w:ascii="宋体" w:hAnsi="宋体" w:cs="宋体" w:eastAsia="宋体" w:hint="default"/>
                            <w:spacing w:val="-4"/>
                            <w:w w:val="99"/>
                            <w:sz w:val="18"/>
                            <w:szCs w:val="18"/>
                          </w:rPr>
                          <w:t>万元（</w:t>
                        </w:r>
                        <w:r>
                          <w:rPr>
                            <w:rFonts w:ascii="Times New Roman" w:hAnsi="Times New Roman" w:cs="Times New Roman" w:eastAsia="Times New Roman" w:hint="default"/>
                            <w:spacing w:val="-4"/>
                            <w:w w:val="99"/>
                            <w:sz w:val="18"/>
                            <w:szCs w:val="18"/>
                          </w:rPr>
                          <w:t>2017.5.12-2017.8.11</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CFZ00303</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结构性存款</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2017.8.24-2017.11.24</w:t>
                        </w:r>
                        <w:r>
                          <w:rPr>
                            <w:rFonts w:ascii="宋体" w:hAnsi="宋体" w:cs="宋体" w:eastAsia="宋体" w:hint="default"/>
                            <w:spacing w:val="-1"/>
                            <w:sz w:val="18"/>
                            <w:szCs w:val="18"/>
                          </w:rPr>
                          <w:t>）②兴业银</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行金融结构性存款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2017.5.</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2-2017.8.10</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金融结构性存款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2017.8.24-2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1.22</w:t>
                        </w:r>
                        <w:r>
                          <w:rPr>
                            <w:rFonts w:ascii="宋体" w:hAnsi="宋体" w:cs="宋体" w:eastAsia="宋体" w:hint="default"/>
                            <w:sz w:val="18"/>
                            <w:szCs w:val="18"/>
                          </w:rPr>
                          <w:t>）③</w:t>
                        </w:r>
                        <w:r>
                          <w:rPr>
                            <w:rFonts w:ascii="宋体" w:hAnsi="宋体" w:cs="宋体" w:eastAsia="宋体" w:hint="default"/>
                            <w:spacing w:val="-2"/>
                            <w:sz w:val="18"/>
                            <w:szCs w:val="18"/>
                          </w:rPr>
                          <w:t>中</w:t>
                        </w:r>
                        <w:r>
                          <w:rPr>
                            <w:rFonts w:ascii="宋体" w:hAnsi="宋体" w:cs="宋体" w:eastAsia="宋体" w:hint="default"/>
                            <w:sz w:val="18"/>
                            <w:szCs w:val="18"/>
                          </w:rPr>
                          <w:t>国民生银行人民币结构性存款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2017.5.12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2017.8.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人民币结构性存款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2017.8.24-2017.11.24</w:t>
                        </w:r>
                        <w:r>
                          <w:rPr>
                            <w:rFonts w:ascii="宋体" w:hAnsi="宋体" w:cs="宋体" w:eastAsia="宋体" w:hint="default"/>
                            <w:sz w:val="18"/>
                            <w:szCs w:val="18"/>
                          </w:rPr>
                          <w:t>）④兴业银行企业金融结构性存款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6"/>
                            <w:sz w:val="18"/>
                            <w:szCs w:val="18"/>
                          </w:rPr>
                          <w:t>元</w:t>
                        </w:r>
                        <w:r>
                          <w:rPr>
                            <w:rFonts w:ascii="宋体" w:hAnsi="宋体" w:cs="宋体" w:eastAsia="宋体" w:hint="default"/>
                            <w:sz w:val="18"/>
                            <w:szCs w:val="18"/>
                          </w:rPr>
                          <w:t>（</w:t>
                        </w:r>
                        <w:r>
                          <w:rPr>
                            <w:rFonts w:ascii="Times New Roman" w:hAnsi="Times New Roman" w:cs="Times New Roman" w:eastAsia="Times New Roman" w:hint="default"/>
                            <w:sz w:val="18"/>
                            <w:szCs w:val="18"/>
                          </w:rPr>
                          <w:t>2017.08.24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2017.09.23</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公</w:t>
                        </w:r>
                        <w:r>
                          <w:rPr>
                            <w:rFonts w:ascii="宋体" w:hAnsi="宋体" w:cs="宋体" w:eastAsia="宋体" w:hint="default"/>
                            <w:sz w:val="18"/>
                            <w:szCs w:val="18"/>
                          </w:rPr>
                          <w:t>司根据前述决议用于现金管理的闲置募集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公司募集资金在存放、使用、管理及披露方面不存在违规情形，公司已披露的相关信息不存在未及 时、真实、准确、完整披露的情况。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0" w:right="110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r>
        <w:rPr/>
        <w:pict>
          <v:shape style="position:absolute;margin-left:197.537003pt;margin-top:428.919983pt;width:75.95pt;height:62.4pt;mso-position-horizontal-relative:page;mso-position-vertical-relative:page;z-index:-989368" type="#_x0000_t202" filled="false" stroked="false">
            <v:textbox inset="0,0,0,0">
              <w:txbxContent>
                <w:p>
                  <w:pPr>
                    <w:pStyle w:val="BodyText"/>
                    <w:spacing w:line="205" w:lineRule="exact"/>
                    <w:ind w:left="0" w:right="0"/>
                    <w:jc w:val="left"/>
                  </w:pPr>
                  <w:r>
                    <w:rPr/>
                    <w:t>服务、</w:t>
                  </w:r>
                </w:p>
              </w:txbxContent>
            </v:textbox>
            <w10:wrap type="none"/>
          </v:shape>
        </w:pict>
      </w:r>
      <w:r>
        <w:rPr/>
        <w:pict>
          <v:group style="position:absolute;margin-left:221.720001pt;margin-top:428.919983pt;width:51.75pt;height:62.4pt;mso-position-horizontal-relative:page;mso-position-vertical-relative:page;z-index:-989344" coordorigin="4434,8578" coordsize="1035,1248">
            <v:shape style="position:absolute;left:4434;top:8578;width:1035;height:1248" coordorigin="4434,8578" coordsize="1035,1248" path="m4434,9826l5469,9826,5469,8578,4434,8578,4434,9826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福建博思电 子政务科技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计算机软 件、硬件、 通信及电子 产品的研 究、开发、 销售、 培训、技术 转让、技术 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43"/>
              <w:jc w:val="center"/>
              <w:rPr>
                <w:rFonts w:ascii="Times New Roman" w:hAnsi="Times New Roman" w:cs="Times New Roman" w:eastAsia="Times New Roman" w:hint="default"/>
                <w:sz w:val="18"/>
                <w:szCs w:val="18"/>
              </w:rPr>
            </w:pPr>
            <w:r>
              <w:rPr>
                <w:rFonts w:ascii="Times New Roman"/>
                <w:sz w:val="18"/>
              </w:rPr>
              <w:t>6,000,000.00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33,972,516.4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30,228,184.5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23,190,351.4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11,524,930.8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10,354,782.9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19"/>
              <w:jc w:val="both"/>
              <w:rPr>
                <w:rFonts w:ascii="宋体" w:hAnsi="宋体" w:cs="宋体" w:eastAsia="宋体" w:hint="default"/>
                <w:sz w:val="18"/>
                <w:szCs w:val="18"/>
              </w:rPr>
            </w:pPr>
            <w:r>
              <w:rPr>
                <w:rFonts w:ascii="宋体" w:hAnsi="宋体" w:cs="宋体" w:eastAsia="宋体" w:hint="default"/>
                <w:sz w:val="18"/>
                <w:szCs w:val="18"/>
              </w:rPr>
              <w:t>内蒙古金财 信息技术有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计算机软件 开发、服务 及销售；计 算机硬件、 办公用品的 </w:t>
            </w:r>
            <w:r>
              <w:rPr>
                <w:rFonts w:ascii="宋体" w:hAnsi="宋体" w:cs="宋体" w:eastAsia="宋体" w:hint="default"/>
                <w:spacing w:val="-16"/>
                <w:sz w:val="18"/>
                <w:szCs w:val="18"/>
              </w:rPr>
              <w:t>销售。（依法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w:t>
            </w:r>
            <w:r>
              <w:rPr>
                <w:rFonts w:ascii="宋体" w:hAnsi="宋体" w:cs="宋体" w:eastAsia="宋体" w:hint="default"/>
                <w:spacing w:val="-15"/>
                <w:sz w:val="18"/>
                <w:szCs w:val="18"/>
              </w:rPr>
              <w:t>经营活动。）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94,972,833.3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52,817,922.8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39,455,825.7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10,524,301.1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7,800,416.87</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9"/>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bl>
    <w:p>
      <w:pPr>
        <w:spacing w:after="0" w:line="240" w:lineRule="auto"/>
        <w:jc w:val="righ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113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、行业发展情况 </w:t>
      </w:r>
      <w:r>
        <w:rPr>
          <w:spacing w:val="-6"/>
        </w:rPr>
        <w:t>根据《国民经济行业分类》，公司属于软件和信息技术服务业。国家工信部《软件和信息技术服务业发展规划（</w:t>
      </w:r>
      <w:r>
        <w:rPr>
          <w:rFonts w:ascii="Times New Roman" w:hAnsi="Times New Roman" w:cs="Times New Roman" w:eastAsia="Times New Roman" w:hint="default"/>
          <w:spacing w:val="-6"/>
        </w:rPr>
        <w:t>2016-2020</w:t>
      </w:r>
    </w:p>
    <w:p>
      <w:pPr>
        <w:pStyle w:val="BodyText"/>
        <w:spacing w:line="300" w:lineRule="auto" w:before="13"/>
        <w:ind w:right="1129"/>
        <w:jc w:val="both"/>
      </w:pPr>
      <w:r>
        <w:rPr/>
        <w:t>年）》提出，到</w:t>
      </w:r>
      <w:r>
        <w:rPr>
          <w:rFonts w:ascii="Times New Roman" w:hAnsi="Times New Roman" w:cs="Times New Roman" w:eastAsia="Times New Roman" w:hint="default"/>
        </w:rPr>
        <w:t>2020</w:t>
      </w:r>
      <w:r>
        <w:rPr/>
        <w:t>年，软件和信息技术服务业业务收入突破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t>以上。信息安全产品收入达到</w:t>
      </w:r>
      <w:r>
        <w:rPr>
          <w:rFonts w:ascii="Times New Roman" w:hAnsi="Times New Roman" w:cs="Times New Roman" w:eastAsia="Times New Roman" w:hint="default"/>
        </w:rPr>
        <w:t>2000</w:t>
      </w:r>
      <w:r>
        <w:rPr/>
        <w:t>亿</w:t>
      </w:r>
      <w:r>
        <w:rPr>
          <w:spacing w:val="-56"/>
        </w:rPr>
        <w:t> </w:t>
      </w:r>
      <w:r>
        <w:rPr/>
        <w:t>元，年均增长</w:t>
      </w:r>
      <w:r>
        <w:rPr>
          <w:rFonts w:ascii="Times New Roman" w:hAnsi="Times New Roman" w:cs="Times New Roman" w:eastAsia="Times New Roman" w:hint="default"/>
        </w:rPr>
        <w:t>20%</w:t>
      </w:r>
      <w:r>
        <w:rPr/>
        <w:t>以上。软件出口超过</w:t>
      </w:r>
      <w:r>
        <w:rPr>
          <w:rFonts w:ascii="Times New Roman" w:hAnsi="Times New Roman" w:cs="Times New Roman" w:eastAsia="Times New Roman" w:hint="default"/>
        </w:rPr>
        <w:t>680</w:t>
      </w:r>
      <w:r>
        <w:rPr/>
        <w:t>亿美元。软件从业人员达到</w:t>
      </w:r>
      <w:r>
        <w:rPr>
          <w:rFonts w:ascii="Times New Roman" w:hAnsi="Times New Roman" w:cs="Times New Roman" w:eastAsia="Times New Roman" w:hint="default"/>
        </w:rPr>
        <w:t>900</w:t>
      </w:r>
      <w:r>
        <w:rPr/>
        <w:t>万人。在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时期，以数据为驱动的</w:t>
      </w:r>
      <w:r>
        <w:rPr>
          <w:rFonts w:ascii="Times New Roman" w:hAnsi="Times New Roman" w:cs="Times New Roman" w:eastAsia="Times New Roman" w:hint="default"/>
        </w:rPr>
        <w:t>“</w:t>
      </w:r>
      <w:r>
        <w:rPr/>
        <w:t>软件定</w:t>
      </w:r>
      <w:r>
        <w:rPr>
          <w:spacing w:val="-31"/>
        </w:rPr>
        <w:t> </w:t>
      </w:r>
      <w:r>
        <w:rPr>
          <w:spacing w:val="-31"/>
        </w:rPr>
      </w:r>
      <w:r>
        <w:rPr/>
        <w:t>义</w:t>
      </w:r>
      <w:r>
        <w:rPr>
          <w:rFonts w:ascii="Times New Roman" w:hAnsi="Times New Roman" w:cs="Times New Roman" w:eastAsia="Times New Roman" w:hint="default"/>
        </w:rPr>
        <w:t>”</w:t>
      </w:r>
      <w:r>
        <w:rPr/>
        <w:t>成为软件和信息技术服务业发展的突出特征。软件和信息技术服务业加快向网络化、平台化、服务化、智能化、生态化</w:t>
      </w:r>
      <w:r>
        <w:rPr>
          <w:spacing w:val="-77"/>
        </w:rPr>
        <w:t> </w:t>
      </w:r>
      <w:r>
        <w:rPr>
          <w:spacing w:val="-77"/>
        </w:rPr>
      </w:r>
      <w:r>
        <w:rPr/>
        <w:t>演进。</w:t>
      </w:r>
    </w:p>
    <w:p>
      <w:pPr>
        <w:pStyle w:val="BodyText"/>
        <w:spacing w:line="300" w:lineRule="auto" w:before="31"/>
        <w:ind w:right="0" w:firstLine="360"/>
        <w:jc w:val="left"/>
      </w:pPr>
      <w:r>
        <w:rPr>
          <w:spacing w:val="-4"/>
        </w:rPr>
        <w:t>根据国家工信部发布的《</w:t>
      </w:r>
      <w:r>
        <w:rPr>
          <w:rFonts w:ascii="Times New Roman" w:hAnsi="Times New Roman" w:cs="Times New Roman" w:eastAsia="Times New Roman" w:hint="default"/>
          <w:spacing w:val="-4"/>
        </w:rPr>
        <w:t>2017</w:t>
      </w:r>
      <w:r>
        <w:rPr>
          <w:spacing w:val="-4"/>
        </w:rPr>
        <w:t>年软件业经济运行情况》，</w:t>
      </w:r>
      <w:r>
        <w:rPr>
          <w:rFonts w:ascii="Times New Roman" w:hAnsi="Times New Roman" w:cs="Times New Roman" w:eastAsia="Times New Roman" w:hint="default"/>
          <w:spacing w:val="-4"/>
        </w:rPr>
        <w:t>2017</w:t>
      </w:r>
      <w:r>
        <w:rPr>
          <w:spacing w:val="-4"/>
        </w:rPr>
        <w:t>年我国软件和信息技术服务业继续呈现稳中向好运行态势，</w:t>
      </w:r>
      <w:r>
        <w:rPr/>
        <w:t> </w:t>
      </w:r>
      <w:r>
        <w:rPr>
          <w:spacing w:val="-2"/>
        </w:rPr>
        <w:t>收入和效益同步加快增长，出口有所恢复，吸纳就业人数平稳增加，创新能力不断提升。</w:t>
      </w:r>
      <w:r>
        <w:rPr>
          <w:rFonts w:ascii="Times New Roman" w:hAnsi="Times New Roman" w:cs="Times New Roman" w:eastAsia="Times New Roman" w:hint="default"/>
          <w:spacing w:val="-2"/>
        </w:rPr>
        <w:t>2017</w:t>
      </w:r>
      <w:r>
        <w:rPr>
          <w:spacing w:val="-2"/>
        </w:rPr>
        <w:t>年，全国软件和信息技术服务</w:t>
      </w:r>
      <w:r>
        <w:rPr>
          <w:spacing w:val="-62"/>
        </w:rPr>
        <w:t> </w:t>
      </w:r>
      <w:r>
        <w:rPr>
          <w:spacing w:val="-62"/>
        </w:rPr>
      </w:r>
      <w:r>
        <w:rPr/>
        <w:t>业完成软件业务收入</w:t>
      </w:r>
      <w:r>
        <w:rPr>
          <w:rFonts w:ascii="Times New Roman" w:hAnsi="Times New Roman" w:cs="Times New Roman" w:eastAsia="Times New Roman" w:hint="default"/>
        </w:rPr>
        <w:t>5.5</w:t>
      </w:r>
      <w:r>
        <w:rPr/>
        <w:t>万亿元，比上年增长</w:t>
      </w:r>
      <w:r>
        <w:rPr>
          <w:rFonts w:ascii="Times New Roman" w:hAnsi="Times New Roman" w:cs="Times New Roman" w:eastAsia="Times New Roman" w:hint="default"/>
        </w:rPr>
        <w:t>13.9%</w:t>
      </w:r>
      <w:r>
        <w:rPr/>
        <w:t>。</w:t>
      </w:r>
    </w:p>
    <w:p>
      <w:pPr>
        <w:pStyle w:val="BodyText"/>
        <w:spacing w:line="302" w:lineRule="auto" w:before="13"/>
        <w:ind w:right="1027" w:firstLine="360"/>
        <w:jc w:val="left"/>
      </w:pPr>
      <w:r>
        <w:rPr/>
        <w:t>在公司从事的财政信息化领域，首先，财政电子票据管理改革进度逐步加快。</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月，财政部印发《关于稳步推进 </w:t>
      </w:r>
      <w:r>
        <w:rPr>
          <w:spacing w:val="-3"/>
        </w:rPr>
        <w:t>财政电子票据管理改革的试点方案的通知》（财综〔</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32</w:t>
      </w:r>
      <w:r>
        <w:rPr>
          <w:spacing w:val="-3"/>
        </w:rPr>
        <w:t>号），指出为适应加快现代财政制度改革和信息化发展的需要，</w:t>
      </w:r>
      <w:r>
        <w:rPr/>
        <w:t> </w:t>
      </w:r>
      <w:r>
        <w:rPr>
          <w:spacing w:val="-2"/>
        </w:rPr>
        <w:t>充分运用互联网、移动智能等信息技术手段，推广运用财政电子票据，推进财政电子票据管理改革，并选择了部分省份及单</w:t>
      </w:r>
      <w:r>
        <w:rPr>
          <w:spacing w:val="-66"/>
        </w:rPr>
        <w:t> </w:t>
      </w:r>
      <w:r>
        <w:rPr>
          <w:spacing w:val="-66"/>
        </w:rPr>
      </w:r>
      <w:r>
        <w:rPr>
          <w:spacing w:val="-9"/>
        </w:rPr>
        <w:t>位进行了首批试点。</w:t>
      </w:r>
      <w:r>
        <w:rPr>
          <w:rFonts w:ascii="Times New Roman" w:hAnsi="Times New Roman" w:cs="Times New Roman" w:eastAsia="Times New Roman" w:hint="default"/>
          <w:spacing w:val="-9"/>
        </w:rPr>
        <w:t>2017</w:t>
      </w:r>
      <w:r>
        <w:rPr>
          <w:spacing w:val="-9"/>
        </w:rPr>
        <w:t>年</w:t>
      </w:r>
      <w:r>
        <w:rPr>
          <w:rFonts w:ascii="Times New Roman" w:hAnsi="Times New Roman" w:cs="Times New Roman" w:eastAsia="Times New Roman" w:hint="default"/>
          <w:spacing w:val="-9"/>
        </w:rPr>
        <w:t>11</w:t>
      </w:r>
      <w:r>
        <w:rPr>
          <w:spacing w:val="-9"/>
        </w:rPr>
        <w:t>月，财政部再次印发《关于做好财政电子票据管理改革第二批试点有关工作的通知》（财库〔</w:t>
      </w:r>
      <w:r>
        <w:rPr>
          <w:rFonts w:ascii="Times New Roman" w:hAnsi="Times New Roman" w:cs="Times New Roman" w:eastAsia="Times New Roman" w:hint="default"/>
          <w:spacing w:val="-9"/>
        </w:rPr>
        <w:t>2017</w:t>
      </w:r>
      <w:r>
        <w:rPr>
          <w:spacing w:val="-9"/>
        </w:rPr>
        <w:t>〕</w:t>
      </w:r>
      <w:r>
        <w:rPr>
          <w:spacing w:val="-66"/>
        </w:rPr>
        <w:t> </w:t>
      </w:r>
      <w:r>
        <w:rPr>
          <w:rFonts w:ascii="Times New Roman" w:hAnsi="Times New Roman" w:cs="Times New Roman" w:eastAsia="Times New Roman" w:hint="default"/>
          <w:spacing w:val="-2"/>
        </w:rPr>
        <w:t>66</w:t>
      </w:r>
      <w:r>
        <w:rPr>
          <w:spacing w:val="-2"/>
        </w:rPr>
        <w:t>号），进一步扩大了试点地区及单位。财政电子票据管理改革，全面提高财政票据社会需求便捷度，提升财政票据监管水</w:t>
      </w:r>
      <w:r>
        <w:rPr>
          <w:spacing w:val="-64"/>
        </w:rPr>
        <w:t> </w:t>
      </w:r>
      <w:r>
        <w:rPr>
          <w:spacing w:val="-64"/>
        </w:rPr>
      </w:r>
      <w:r>
        <w:rPr/>
        <w:t>平和效率。其次，非税收入收缴电子化管理推进进度加快。</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月，财政部印发《关于加快推进地方政府非税收入收缴</w:t>
      </w:r>
      <w:r>
        <w:rPr>
          <w:spacing w:val="-82"/>
        </w:rPr>
        <w:t> </w:t>
      </w:r>
      <w:r>
        <w:rPr>
          <w:spacing w:val="-82"/>
        </w:rPr>
      </w:r>
      <w:r>
        <w:rPr/>
        <w:t>电子化管理工作的通知》（财库〔</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号），要求</w:t>
      </w:r>
      <w:r>
        <w:rPr>
          <w:color w:val="333333"/>
        </w:rPr>
        <w:t>各级财政部门加强组织领导，精心部署安排，加快推进收缴电子化管</w:t>
      </w:r>
      <w:r>
        <w:rPr>
          <w:color w:val="333333"/>
          <w:spacing w:val="-83"/>
        </w:rPr>
        <w:t> </w:t>
      </w:r>
      <w:r>
        <w:rPr>
          <w:color w:val="333333"/>
          <w:spacing w:val="-83"/>
        </w:rPr>
      </w:r>
      <w:r>
        <w:rPr>
          <w:color w:val="333333"/>
        </w:rPr>
        <w:t>理工作，争取在</w:t>
      </w:r>
      <w:r>
        <w:rPr>
          <w:rFonts w:ascii="Times New Roman" w:hAnsi="Times New Roman" w:cs="Times New Roman" w:eastAsia="Times New Roman" w:hint="default"/>
          <w:color w:val="333333"/>
        </w:rPr>
        <w:t>“</w:t>
      </w:r>
      <w:r>
        <w:rPr>
          <w:color w:val="333333"/>
        </w:rPr>
        <w:t>十三五</w:t>
      </w:r>
      <w:r>
        <w:rPr>
          <w:rFonts w:ascii="Times New Roman" w:hAnsi="Times New Roman" w:cs="Times New Roman" w:eastAsia="Times New Roman" w:hint="default"/>
          <w:color w:val="333333"/>
        </w:rPr>
        <w:t>”</w:t>
      </w:r>
      <w:r>
        <w:rPr>
          <w:color w:val="333333"/>
        </w:rPr>
        <w:t>期间全面实现政府非税收入收缴电子化管理。</w:t>
      </w:r>
      <w:r>
        <w:rPr/>
      </w:r>
    </w:p>
    <w:p>
      <w:pPr>
        <w:pStyle w:val="BodyText"/>
        <w:spacing w:line="300" w:lineRule="auto" w:before="11"/>
        <w:ind w:left="1494" w:right="0"/>
        <w:jc w:val="left"/>
      </w:pPr>
      <w:r>
        <w:rPr>
          <w:rFonts w:ascii="Times New Roman" w:hAnsi="Times New Roman" w:cs="Times New Roman" w:eastAsia="Times New Roman" w:hint="default"/>
        </w:rPr>
        <w:t>2</w:t>
      </w:r>
      <w:r>
        <w:rPr/>
        <w:t>、公司发展战略 </w:t>
      </w:r>
      <w:r>
        <w:rPr>
          <w:spacing w:val="-2"/>
        </w:rPr>
        <w:t>公司现阶段的总体战略是：秉承</w:t>
      </w:r>
      <w:r>
        <w:rPr>
          <w:rFonts w:ascii="Times New Roman" w:hAnsi="Times New Roman" w:cs="Times New Roman" w:eastAsia="Times New Roman" w:hint="default"/>
          <w:spacing w:val="-2"/>
        </w:rPr>
        <w:t>“</w:t>
      </w:r>
      <w:r>
        <w:rPr>
          <w:spacing w:val="-2"/>
        </w:rPr>
        <w:t>专注科技与创新，更好服务于社会公众</w:t>
      </w:r>
      <w:r>
        <w:rPr>
          <w:rFonts w:ascii="Times New Roman" w:hAnsi="Times New Roman" w:cs="Times New Roman" w:eastAsia="Times New Roman" w:hint="default"/>
          <w:spacing w:val="-2"/>
        </w:rPr>
        <w:t>”</w:t>
      </w:r>
      <w:r>
        <w:rPr>
          <w:spacing w:val="-2"/>
        </w:rPr>
        <w:t>的使命，专注于财政信息化领域，并扩展其他</w:t>
      </w:r>
    </w:p>
    <w:p>
      <w:pPr>
        <w:pStyle w:val="BodyText"/>
        <w:spacing w:line="300" w:lineRule="auto" w:before="13"/>
        <w:ind w:right="1132"/>
        <w:jc w:val="both"/>
      </w:pPr>
      <w:r>
        <w:rPr/>
        <w:t>政务服务领域、行业市场，同时紧紧把握当今技术趋势，不断向互联网、大数据应用和服务转型，成为全国领先的政府</w:t>
      </w:r>
      <w:r>
        <w:rPr>
          <w:rFonts w:ascii="Times New Roman" w:hAnsi="Times New Roman" w:cs="Times New Roman" w:eastAsia="Times New Roman" w:hint="default"/>
        </w:rPr>
        <w:t>+</w:t>
      </w:r>
      <w:r>
        <w:rPr/>
        <w:t>互 联网服务提供商，同时大力布局财政电子票据、在线缴费、政府采购、智慧城市等业务，实现公司业务从</w:t>
      </w:r>
      <w:r>
        <w:rPr>
          <w:rFonts w:ascii="Times New Roman" w:hAnsi="Times New Roman" w:cs="Times New Roman" w:eastAsia="Times New Roman" w:hint="default"/>
        </w:rPr>
        <w:t>G</w:t>
      </w:r>
      <w:r>
        <w:rPr/>
        <w:t>端向</w:t>
      </w:r>
      <w:r>
        <w:rPr>
          <w:rFonts w:ascii="Times New Roman" w:hAnsi="Times New Roman" w:cs="Times New Roman" w:eastAsia="Times New Roman" w:hint="default"/>
        </w:rPr>
        <w:t>B</w:t>
      </w:r>
      <w:r>
        <w:rPr/>
        <w:t>端、</w:t>
      </w:r>
      <w:r>
        <w:rPr>
          <w:rFonts w:ascii="Times New Roman" w:hAnsi="Times New Roman" w:cs="Times New Roman" w:eastAsia="Times New Roman" w:hint="default"/>
        </w:rPr>
        <w:t>C</w:t>
      </w:r>
      <w:r>
        <w:rPr/>
        <w:t>端</w:t>
      </w:r>
      <w:r>
        <w:rPr>
          <w:spacing w:val="-11"/>
        </w:rPr>
        <w:t> </w:t>
      </w:r>
      <w:r>
        <w:rPr/>
        <w:t>拓展。</w:t>
      </w:r>
    </w:p>
    <w:p>
      <w:pPr>
        <w:pStyle w:val="BodyText"/>
        <w:spacing w:line="240" w:lineRule="auto" w:before="31"/>
        <w:ind w:left="149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年公司经营计划</w:t>
      </w:r>
    </w:p>
    <w:p>
      <w:pPr>
        <w:pStyle w:val="BodyText"/>
        <w:spacing w:line="240" w:lineRule="auto" w:before="63"/>
        <w:ind w:left="1494" w:right="0"/>
        <w:jc w:val="left"/>
      </w:pPr>
      <w:r>
        <w:rPr>
          <w:rFonts w:ascii="Times New Roman" w:hAnsi="Times New Roman" w:cs="Times New Roman" w:eastAsia="Times New Roman" w:hint="default"/>
        </w:rPr>
        <w:t>2018</w:t>
      </w:r>
      <w:r>
        <w:rPr/>
        <w:t>年，公司将围绕上述发展战略，继续以客户为中心，以研发为驱动，以人才为根本，开展主要经营管理工作：</w:t>
      </w:r>
    </w:p>
    <w:p>
      <w:pPr>
        <w:pStyle w:val="BodyText"/>
        <w:spacing w:line="240" w:lineRule="auto" w:before="63"/>
        <w:ind w:left="1493" w:right="0"/>
        <w:jc w:val="left"/>
      </w:pPr>
      <w:r>
        <w:rPr/>
        <w:t>（</w:t>
      </w:r>
      <w:r>
        <w:rPr>
          <w:rFonts w:ascii="Times New Roman" w:hAnsi="Times New Roman" w:cs="Times New Roman" w:eastAsia="Times New Roman" w:hint="default"/>
        </w:rPr>
        <w:t>1</w:t>
      </w:r>
      <w:r>
        <w:rPr/>
        <w:t>）业务拓展</w:t>
      </w:r>
    </w:p>
    <w:p>
      <w:pPr>
        <w:pStyle w:val="BodyText"/>
        <w:spacing w:line="314" w:lineRule="auto" w:before="63"/>
        <w:ind w:right="0" w:firstLine="360"/>
        <w:jc w:val="left"/>
      </w:pPr>
      <w:r>
        <w:rPr>
          <w:rFonts w:ascii="Times New Roman" w:hAnsi="Times New Roman" w:cs="Times New Roman" w:eastAsia="Times New Roman" w:hint="default"/>
        </w:rPr>
        <w:t>2018</w:t>
      </w:r>
      <w:r>
        <w:rPr/>
        <w:t>年，公司将持续专注于财政信息化领域，并扩展其他政务服务领域。首先，公司将借助互联网</w:t>
      </w:r>
      <w:r>
        <w:rPr>
          <w:rFonts w:ascii="Times New Roman" w:hAnsi="Times New Roman" w:cs="Times New Roman" w:eastAsia="Times New Roman" w:hint="default"/>
        </w:rPr>
        <w:t>+</w:t>
      </w:r>
      <w:r>
        <w:rPr/>
        <w:t>政务、财政电子票 </w:t>
      </w:r>
      <w:r>
        <w:rPr>
          <w:spacing w:val="-2"/>
        </w:rPr>
        <w:t>据、非税收缴电子化管理政策东风，着手打造从财政电子票据、移动缴费、电子财务档案、核算软件全业务生态链，同时加</w:t>
      </w:r>
      <w:r>
        <w:rPr>
          <w:spacing w:val="-68"/>
        </w:rPr>
        <w:t> </w:t>
      </w:r>
      <w:r>
        <w:rPr>
          <w:spacing w:val="-68"/>
        </w:rPr>
      </w:r>
      <w:r>
        <w:rPr>
          <w:spacing w:val="-4"/>
        </w:rPr>
        <w:t>强电子票据在社保、医疗、教育等行业深入应用服务。其次，公司将加大政府采购领域的投入，拓展更多省级政府采购市场，</w:t>
      </w:r>
      <w:r>
        <w:rPr>
          <w:spacing w:val="-43"/>
        </w:rPr>
        <w:t> </w:t>
      </w:r>
      <w:r>
        <w:rPr>
          <w:spacing w:val="-43"/>
        </w:rPr>
      </w:r>
      <w:r>
        <w:rPr>
          <w:spacing w:val="-2"/>
        </w:rPr>
        <w:t>并开拓央企、大型国企、高校的采购市场，同时大力推广服务供应商的采信通产品。此外，公司将加强技术整合通用缴费服</w:t>
      </w:r>
      <w:r>
        <w:rPr>
          <w:spacing w:val="-66"/>
        </w:rPr>
        <w:t> </w:t>
      </w:r>
      <w:r>
        <w:rPr>
          <w:spacing w:val="-66"/>
        </w:rPr>
      </w:r>
      <w:r>
        <w:rPr/>
        <w:t>务及智慧城市业务。</w:t>
      </w:r>
    </w:p>
    <w:p>
      <w:pPr>
        <w:pStyle w:val="BodyText"/>
        <w:spacing w:line="300" w:lineRule="auto" w:before="20"/>
        <w:ind w:left="1493" w:right="1033"/>
        <w:jc w:val="left"/>
      </w:pPr>
      <w:r>
        <w:rPr/>
        <w:t>（</w:t>
      </w:r>
      <w:r>
        <w:rPr>
          <w:rFonts w:ascii="Times New Roman" w:hAnsi="Times New Roman" w:cs="Times New Roman" w:eastAsia="Times New Roman" w:hint="default"/>
        </w:rPr>
        <w:t>2</w:t>
      </w:r>
      <w:r>
        <w:rPr/>
        <w:t>）产品研发 公司将持续结合行业相关技术的发展动态和趋势，以及客户需求的变化，对公司已有产品进行持续的技术升级和改造，</w:t>
      </w:r>
    </w:p>
    <w:p>
      <w:pPr>
        <w:pStyle w:val="BodyText"/>
        <w:spacing w:line="316" w:lineRule="auto" w:before="32"/>
        <w:ind w:right="1131"/>
        <w:jc w:val="both"/>
      </w:pPr>
      <w:r>
        <w:rPr>
          <w:spacing w:val="-2"/>
        </w:rPr>
        <w:t>不断完善产品功能，为客户提供更多增值服务，进一步拓展主营业务行业应用的深度和广度；同时根据当前财政信息化互联</w:t>
      </w:r>
      <w:r>
        <w:rPr>
          <w:spacing w:val="-66"/>
        </w:rPr>
        <w:t> </w:t>
      </w:r>
      <w:r>
        <w:rPr>
          <w:spacing w:val="-66"/>
        </w:rPr>
      </w:r>
      <w:r>
        <w:rPr>
          <w:spacing w:val="-2"/>
        </w:rPr>
        <w:t>网化的发展趋势，积极研发财政信息化互联网产品。在非税收入领域，将进一步加强财政电子票据相关产品的研发，并加强</w:t>
      </w:r>
      <w:r>
        <w:rPr>
          <w:spacing w:val="-66"/>
        </w:rPr>
        <w:t> </w:t>
      </w:r>
      <w:r>
        <w:rPr>
          <w:spacing w:val="-66"/>
        </w:rPr>
      </w:r>
      <w:r>
        <w:rPr>
          <w:spacing w:val="-2"/>
        </w:rPr>
        <w:t>电子票据云平台产品建设、完善，积极为电子票据的社会化应用提供技术服务。在政府采购领域，进一步打造完善政府采购</w:t>
      </w:r>
      <w:r>
        <w:rPr>
          <w:spacing w:val="-66"/>
        </w:rPr>
        <w:t> </w:t>
      </w:r>
      <w:r>
        <w:rPr>
          <w:spacing w:val="-66"/>
        </w:rPr>
      </w:r>
      <w:r>
        <w:rPr/>
        <w:t>领域全面解决方案，并推动采购云服务产品建设。</w:t>
      </w:r>
    </w:p>
    <w:p>
      <w:pPr>
        <w:pStyle w:val="BodyText"/>
        <w:spacing w:line="240" w:lineRule="auto" w:before="19"/>
        <w:ind w:left="1493" w:right="0"/>
        <w:jc w:val="left"/>
      </w:pPr>
      <w:r>
        <w:rPr/>
        <w:t>（</w:t>
      </w:r>
      <w:r>
        <w:rPr>
          <w:rFonts w:ascii="Times New Roman" w:hAnsi="Times New Roman" w:cs="Times New Roman" w:eastAsia="Times New Roman" w:hint="default"/>
        </w:rPr>
        <w:t>3</w:t>
      </w:r>
      <w:r>
        <w:rPr/>
        <w:t>）人力资源</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0" w:firstLine="360"/>
        <w:jc w:val="both"/>
      </w:pPr>
      <w:r>
        <w:rPr>
          <w:spacing w:val="-2"/>
        </w:rPr>
        <w:t>公司始终把人才队伍建设作为工作的重中之重，</w:t>
      </w:r>
      <w:r>
        <w:rPr>
          <w:rFonts w:ascii="Times New Roman" w:hAnsi="Times New Roman" w:cs="Times New Roman" w:eastAsia="Times New Roman" w:hint="default"/>
          <w:spacing w:val="-2"/>
        </w:rPr>
        <w:t>2017</w:t>
      </w:r>
      <w:r>
        <w:rPr>
          <w:spacing w:val="-2"/>
        </w:rPr>
        <w:t>年，公司引入了大量人才，健全优化了人力资源结构。</w:t>
      </w:r>
      <w:r>
        <w:rPr>
          <w:rFonts w:ascii="Times New Roman" w:hAnsi="Times New Roman" w:cs="Times New Roman" w:eastAsia="Times New Roman" w:hint="default"/>
          <w:spacing w:val="-2"/>
        </w:rPr>
        <w:t>2018</w:t>
      </w:r>
      <w:r>
        <w:rPr>
          <w:spacing w:val="-2"/>
        </w:rPr>
        <w:t>年度公</w:t>
      </w:r>
      <w:r>
        <w:rPr/>
        <w:t> </w:t>
      </w:r>
      <w:r>
        <w:rPr>
          <w:spacing w:val="-2"/>
        </w:rPr>
        <w:t>司将从人才培养和激励机制两方面来完善公司人才建设。公司将探讨激励制度的完善及创新，建立合理的绩效奖励制度、公</w:t>
      </w:r>
      <w:r>
        <w:rPr>
          <w:spacing w:val="-66"/>
        </w:rPr>
        <w:t> </w:t>
      </w:r>
      <w:r>
        <w:rPr>
          <w:spacing w:val="-66"/>
        </w:rPr>
      </w:r>
      <w:r>
        <w:rPr/>
        <w:t>平的竞争晋升机制，提升员工积极性。此外，将加强培训体系建设，提供全面、完善的培训计划，提升员工业务能力。</w:t>
      </w:r>
    </w:p>
    <w:p>
      <w:pPr>
        <w:pStyle w:val="BodyText"/>
        <w:spacing w:line="300" w:lineRule="auto" w:before="24"/>
        <w:ind w:left="1493" w:right="1118"/>
        <w:jc w:val="left"/>
      </w:pPr>
      <w:r>
        <w:rPr/>
        <w:t>（</w:t>
      </w:r>
      <w:r>
        <w:rPr>
          <w:rFonts w:ascii="Times New Roman" w:hAnsi="Times New Roman" w:cs="Times New Roman" w:eastAsia="Times New Roman" w:hint="default"/>
        </w:rPr>
        <w:t>4</w:t>
      </w:r>
      <w:r>
        <w:rPr/>
        <w:t>）公司治理 </w:t>
      </w:r>
      <w:r>
        <w:rPr>
          <w:spacing w:val="-2"/>
        </w:rPr>
        <w:t>继续按照上市公司要求，建立健全公司法人治理体系，建立健全各项规章制度，提升经营管理效率，有效控制风险，合</w:t>
      </w:r>
    </w:p>
    <w:p>
      <w:pPr>
        <w:pStyle w:val="BodyText"/>
        <w:spacing w:line="240" w:lineRule="auto" w:before="31"/>
        <w:ind w:right="0"/>
        <w:jc w:val="both"/>
      </w:pPr>
      <w:r>
        <w:rPr/>
        <w:t>理降低成本，确保企业监督控制工作的有效执行，进一步保证企业经营活动的顺利进行。</w:t>
      </w:r>
    </w:p>
    <w:p>
      <w:pPr>
        <w:pStyle w:val="BodyText"/>
        <w:spacing w:line="300" w:lineRule="auto" w:before="76"/>
        <w:ind w:left="1493" w:right="1118"/>
        <w:jc w:val="left"/>
      </w:pPr>
      <w:r>
        <w:rPr/>
        <w:t>（</w:t>
      </w:r>
      <w:r>
        <w:rPr>
          <w:rFonts w:ascii="Times New Roman" w:hAnsi="Times New Roman" w:cs="Times New Roman" w:eastAsia="Times New Roman" w:hint="default"/>
        </w:rPr>
        <w:t>5</w:t>
      </w:r>
      <w:r>
        <w:rPr/>
        <w:t>）资本运作 </w:t>
      </w:r>
      <w:r>
        <w:rPr>
          <w:spacing w:val="-2"/>
        </w:rPr>
        <w:t>公司根据发展战略，围绕自身核心业务，在时机较为成熟的前提下，公司将继续充分利用自身优势和资本市场平台，采</w:t>
      </w:r>
    </w:p>
    <w:p>
      <w:pPr>
        <w:pStyle w:val="BodyText"/>
        <w:spacing w:line="240" w:lineRule="auto" w:before="31"/>
        <w:ind w:right="0"/>
        <w:jc w:val="both"/>
      </w:pPr>
      <w:r>
        <w:rPr/>
        <w:t>用兼并收购等多种方式扩张，并有效整合资源、提高运营效率，增强企业核心竞争力。</w:t>
      </w:r>
    </w:p>
    <w:p>
      <w:pPr>
        <w:pStyle w:val="BodyText"/>
        <w:spacing w:line="240" w:lineRule="auto" w:before="76"/>
        <w:ind w:left="1493" w:right="0"/>
        <w:jc w:val="left"/>
      </w:pPr>
      <w:r>
        <w:rPr>
          <w:rFonts w:ascii="Times New Roman" w:hAnsi="Times New Roman" w:cs="Times New Roman" w:eastAsia="Times New Roman" w:hint="default"/>
        </w:rPr>
        <w:t>4</w:t>
      </w:r>
      <w:r>
        <w:rPr/>
        <w:t>、可能面临的风险</w:t>
      </w:r>
    </w:p>
    <w:p>
      <w:pPr>
        <w:pStyle w:val="BodyText"/>
        <w:spacing w:line="300" w:lineRule="auto" w:before="63"/>
        <w:ind w:left="1494" w:right="0"/>
        <w:jc w:val="left"/>
      </w:pPr>
      <w:r>
        <w:rPr/>
        <w:t>（</w:t>
      </w:r>
      <w:r>
        <w:rPr>
          <w:rFonts w:ascii="Times New Roman" w:hAnsi="Times New Roman" w:cs="Times New Roman" w:eastAsia="Times New Roman" w:hint="default"/>
        </w:rPr>
        <w:t>1</w:t>
      </w:r>
      <w:r>
        <w:rPr/>
        <w:t>）市场竞争风险 </w:t>
      </w:r>
      <w:r>
        <w:rPr>
          <w:spacing w:val="-2"/>
        </w:rPr>
        <w:t>凭借对行业发展趋势的深刻理解和多年积累的技术与行业经验，公司抓住国家推动财政票据电子化管理改革及加强非税</w:t>
      </w:r>
    </w:p>
    <w:p>
      <w:pPr>
        <w:pStyle w:val="BodyText"/>
        <w:spacing w:line="316" w:lineRule="auto" w:before="31"/>
        <w:ind w:left="1134" w:right="1032"/>
        <w:jc w:val="left"/>
      </w:pPr>
      <w:r>
        <w:rPr>
          <w:spacing w:val="-2"/>
        </w:rPr>
        <w:t>收入管理的机会，研发出财政票据电子化管理软件和非税收入收缴管理系统、非税收入政策管理系统等领先产品，并迅速占</w:t>
      </w:r>
      <w:r>
        <w:rPr>
          <w:spacing w:val="-66"/>
        </w:rPr>
        <w:t> </w:t>
      </w:r>
      <w:r>
        <w:rPr>
          <w:spacing w:val="-66"/>
        </w:rPr>
      </w:r>
      <w:r>
        <w:rPr/>
        <w:t>领了较大的市场份额，而随着该细分市场领域的市场环境逐步成熟，市场规模不断扩大，将吸引越来越多的软件企业进入， </w:t>
      </w:r>
      <w:r>
        <w:rPr>
          <w:spacing w:val="-2"/>
        </w:rPr>
        <w:t>市场竞争更加激烈。新竞争者的进入，可能带来产品和服务价格的下滑、产品更新换代加快、市场份额难以保持的风险。公</w:t>
      </w:r>
      <w:r>
        <w:rPr>
          <w:spacing w:val="-66"/>
        </w:rPr>
        <w:t> </w:t>
      </w:r>
      <w:r>
        <w:rPr>
          <w:spacing w:val="-66"/>
        </w:rPr>
      </w:r>
      <w:r>
        <w:rPr/>
        <w:t>司将面临国内大型软件企业和国外软件企业的竞争，这可能对公司的产品和服务的价格、市场份额等产生不利影响。</w:t>
      </w:r>
    </w:p>
    <w:p>
      <w:pPr>
        <w:pStyle w:val="BodyText"/>
        <w:spacing w:line="300" w:lineRule="auto" w:before="19"/>
        <w:ind w:left="1494" w:right="0"/>
        <w:jc w:val="left"/>
      </w:pPr>
      <w:r>
        <w:rPr/>
        <w:t>（</w:t>
      </w:r>
      <w:r>
        <w:rPr>
          <w:rFonts w:ascii="Times New Roman" w:hAnsi="Times New Roman" w:cs="Times New Roman" w:eastAsia="Times New Roman" w:hint="default"/>
        </w:rPr>
        <w:t>2</w:t>
      </w:r>
      <w:r>
        <w:rPr/>
        <w:t>）技术开发、产品升级风险 </w:t>
      </w:r>
      <w:r>
        <w:rPr>
          <w:spacing w:val="-2"/>
        </w:rPr>
        <w:t>软件开发属于技术密集型产业，公司产品技术开发所依赖的操作系统、中间件、开发工具等更新换代速度快。如果相关</w:t>
      </w:r>
    </w:p>
    <w:p>
      <w:pPr>
        <w:pStyle w:val="BodyText"/>
        <w:spacing w:line="316" w:lineRule="auto" w:before="31"/>
        <w:ind w:left="1134" w:right="1131"/>
        <w:jc w:val="both"/>
      </w:pPr>
      <w:r>
        <w:rPr>
          <w:spacing w:val="-2"/>
        </w:rPr>
        <w:t>技术发生重大变革，将影响公司产品技术开发进程。公司产品主要服务于电子政务领域，该领域对信息安全性、保密性要求</w:t>
      </w:r>
      <w:r>
        <w:rPr>
          <w:spacing w:val="-66"/>
        </w:rPr>
        <w:t> </w:t>
      </w:r>
      <w:r>
        <w:rPr>
          <w:spacing w:val="-66"/>
        </w:rPr>
      </w:r>
      <w:r>
        <w:rPr>
          <w:spacing w:val="-2"/>
        </w:rPr>
        <w:t>程度较高，日常业务数据处理量大，因而对所应用的软件不断提出更高、更新的要求，如果公司不能准确把握技术、产品及</w:t>
      </w:r>
      <w:r>
        <w:rPr>
          <w:spacing w:val="-66"/>
        </w:rPr>
        <w:t> </w:t>
      </w:r>
      <w:r>
        <w:rPr>
          <w:spacing w:val="-66"/>
        </w:rPr>
      </w:r>
      <w:r>
        <w:rPr>
          <w:spacing w:val="-2"/>
        </w:rPr>
        <w:t>市场发展的趋势，研发出符合市场需求的新产品；或者公司对产品和市场需求的把握出现偏差、不能及时调整技术和产品方</w:t>
      </w:r>
      <w:r>
        <w:rPr>
          <w:spacing w:val="-66"/>
        </w:rPr>
        <w:t> </w:t>
      </w:r>
      <w:r>
        <w:rPr>
          <w:spacing w:val="-66"/>
        </w:rPr>
      </w:r>
      <w:r>
        <w:rPr/>
        <w:t>向，将可能使公司丧失技术和市场的领先地位。</w:t>
      </w:r>
    </w:p>
    <w:p>
      <w:pPr>
        <w:pStyle w:val="BodyText"/>
        <w:spacing w:line="316" w:lineRule="auto" w:before="19"/>
        <w:ind w:left="1134" w:right="0" w:firstLine="360"/>
        <w:jc w:val="left"/>
      </w:pPr>
      <w:r>
        <w:rPr>
          <w:spacing w:val="-4"/>
        </w:rPr>
        <w:t>软件产品较为复杂，任何软件公司可能都无法完全杜绝所开发软件的错误和缺陷。如果公司开发的软件存在缺陷或错误，</w:t>
      </w:r>
      <w:r>
        <w:rPr/>
        <w:t> </w:t>
      </w:r>
      <w:r>
        <w:rPr>
          <w:spacing w:val="-2"/>
        </w:rPr>
        <w:t>将导致用户的日常业务开展，甚至非税收入的征收管理受到不利影响。为修正产品已发生的错误或因客户提起的索赔请求而</w:t>
      </w:r>
      <w:r>
        <w:rPr>
          <w:spacing w:val="-64"/>
        </w:rPr>
        <w:t> </w:t>
      </w:r>
      <w:r>
        <w:rPr>
          <w:spacing w:val="-64"/>
        </w:rPr>
      </w:r>
      <w:r>
        <w:rPr/>
        <w:t>进行的申辩，将额外增加公司的成本费用、并影响公司的市场信誉及行业地位。</w:t>
      </w:r>
    </w:p>
    <w:p>
      <w:pPr>
        <w:pStyle w:val="BodyText"/>
        <w:spacing w:line="300" w:lineRule="auto" w:before="19"/>
        <w:ind w:left="1494" w:right="0"/>
        <w:jc w:val="left"/>
      </w:pPr>
      <w:r>
        <w:rPr/>
        <w:t>（</w:t>
      </w:r>
      <w:r>
        <w:rPr>
          <w:rFonts w:ascii="Times New Roman" w:hAnsi="Times New Roman" w:cs="Times New Roman" w:eastAsia="Times New Roman" w:hint="default"/>
        </w:rPr>
        <w:t>3</w:t>
      </w:r>
      <w:r>
        <w:rPr/>
        <w:t>）信息安全风险 </w:t>
      </w:r>
      <w:r>
        <w:rPr>
          <w:spacing w:val="-2"/>
        </w:rPr>
        <w:t>公司提供软件产品的研发、销售与服务，公司产品的各类应用系统及其赖以运行的基础网络、处理的数据和信息，由于</w:t>
      </w:r>
    </w:p>
    <w:p>
      <w:pPr>
        <w:pStyle w:val="BodyText"/>
        <w:spacing w:line="316" w:lineRule="auto" w:before="31"/>
        <w:ind w:left="1134" w:right="1131"/>
        <w:jc w:val="both"/>
      </w:pPr>
      <w:r>
        <w:rPr>
          <w:spacing w:val="-2"/>
        </w:rPr>
        <w:t>其可能存在的软硬件缺陷、系统集成缺陷等，以及信息安全管理、人员管理中潜在的薄弱环节，而导致的不同程度的安全风</w:t>
      </w:r>
      <w:r>
        <w:rPr>
          <w:spacing w:val="-66"/>
        </w:rPr>
        <w:t> </w:t>
      </w:r>
      <w:r>
        <w:rPr>
          <w:spacing w:val="-66"/>
        </w:rPr>
      </w:r>
      <w:r>
        <w:rPr>
          <w:spacing w:val="-2"/>
        </w:rPr>
        <w:t>险。尽管公司历来注重信息安全风险的防范，每年都投入较大金额对信息安全进行研究并实施防范措施，但由于信息系统本</w:t>
      </w:r>
      <w:r>
        <w:rPr>
          <w:spacing w:val="-65"/>
        </w:rPr>
        <w:t> </w:t>
      </w:r>
      <w:r>
        <w:rPr>
          <w:spacing w:val="-65"/>
        </w:rPr>
      </w:r>
      <w:r>
        <w:rPr>
          <w:spacing w:val="-2"/>
        </w:rPr>
        <w:t>身固有的安全特点，公司产品的应用仍存在不可预测的信息安全风险，一旦发生大的信息安全事故，可能在一定期间导致业</w:t>
      </w:r>
      <w:r>
        <w:rPr>
          <w:spacing w:val="-66"/>
        </w:rPr>
        <w:t> </w:t>
      </w:r>
      <w:r>
        <w:rPr>
          <w:spacing w:val="-66"/>
        </w:rPr>
      </w:r>
      <w:r>
        <w:rPr/>
        <w:t>务系统瘫痪，客户数据泄密或资金流向错误，从而对公司的经营造成影响。</w:t>
      </w:r>
    </w:p>
    <w:p>
      <w:pPr>
        <w:pStyle w:val="BodyText"/>
        <w:spacing w:line="300" w:lineRule="auto" w:before="19"/>
        <w:ind w:left="1493" w:right="0"/>
        <w:jc w:val="left"/>
      </w:pPr>
      <w:r>
        <w:rPr/>
        <w:t>（</w:t>
      </w:r>
      <w:r>
        <w:rPr>
          <w:rFonts w:ascii="Times New Roman" w:hAnsi="Times New Roman" w:cs="Times New Roman" w:eastAsia="Times New Roman" w:hint="default"/>
        </w:rPr>
        <w:t>4</w:t>
      </w:r>
      <w:r>
        <w:rPr/>
        <w:t>）客户和销售区域集中的风险 </w:t>
      </w:r>
      <w:r>
        <w:rPr>
          <w:spacing w:val="-2"/>
        </w:rPr>
        <w:t>经过多年的技术研发和经验积累，公司已拥有了成熟的财政票据电子化管理软件及非税收入管理信息化产品，熟悉该等</w:t>
      </w:r>
    </w:p>
    <w:p>
      <w:pPr>
        <w:pStyle w:val="BodyText"/>
        <w:spacing w:line="316" w:lineRule="auto" w:before="31"/>
        <w:ind w:right="1131"/>
        <w:jc w:val="both"/>
      </w:pPr>
      <w:r>
        <w:rPr>
          <w:spacing w:val="-2"/>
        </w:rPr>
        <w:t>客户的财政管理业务运行规律及业务管理需求。由于在该领域的先发优势，公司积累了大量客户，特别是在福建省内，公司</w:t>
      </w:r>
      <w:r>
        <w:rPr>
          <w:spacing w:val="-66"/>
        </w:rPr>
        <w:t> </w:t>
      </w:r>
      <w:r>
        <w:rPr>
          <w:spacing w:val="-66"/>
        </w:rPr>
      </w:r>
      <w:r>
        <w:rPr>
          <w:spacing w:val="-2"/>
        </w:rPr>
        <w:t>产品具有良好的品牌效应和客户基础，来源于福建省的销售收入占比较高，随着本公司业务向全国各地的拓展，福建省收入</w:t>
      </w:r>
      <w:r>
        <w:rPr>
          <w:spacing w:val="-65"/>
        </w:rPr>
        <w:t> </w:t>
      </w:r>
      <w:r>
        <w:rPr>
          <w:spacing w:val="-65"/>
        </w:rPr>
      </w:r>
      <w:r>
        <w:rPr/>
        <w:t>占比呈持续下降的趋势，但如果福建区域市场出现重大不利变化，将对本公司经营业绩造成不良影响。</w:t>
      </w:r>
    </w:p>
    <w:p>
      <w:pPr>
        <w:pStyle w:val="BodyText"/>
        <w:spacing w:line="300" w:lineRule="auto" w:before="19"/>
        <w:ind w:left="1494" w:right="0"/>
        <w:jc w:val="left"/>
      </w:pPr>
      <w:r>
        <w:rPr/>
        <w:t>（</w:t>
      </w:r>
      <w:r>
        <w:rPr>
          <w:rFonts w:ascii="Times New Roman" w:hAnsi="Times New Roman" w:cs="Times New Roman" w:eastAsia="Times New Roman" w:hint="default"/>
        </w:rPr>
        <w:t>5</w:t>
      </w:r>
      <w:r>
        <w:rPr/>
        <w:t>）核心技术泄露、核心技术人员流失的风险 拥有核心技术与核心技术人员是公司在行业中能够保持竞争优势的主要原因之一。目前，公司拥有包括</w:t>
      </w:r>
      <w:r>
        <w:rPr>
          <w:rFonts w:ascii="Times New Roman" w:hAnsi="Times New Roman" w:cs="Times New Roman" w:eastAsia="Times New Roman" w:hint="default"/>
        </w:rPr>
        <w:t>“</w:t>
      </w:r>
      <w:r>
        <w:rPr/>
        <w:t>博思财政票据</w:t>
      </w:r>
    </w:p>
    <w:p>
      <w:pPr>
        <w:pStyle w:val="BodyText"/>
        <w:spacing w:line="307" w:lineRule="auto" w:before="13"/>
        <w:ind w:right="1131"/>
        <w:jc w:val="both"/>
      </w:pPr>
      <w:r>
        <w:rPr/>
        <w:t>电子化改革管理系统</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博思票据电子化软件</w:t>
      </w:r>
      <w:r>
        <w:rPr>
          <w:rFonts w:ascii="Times New Roman" w:hAnsi="Times New Roman" w:cs="Times New Roman" w:eastAsia="Times New Roman" w:hint="default"/>
        </w:rPr>
        <w:t>WEB</w:t>
      </w:r>
      <w:r>
        <w:rPr/>
        <w:t>版</w:t>
      </w:r>
      <w:r>
        <w:rPr>
          <w:rFonts w:ascii="Times New Roman" w:hAnsi="Times New Roman" w:cs="Times New Roman" w:eastAsia="Times New Roman" w:hint="default"/>
        </w:rPr>
        <w:t>V1.0”</w:t>
      </w:r>
      <w:r>
        <w:rPr/>
        <w:t>、</w:t>
      </w:r>
      <w:r>
        <w:rPr>
          <w:rFonts w:ascii="Times New Roman" w:hAnsi="Times New Roman" w:cs="Times New Roman" w:eastAsia="Times New Roman" w:hint="default"/>
        </w:rPr>
        <w:t>“BS</w:t>
      </w:r>
      <w:r>
        <w:rPr/>
        <w:t>非税收入收缴管理信息系统</w:t>
      </w:r>
      <w:r>
        <w:rPr>
          <w:spacing w:val="-9"/>
        </w:rPr>
        <w:t> </w:t>
      </w:r>
      <w:r>
        <w:rPr>
          <w:rFonts w:ascii="Times New Roman" w:hAnsi="Times New Roman" w:cs="Times New Roman" w:eastAsia="Times New Roman" w:hint="default"/>
        </w:rPr>
        <w:t>V1.0”</w:t>
      </w:r>
      <w:r>
        <w:rPr/>
        <w:t>及</w:t>
      </w:r>
      <w:r>
        <w:rPr>
          <w:rFonts w:ascii="Times New Roman" w:hAnsi="Times New Roman" w:cs="Times New Roman" w:eastAsia="Times New Roman" w:hint="default"/>
        </w:rPr>
        <w:t>“</w:t>
      </w:r>
      <w:r>
        <w:rPr/>
        <w:t>博思公共缴费平 台管理系统</w:t>
      </w:r>
      <w:r>
        <w:rPr>
          <w:rFonts w:ascii="Times New Roman" w:hAnsi="Times New Roman" w:cs="Times New Roman" w:eastAsia="Times New Roman" w:hint="default"/>
        </w:rPr>
        <w:t>V2.0”</w:t>
      </w:r>
      <w:r>
        <w:rPr/>
        <w:t>等多项计算机软件著作权，均属于公司的核心技术。核心技术与核心技术人员是公司发展的基础，因此计</w:t>
      </w:r>
      <w:r>
        <w:rPr>
          <w:spacing w:val="-74"/>
        </w:rPr>
        <w:t> </w:t>
      </w:r>
      <w:r>
        <w:rPr>
          <w:spacing w:val="-74"/>
        </w:rPr>
      </w:r>
      <w:r>
        <w:rPr>
          <w:spacing w:val="-2"/>
        </w:rPr>
        <w:t>算机软件著作权被侵权、核心技术人员流失都会对公司生产经营造成较大负面影响，故公司存在核心技术泄露以及核心技术</w:t>
      </w:r>
      <w:r>
        <w:rPr>
          <w:spacing w:val="-64"/>
        </w:rPr>
        <w:t> </w:t>
      </w:r>
      <w:r>
        <w:rPr>
          <w:spacing w:val="-64"/>
        </w:rPr>
      </w:r>
      <w:r>
        <w:rPr/>
        <w:t>人员流失的风险。</w:t>
      </w:r>
    </w:p>
    <w:p>
      <w:pPr>
        <w:pStyle w:val="BodyText"/>
        <w:spacing w:line="300" w:lineRule="auto" w:before="26"/>
        <w:ind w:left="1494" w:right="0"/>
        <w:jc w:val="left"/>
      </w:pPr>
      <w:r>
        <w:rPr/>
        <w:t>（</w:t>
      </w:r>
      <w:r>
        <w:rPr>
          <w:rFonts w:ascii="Times New Roman" w:hAnsi="Times New Roman" w:cs="Times New Roman" w:eastAsia="Times New Roman" w:hint="default"/>
        </w:rPr>
        <w:t>6</w:t>
      </w:r>
      <w:r>
        <w:rPr/>
        <w:t>）新业务、新领域开拓风险 </w:t>
      </w:r>
      <w:r>
        <w:rPr>
          <w:spacing w:val="-2"/>
        </w:rPr>
        <w:t>公司上市后，在稳定现有主营业务的基础上将充分利用资本市场的优势与资源，通过内部业务创新与外部战略并购的方</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式推进公司的业务发展，这是公司迅速发展做大做强的必经之路。公司在上市后积极引入技术与管理人才，但是，在新业务</w:t>
      </w:r>
      <w:r>
        <w:rPr>
          <w:spacing w:val="-66"/>
        </w:rPr>
        <w:t> </w:t>
      </w:r>
      <w:r>
        <w:rPr>
          <w:spacing w:val="-66"/>
        </w:rPr>
      </w:r>
      <w:r>
        <w:rPr/>
        <w:t>和新领域的开拓上，可能面临专业团队不足、创新工作失误、市场判断失误等风险。</w:t>
      </w:r>
    </w:p>
    <w:p>
      <w:pPr>
        <w:pStyle w:val="BodyText"/>
        <w:spacing w:line="300" w:lineRule="auto" w:before="19"/>
        <w:ind w:left="1494" w:right="0"/>
        <w:jc w:val="left"/>
      </w:pPr>
      <w:r>
        <w:rPr/>
        <w:t>（</w:t>
      </w:r>
      <w:r>
        <w:rPr>
          <w:rFonts w:ascii="Times New Roman" w:hAnsi="Times New Roman" w:cs="Times New Roman" w:eastAsia="Times New Roman" w:hint="default"/>
        </w:rPr>
        <w:t>7</w:t>
      </w:r>
      <w:r>
        <w:rPr/>
        <w:t>）应收账款余额较大风险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日，公司应收账款余额为</w:t>
      </w:r>
      <w:r>
        <w:rPr>
          <w:rFonts w:ascii="Times New Roman" w:hAnsi="Times New Roman" w:cs="Times New Roman" w:eastAsia="Times New Roman" w:hint="default"/>
        </w:rPr>
        <w:t>10,795.51</w:t>
      </w:r>
      <w:r>
        <w:rPr/>
        <w:t>万元，占流动资产的比例为</w:t>
      </w:r>
      <w:r>
        <w:rPr>
          <w:rFonts w:ascii="Times New Roman" w:hAnsi="Times New Roman" w:cs="Times New Roman" w:eastAsia="Times New Roman" w:hint="default"/>
        </w:rPr>
        <w:t>20.55%</w:t>
      </w:r>
      <w:r>
        <w:rPr/>
        <w:t>。公司主营产品的客户主要为</w:t>
      </w:r>
    </w:p>
    <w:p>
      <w:pPr>
        <w:pStyle w:val="BodyText"/>
        <w:spacing w:line="316" w:lineRule="auto" w:before="13"/>
        <w:ind w:left="1134" w:right="1032"/>
        <w:jc w:val="left"/>
      </w:pPr>
      <w:r>
        <w:rPr>
          <w:spacing w:val="-4"/>
        </w:rPr>
        <w:t>行政事业单位，这些客户通常采取预算管理制度，一般下半年制定次年年度预算和投资计划，审批通常集中在次年的上半年，</w:t>
      </w:r>
      <w:r>
        <w:rPr>
          <w:spacing w:val="-44"/>
        </w:rPr>
        <w:t> </w:t>
      </w:r>
      <w:r>
        <w:rPr>
          <w:spacing w:val="-44"/>
        </w:rPr>
      </w:r>
      <w:r>
        <w:rPr>
          <w:spacing w:val="-2"/>
        </w:rPr>
        <w:t>采购招标则安排在次年年中或下半年，采购资金的支付也主要集中在第四季度及下一年第一季度。因此，公司每年上半年销</w:t>
      </w:r>
      <w:r>
        <w:rPr>
          <w:spacing w:val="-66"/>
        </w:rPr>
        <w:t> </w:t>
      </w:r>
      <w:r>
        <w:rPr>
          <w:spacing w:val="-66"/>
        </w:rPr>
      </w:r>
      <w:r>
        <w:rPr>
          <w:spacing w:val="-2"/>
        </w:rPr>
        <w:t>售较少，销售主要集中在下半年尤其是第四季度，公司销售呈现较明显的季节性分布，并由此使得公司营业收入在第四季度</w:t>
      </w:r>
      <w:r>
        <w:rPr>
          <w:spacing w:val="-66"/>
        </w:rPr>
        <w:t> </w:t>
      </w:r>
      <w:r>
        <w:rPr>
          <w:spacing w:val="-66"/>
        </w:rPr>
      </w:r>
      <w:r>
        <w:rPr/>
        <w:t>集中实现，年末的应收账款余额较大。随着业务规模的持续扩大和销售收入的增加，公司应收账款余额总体上呈增加趋势，</w:t>
      </w:r>
      <w:r>
        <w:rPr/>
        <w:t> 可能存在部分货款不能及时回收的风险。</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公司严格按照《公司章程》相关利润分配政策和审议程序实施利润分配方案，分红标准和分红比例明确清晰，相关的决</w:t>
      </w:r>
    </w:p>
    <w:p>
      <w:pPr>
        <w:pStyle w:val="BodyText"/>
        <w:spacing w:line="316" w:lineRule="auto" w:before="2"/>
        <w:ind w:right="0"/>
        <w:jc w:val="left"/>
      </w:pPr>
      <w:r>
        <w:rPr>
          <w:spacing w:val="-2"/>
        </w:rPr>
        <w:t>策程序和机制完备。公司利润分配方案须经由董事会、监事会审议通过提交股东大会审议，并由独立董事发表独立意见，审</w:t>
      </w:r>
      <w:r>
        <w:rPr>
          <w:spacing w:val="-66"/>
        </w:rPr>
        <w:t> </w:t>
      </w:r>
      <w:r>
        <w:rPr>
          <w:spacing w:val="-66"/>
        </w:rPr>
      </w:r>
      <w:r>
        <w:rPr/>
        <w:t>议通过后在规定时间内进行实施，切实保证了全体股东的利益。</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9"/>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72,032,000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15,126,720.00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157,085,713.37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年度利润分配方案为：以公司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72,032,000 </w:t>
            </w:r>
            <w:r>
              <w:rPr>
                <w:rFonts w:ascii="宋体" w:hAnsi="宋体" w:cs="宋体" w:eastAsia="宋体" w:hint="default"/>
                <w:spacing w:val="-4"/>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p>
          <w:p>
            <w:pPr>
              <w:pStyle w:val="TableParagraph"/>
              <w:spacing w:line="240" w:lineRule="auto" w:before="63"/>
              <w:ind w:left="11" w:right="-5"/>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15,126,72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，同时向全体股东以资本公积每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分配完成后公司股本总额增至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129,657,600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股。剩余未分配利润结转至下一年度。</w:t>
            </w:r>
          </w:p>
        </w:tc>
      </w:tr>
    </w:tbl>
    <w:p>
      <w:pPr>
        <w:pStyle w:val="BodyText"/>
        <w:spacing w:line="240" w:lineRule="auto" w:before="74"/>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r>
        <w:rPr/>
        <w:pict>
          <v:shape style="position:absolute;margin-left:364.059998pt;margin-top:598.539978pt;width:82.3pt;height:61.4pt;mso-position-horizontal-relative:page;mso-position-vertical-relative:page;z-index:-98929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个月内，</w:t>
                  </w:r>
                </w:p>
              </w:txbxContent>
            </v:textbox>
            <w10:wrap type="none"/>
          </v:shape>
        </w:pict>
      </w:r>
      <w:r>
        <w:rPr/>
        <w:pict>
          <v:shape style="position:absolute;margin-left:247.037003pt;margin-top:695.139954pt;width:199.35pt;height:61.4pt;mso-position-horizontal-relative:page;mso-position-vertical-relative:page;z-index:-9892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left="0" w:right="0"/>
                    <w:jc w:val="left"/>
                  </w:pPr>
                  <w:r>
                    <w:rPr/>
                    <w:t>所持股票在锁定期满后两年内减持的，</w:t>
                  </w:r>
                </w:p>
              </w:txbxContent>
            </v:textbox>
            <w10:wrap type="none"/>
          </v:shape>
        </w:pict>
      </w:r>
      <w:r>
        <w:rPr/>
        <w:pict>
          <v:group style="position:absolute;margin-left:397.179993pt;margin-top:695.139954pt;width:49.2pt;height:61.4pt;mso-position-horizontal-relative:page;mso-position-vertical-relative:page;z-index:-989248" coordorigin="7944,13903" coordsize="984,1228">
            <v:shape style="position:absolute;left:7944;top:13903;width:984;height:1228" coordorigin="7944,13903" coordsize="984,1228" path="m7944,15131l8927,15131,8927,13903,7944,13903,7944,15131xe" filled="true" fillcolor="#ffffff" stroked="false">
              <v:path arrowok="t"/>
              <v:fill type="solid"/>
            </v:shape>
            <w10:wrap type="none"/>
          </v:group>
        </w:pict>
      </w:r>
    </w:p>
    <w:p>
      <w:pPr>
        <w:pStyle w:val="BodyText"/>
        <w:spacing w:line="300" w:lineRule="auto" w:before="44"/>
        <w:ind w:right="1033" w:firstLine="360"/>
        <w:jc w:val="left"/>
      </w:pPr>
      <w:r>
        <w:rPr>
          <w:rFonts w:ascii="Times New Roman" w:hAnsi="Times New Roman" w:cs="Times New Roman" w:eastAsia="Times New Roman" w:hint="default"/>
        </w:rPr>
        <w:t>2016</w:t>
      </w:r>
      <w:r>
        <w:rPr/>
        <w:t>年利润分配方案：公司</w:t>
      </w:r>
      <w:r>
        <w:rPr>
          <w:rFonts w:ascii="Times New Roman" w:hAnsi="Times New Roman" w:cs="Times New Roman" w:eastAsia="Times New Roman" w:hint="default"/>
        </w:rPr>
        <w:t>2016</w:t>
      </w:r>
      <w:r>
        <w:rPr/>
        <w:t>年半年度利润分配预案已经</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日召开的</w:t>
      </w:r>
      <w:r>
        <w:rPr>
          <w:rFonts w:ascii="Times New Roman" w:hAnsi="Times New Roman" w:cs="Times New Roman" w:eastAsia="Times New Roman" w:hint="default"/>
        </w:rPr>
        <w:t>2016</w:t>
      </w:r>
      <w:r>
        <w:rPr/>
        <w:t>年第三次临时股东大会审议通过， 同意以截至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6,813.90</w:t>
      </w:r>
      <w:r>
        <w:rPr/>
        <w:t>万股为基数，每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2.0</w:t>
      </w:r>
      <w:r>
        <w:rPr/>
        <w:t>元（含税），共派发现金总额</w:t>
      </w:r>
      <w:r>
        <w:rPr>
          <w:rFonts w:ascii="Times New Roman" w:hAnsi="Times New Roman" w:cs="Times New Roman" w:eastAsia="Times New Roman" w:hint="default"/>
        </w:rPr>
        <w:t>1,362.78 </w:t>
      </w:r>
      <w:r>
        <w:rPr/>
        <w:t>万元，不进行公积金转增股本。上述利润分配预案已于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日实施完毕。</w:t>
      </w:r>
    </w:p>
    <w:p>
      <w:pPr>
        <w:pStyle w:val="BodyText"/>
        <w:spacing w:line="300" w:lineRule="auto" w:before="13"/>
        <w:ind w:right="1132" w:firstLine="360"/>
        <w:jc w:val="both"/>
      </w:pPr>
      <w:r>
        <w:rPr>
          <w:rFonts w:ascii="Times New Roman" w:hAnsi="Times New Roman" w:cs="Times New Roman" w:eastAsia="Times New Roman" w:hint="default"/>
        </w:rPr>
        <w:t>2017</w:t>
      </w:r>
      <w:r>
        <w:rPr/>
        <w:t>年利润分配方案：公司</w:t>
      </w:r>
      <w:r>
        <w:rPr>
          <w:rFonts w:ascii="Times New Roman" w:hAnsi="Times New Roman" w:cs="Times New Roman" w:eastAsia="Times New Roman" w:hint="default"/>
        </w:rPr>
        <w:t>2017</w:t>
      </w:r>
      <w:r>
        <w:rPr/>
        <w:t>年度利润分配预案已经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日召开的第二届董事会第十九次会议、第二届监事 会第十六次会议审议通过，同意以截至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72,032,000</w:t>
      </w:r>
      <w:r>
        <w:rPr/>
        <w:t>股为基数，向全体股东每</w:t>
      </w:r>
      <w:r>
        <w:rPr>
          <w:rFonts w:ascii="Times New Roman" w:hAnsi="Times New Roman" w:cs="Times New Roman" w:eastAsia="Times New Roman" w:hint="default"/>
        </w:rPr>
        <w:t>10</w:t>
      </w:r>
      <w:r>
        <w:rPr/>
        <w:t>股派发现金股利人民 </w:t>
      </w:r>
      <w:r>
        <w:rPr>
          <w:spacing w:val="-2"/>
        </w:rPr>
        <w:t>币</w:t>
      </w:r>
      <w:r>
        <w:rPr>
          <w:rFonts w:ascii="Times New Roman" w:hAnsi="Times New Roman" w:cs="Times New Roman" w:eastAsia="Times New Roman" w:hint="default"/>
          <w:spacing w:val="-2"/>
        </w:rPr>
        <w:t>2.10</w:t>
      </w:r>
      <w:r>
        <w:rPr>
          <w:spacing w:val="-2"/>
        </w:rPr>
        <w:t>元（含税），合计派发现金股利人民币</w:t>
      </w:r>
      <w:r>
        <w:rPr>
          <w:rFonts w:ascii="Times New Roman" w:hAnsi="Times New Roman" w:cs="Times New Roman" w:eastAsia="Times New Roman" w:hint="default"/>
          <w:spacing w:val="-2"/>
        </w:rPr>
        <w:t>15,126,720.00</w:t>
      </w:r>
      <w:r>
        <w:rPr>
          <w:spacing w:val="-2"/>
        </w:rPr>
        <w:t>元（含税），同时向全体股东以资本公积每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股，分配完</w:t>
      </w:r>
      <w:r>
        <w:rPr>
          <w:spacing w:val="-52"/>
        </w:rPr>
        <w:t> </w:t>
      </w:r>
      <w:r>
        <w:rPr>
          <w:spacing w:val="-52"/>
        </w:rPr>
      </w:r>
      <w:r>
        <w:rPr/>
        <w:t>成后公司股本总额增至</w:t>
      </w:r>
      <w:r>
        <w:rPr>
          <w:rFonts w:ascii="Times New Roman" w:hAnsi="Times New Roman" w:cs="Times New Roman" w:eastAsia="Times New Roman" w:hint="default"/>
        </w:rPr>
        <w:t>129,657,600</w:t>
      </w:r>
      <w:r>
        <w:rPr/>
        <w:t>股。上述议案尚需提交</w:t>
      </w:r>
      <w:r>
        <w:rPr>
          <w:rFonts w:ascii="Times New Roman" w:hAnsi="Times New Roman" w:cs="Times New Roman" w:eastAsia="Times New Roman" w:hint="default"/>
        </w:rPr>
        <w:t>2017</w:t>
      </w:r>
      <w:r>
        <w:rPr/>
        <w:t>年年度股东大会审议通过。</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54,685,146.71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38,301,620.49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36,731,975.96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253"/>
        <w:gridCol w:w="1004"/>
        <w:gridCol w:w="994"/>
        <w:gridCol w:w="3543"/>
        <w:gridCol w:w="994"/>
        <w:gridCol w:w="991"/>
        <w:gridCol w:w="877"/>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004"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0"/>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004"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1076"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4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本人所持有的公司股票扣除公开发售后（如 </w:t>
            </w:r>
            <w:r>
              <w:rPr>
                <w:rFonts w:ascii="宋体" w:hAnsi="宋体" w:cs="宋体" w:eastAsia="宋体" w:hint="default"/>
                <w:spacing w:val="-6"/>
                <w:sz w:val="18"/>
                <w:szCs w:val="18"/>
              </w:rPr>
              <w:t>有）的部分自公司股票上市之日起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不转让或委托他人管理其发行前所持公司股 份，也不由公司回购该部分股份。所持股票 在锁定期后两年内减持的，其减持价格不低 于发行价。公司上市后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个交易日的收盘价均低于发行价，或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人所持有的公司股票的锁定期限自动延长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994" w:type="dxa"/>
            <w:vMerge w:val="restart"/>
            <w:tcBorders>
              <w:top w:val="single" w:sz="4" w:space="0" w:color="000000"/>
              <w:left w:val="single" w:sz="4" w:space="0" w:color="000000"/>
              <w:right w:val="single" w:sz="4" w:space="0" w:color="000000"/>
            </w:tcBorders>
          </w:tcPr>
          <w:p>
            <w:pPr>
              <w:pStyle w:val="TableParagraph"/>
              <w:spacing w:line="1227" w:lineRule="exact"/>
              <w:ind w:right="-50"/>
              <w:jc w:val="left"/>
              <w:rPr>
                <w:rFonts w:ascii="宋体" w:hAnsi="宋体" w:cs="宋体" w:eastAsia="宋体" w:hint="default"/>
                <w:sz w:val="20"/>
                <w:szCs w:val="20"/>
              </w:rPr>
            </w:pPr>
            <w:r>
              <w:rPr>
                <w:rFonts w:ascii="宋体" w:hAnsi="宋体" w:cs="宋体" w:eastAsia="宋体" w:hint="default"/>
                <w:position w:val="-24"/>
                <w:sz w:val="20"/>
                <w:szCs w:val="20"/>
              </w:rPr>
              <w:pict>
                <v:group style="width:49.2pt;height:61.4pt;mso-position-horizontal-relative:char;mso-position-vertical-relative:line" coordorigin="0,0" coordsize="984,1228">
                  <v:group style="position:absolute;left:0;top:0;width:984;height:1228" coordorigin="0,0" coordsize="984,1228">
                    <v:shape style="position:absolute;left:0;top:0;width:984;height:1228" coordorigin="0,0" coordsize="984,1228" path="m0,1228l983,1228,983,0,0,0,0,122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017"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50"/>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004"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354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107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192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8"/>
              <w:jc w:val="left"/>
              <w:rPr>
                <w:rFonts w:ascii="宋体" w:hAnsi="宋体" w:cs="宋体" w:eastAsia="宋体" w:hint="default"/>
                <w:sz w:val="18"/>
                <w:szCs w:val="18"/>
              </w:rPr>
            </w:pPr>
            <w:r>
              <w:rPr>
                <w:rFonts w:ascii="宋体" w:hAnsi="宋体" w:cs="宋体" w:eastAsia="宋体" w:hint="default"/>
                <w:sz w:val="18"/>
                <w:szCs w:val="18"/>
              </w:rPr>
              <w:t>其减持价格不低于发行价；在公司首次公开 发行股票并在创业板上市后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个交易日的收盘价均低于发行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价，持有公司股票的锁定期限自动延长至少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北京实地创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陈海 量</w:t>
            </w:r>
            <w:r>
              <w:rPr>
                <w:rFonts w:ascii="Times New Roman" w:hAnsi="Times New Roman" w:cs="Times New Roman" w:eastAsia="Times New Roman" w:hint="default"/>
                <w:sz w:val="18"/>
                <w:szCs w:val="18"/>
              </w:rPr>
              <w:t>;</w:t>
            </w:r>
            <w:r>
              <w:rPr>
                <w:rFonts w:ascii="宋体" w:hAnsi="宋体" w:cs="宋体" w:eastAsia="宋体" w:hint="default"/>
                <w:sz w:val="18"/>
                <w:szCs w:val="18"/>
              </w:rPr>
              <w:t>陈晶</w:t>
            </w:r>
            <w:r>
              <w:rPr>
                <w:rFonts w:ascii="Times New Roman" w:hAnsi="Times New Roman" w:cs="Times New Roman" w:eastAsia="Times New Roman" w:hint="default"/>
                <w:sz w:val="18"/>
                <w:szCs w:val="18"/>
              </w:rPr>
              <w:t>;</w:t>
            </w:r>
            <w:r>
              <w:rPr>
                <w:rFonts w:ascii="宋体" w:hAnsi="宋体" w:cs="宋体" w:eastAsia="宋体" w:hint="default"/>
                <w:sz w:val="18"/>
                <w:szCs w:val="18"/>
              </w:rPr>
              <w:t>陈 小雷</w:t>
            </w:r>
            <w:r>
              <w:rPr>
                <w:rFonts w:ascii="Times New Roman" w:hAnsi="Times New Roman" w:cs="Times New Roman" w:eastAsia="Times New Roman" w:hint="default"/>
                <w:sz w:val="18"/>
                <w:szCs w:val="18"/>
              </w:rPr>
              <w:t>;</w:t>
            </w:r>
            <w:r>
              <w:rPr>
                <w:rFonts w:ascii="宋体" w:hAnsi="宋体" w:cs="宋体" w:eastAsia="宋体" w:hint="default"/>
                <w:sz w:val="18"/>
                <w:szCs w:val="18"/>
              </w:rPr>
              <w:t>福建 省财政信息 中心</w:t>
            </w:r>
            <w:r>
              <w:rPr>
                <w:rFonts w:ascii="Times New Roman" w:hAnsi="Times New Roman" w:cs="Times New Roman" w:eastAsia="Times New Roman" w:hint="default"/>
                <w:sz w:val="18"/>
                <w:szCs w:val="18"/>
              </w:rPr>
              <w:t>;</w:t>
            </w:r>
            <w:r>
              <w:rPr>
                <w:rFonts w:ascii="宋体" w:hAnsi="宋体" w:cs="宋体" w:eastAsia="宋体" w:hint="default"/>
                <w:sz w:val="18"/>
                <w:szCs w:val="18"/>
              </w:rPr>
              <w:t>福州 市鼓楼区创 博投资管理 中心（有限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龚玉</w:t>
            </w:r>
            <w:r>
              <w:rPr>
                <w:rFonts w:ascii="宋体" w:hAnsi="宋体" w:cs="宋体" w:eastAsia="宋体" w:hint="default"/>
                <w:spacing w:val="-87"/>
                <w:sz w:val="18"/>
                <w:szCs w:val="18"/>
              </w:rPr>
              <w:t> </w:t>
            </w:r>
            <w:r>
              <w:rPr>
                <w:rFonts w:ascii="宋体" w:hAnsi="宋体" w:cs="宋体" w:eastAsia="宋体" w:hint="default"/>
                <w:sz w:val="18"/>
                <w:szCs w:val="18"/>
              </w:rPr>
              <w:t>松</w:t>
            </w:r>
            <w:r>
              <w:rPr>
                <w:rFonts w:ascii="Times New Roman" w:hAnsi="Times New Roman" w:cs="Times New Roman" w:eastAsia="Times New Roman" w:hint="default"/>
                <w:sz w:val="18"/>
                <w:szCs w:val="18"/>
              </w:rPr>
              <w:t>;</w:t>
            </w:r>
            <w:r>
              <w:rPr>
                <w:rFonts w:ascii="宋体" w:hAnsi="宋体" w:cs="宋体" w:eastAsia="宋体" w:hint="default"/>
                <w:sz w:val="18"/>
                <w:szCs w:val="18"/>
              </w:rPr>
              <w:t>侯祥钦</w:t>
            </w:r>
            <w:r>
              <w:rPr>
                <w:rFonts w:ascii="Times New Roman" w:hAnsi="Times New Roman" w:cs="Times New Roman" w:eastAsia="Times New Roman" w:hint="default"/>
                <w:sz w:val="18"/>
                <w:szCs w:val="18"/>
              </w:rPr>
              <w:t>; </w:t>
            </w:r>
            <w:r>
              <w:rPr>
                <w:rFonts w:ascii="宋体" w:hAnsi="宋体" w:cs="宋体" w:eastAsia="宋体" w:hint="default"/>
                <w:sz w:val="18"/>
                <w:szCs w:val="18"/>
              </w:rPr>
              <w:t>季杰</w:t>
            </w:r>
            <w:r>
              <w:rPr>
                <w:rFonts w:ascii="Times New Roman" w:hAnsi="Times New Roman" w:cs="Times New Roman" w:eastAsia="Times New Roman" w:hint="default"/>
                <w:sz w:val="18"/>
                <w:szCs w:val="18"/>
              </w:rPr>
              <w:t>;</w:t>
            </w:r>
            <w:r>
              <w:rPr>
                <w:rFonts w:ascii="宋体" w:hAnsi="宋体" w:cs="宋体" w:eastAsia="宋体" w:hint="default"/>
                <w:sz w:val="18"/>
                <w:szCs w:val="18"/>
              </w:rPr>
              <w:t>李仰 隆</w:t>
            </w:r>
            <w:r>
              <w:rPr>
                <w:rFonts w:ascii="Times New Roman" w:hAnsi="Times New Roman" w:cs="Times New Roman" w:eastAsia="Times New Roman" w:hint="default"/>
                <w:sz w:val="18"/>
                <w:szCs w:val="18"/>
              </w:rPr>
              <w:t>;</w:t>
            </w:r>
            <w:r>
              <w:rPr>
                <w:rFonts w:ascii="宋体" w:hAnsi="宋体" w:cs="宋体" w:eastAsia="宋体" w:hint="default"/>
                <w:sz w:val="18"/>
                <w:szCs w:val="18"/>
              </w:rPr>
              <w:t>练祺斌</w:t>
            </w:r>
            <w:r>
              <w:rPr>
                <w:rFonts w:ascii="Times New Roman" w:hAnsi="Times New Roman" w:cs="Times New Roman" w:eastAsia="Times New Roman" w:hint="default"/>
                <w:sz w:val="18"/>
                <w:szCs w:val="18"/>
              </w:rPr>
              <w:t>; </w:t>
            </w:r>
            <w:r>
              <w:rPr>
                <w:rFonts w:ascii="宋体" w:hAnsi="宋体" w:cs="宋体" w:eastAsia="宋体" w:hint="default"/>
                <w:sz w:val="18"/>
                <w:szCs w:val="18"/>
              </w:rPr>
              <w:t>林珠云</w:t>
            </w:r>
            <w:r>
              <w:rPr>
                <w:rFonts w:ascii="Times New Roman" w:hAnsi="Times New Roman" w:cs="Times New Roman" w:eastAsia="Times New Roman" w:hint="default"/>
                <w:sz w:val="18"/>
                <w:szCs w:val="18"/>
              </w:rPr>
              <w:t>;</w:t>
            </w:r>
            <w:r>
              <w:rPr>
                <w:rFonts w:ascii="宋体" w:hAnsi="宋体" w:cs="宋体" w:eastAsia="宋体" w:hint="default"/>
                <w:sz w:val="18"/>
                <w:szCs w:val="18"/>
              </w:rPr>
              <w:t>刘 元</w:t>
            </w:r>
            <w:r>
              <w:rPr>
                <w:rFonts w:ascii="Times New Roman" w:hAnsi="Times New Roman" w:cs="Times New Roman" w:eastAsia="Times New Roman" w:hint="default"/>
                <w:sz w:val="18"/>
                <w:szCs w:val="18"/>
              </w:rPr>
              <w:t>;</w:t>
            </w:r>
            <w:r>
              <w:rPr>
                <w:rFonts w:ascii="宋体" w:hAnsi="宋体" w:cs="宋体" w:eastAsia="宋体" w:hint="default"/>
                <w:sz w:val="18"/>
                <w:szCs w:val="18"/>
              </w:rPr>
              <w:t>毛时敏</w:t>
            </w:r>
            <w:r>
              <w:rPr>
                <w:rFonts w:ascii="Times New Roman" w:hAnsi="Times New Roman" w:cs="Times New Roman" w:eastAsia="Times New Roman" w:hint="default"/>
                <w:sz w:val="18"/>
                <w:szCs w:val="18"/>
              </w:rPr>
              <w:t>; </w:t>
            </w:r>
            <w:r>
              <w:rPr>
                <w:rFonts w:ascii="宋体" w:hAnsi="宋体" w:cs="宋体" w:eastAsia="宋体" w:hint="default"/>
                <w:sz w:val="18"/>
                <w:szCs w:val="18"/>
              </w:rPr>
              <w:t>邵志庆</w:t>
            </w:r>
            <w:r>
              <w:rPr>
                <w:rFonts w:ascii="Times New Roman" w:hAnsi="Times New Roman" w:cs="Times New Roman" w:eastAsia="Times New Roman" w:hint="default"/>
                <w:sz w:val="18"/>
                <w:szCs w:val="18"/>
              </w:rPr>
              <w:t>;</w:t>
            </w:r>
            <w:r>
              <w:rPr>
                <w:rFonts w:ascii="宋体" w:hAnsi="宋体" w:cs="宋体" w:eastAsia="宋体" w:hint="default"/>
                <w:sz w:val="18"/>
                <w:szCs w:val="18"/>
              </w:rPr>
              <w:t>苏 孝忠</w:t>
            </w:r>
            <w:r>
              <w:rPr>
                <w:rFonts w:ascii="Times New Roman" w:hAnsi="Times New Roman" w:cs="Times New Roman" w:eastAsia="Times New Roman" w:hint="default"/>
                <w:sz w:val="18"/>
                <w:szCs w:val="18"/>
              </w:rPr>
              <w:t>;</w:t>
            </w:r>
            <w:r>
              <w:rPr>
                <w:rFonts w:ascii="宋体" w:hAnsi="宋体" w:cs="宋体" w:eastAsia="宋体" w:hint="default"/>
                <w:sz w:val="18"/>
                <w:szCs w:val="18"/>
              </w:rPr>
              <w:t>汪彦</w:t>
            </w:r>
            <w:r>
              <w:rPr>
                <w:rFonts w:ascii="Times New Roman" w:hAnsi="Times New Roman" w:cs="Times New Roman" w:eastAsia="Times New Roman" w:hint="default"/>
                <w:sz w:val="18"/>
                <w:szCs w:val="18"/>
              </w:rPr>
              <w:t>; </w:t>
            </w:r>
            <w:r>
              <w:rPr>
                <w:rFonts w:ascii="宋体" w:hAnsi="宋体" w:cs="宋体" w:eastAsia="宋体" w:hint="default"/>
                <w:sz w:val="18"/>
                <w:szCs w:val="18"/>
              </w:rPr>
              <w:t>王斌</w:t>
            </w:r>
            <w:r>
              <w:rPr>
                <w:rFonts w:ascii="Times New Roman" w:hAnsi="Times New Roman" w:cs="Times New Roman" w:eastAsia="Times New Roman" w:hint="default"/>
                <w:sz w:val="18"/>
                <w:szCs w:val="18"/>
              </w:rPr>
              <w:t>;</w:t>
            </w:r>
            <w:r>
              <w:rPr>
                <w:rFonts w:ascii="宋体" w:hAnsi="宋体" w:cs="宋体" w:eastAsia="宋体" w:hint="default"/>
                <w:sz w:val="18"/>
                <w:szCs w:val="18"/>
              </w:rPr>
              <w:t>王航 宇</w:t>
            </w:r>
            <w:r>
              <w:rPr>
                <w:rFonts w:ascii="Times New Roman" w:hAnsi="Times New Roman" w:cs="Times New Roman" w:eastAsia="Times New Roman" w:hint="default"/>
                <w:sz w:val="18"/>
                <w:szCs w:val="18"/>
              </w:rPr>
              <w:t>;</w:t>
            </w:r>
            <w:r>
              <w:rPr>
                <w:rFonts w:ascii="宋体" w:hAnsi="宋体" w:cs="宋体" w:eastAsia="宋体" w:hint="default"/>
                <w:sz w:val="18"/>
                <w:szCs w:val="18"/>
              </w:rPr>
              <w:t>王建福</w:t>
            </w:r>
            <w:r>
              <w:rPr>
                <w:rFonts w:ascii="Times New Roman" w:hAnsi="Times New Roman" w:cs="Times New Roman" w:eastAsia="Times New Roman" w:hint="default"/>
                <w:sz w:val="18"/>
                <w:szCs w:val="18"/>
              </w:rPr>
              <w:t>; </w:t>
            </w:r>
            <w:r>
              <w:rPr>
                <w:rFonts w:ascii="宋体" w:hAnsi="宋体" w:cs="宋体" w:eastAsia="宋体" w:hint="default"/>
                <w:sz w:val="18"/>
                <w:szCs w:val="18"/>
              </w:rPr>
              <w:t>王俊煌</w:t>
            </w:r>
            <w:r>
              <w:rPr>
                <w:rFonts w:ascii="Times New Roman" w:hAnsi="Times New Roman" w:cs="Times New Roman" w:eastAsia="Times New Roman" w:hint="default"/>
                <w:sz w:val="18"/>
                <w:szCs w:val="18"/>
              </w:rPr>
              <w:t>;</w:t>
            </w:r>
            <w:r>
              <w:rPr>
                <w:rFonts w:ascii="宋体" w:hAnsi="宋体" w:cs="宋体" w:eastAsia="宋体" w:hint="default"/>
                <w:sz w:val="18"/>
                <w:szCs w:val="18"/>
              </w:rPr>
              <w:t>许 家晃</w:t>
            </w:r>
            <w:r>
              <w:rPr>
                <w:rFonts w:ascii="Times New Roman" w:hAnsi="Times New Roman" w:cs="Times New Roman" w:eastAsia="Times New Roman" w:hint="default"/>
                <w:sz w:val="18"/>
                <w:szCs w:val="18"/>
              </w:rPr>
              <w:t>;</w:t>
            </w:r>
            <w:r>
              <w:rPr>
                <w:rFonts w:ascii="宋体" w:hAnsi="宋体" w:cs="宋体" w:eastAsia="宋体" w:hint="default"/>
                <w:sz w:val="18"/>
                <w:szCs w:val="18"/>
              </w:rPr>
              <w:t>杨劼</w:t>
            </w:r>
            <w:r>
              <w:rPr>
                <w:rFonts w:ascii="Times New Roman" w:hAnsi="Times New Roman" w:cs="Times New Roman" w:eastAsia="Times New Roman" w:hint="default"/>
                <w:sz w:val="18"/>
                <w:szCs w:val="18"/>
              </w:rPr>
              <w:t>; </w:t>
            </w:r>
            <w:r>
              <w:rPr>
                <w:rFonts w:ascii="宋体" w:hAnsi="宋体" w:cs="宋体" w:eastAsia="宋体" w:hint="default"/>
                <w:sz w:val="18"/>
                <w:szCs w:val="18"/>
              </w:rPr>
              <w:t>曾世福</w:t>
            </w:r>
            <w:r>
              <w:rPr>
                <w:rFonts w:ascii="Times New Roman" w:hAnsi="Times New Roman" w:cs="Times New Roman" w:eastAsia="Times New Roman" w:hint="default"/>
                <w:sz w:val="18"/>
                <w:szCs w:val="18"/>
              </w:rPr>
              <w:t>;</w:t>
            </w:r>
            <w:r>
              <w:rPr>
                <w:rFonts w:ascii="宋体" w:hAnsi="宋体" w:cs="宋体" w:eastAsia="宋体" w:hint="default"/>
                <w:sz w:val="18"/>
                <w:szCs w:val="18"/>
              </w:rPr>
              <w:t>张 孝添</w:t>
            </w:r>
            <w:r>
              <w:rPr>
                <w:rFonts w:ascii="Times New Roman" w:hAnsi="Times New Roman" w:cs="Times New Roman" w:eastAsia="Times New Roman" w:hint="default"/>
                <w:sz w:val="18"/>
                <w:szCs w:val="18"/>
              </w:rPr>
              <w:t>;</w:t>
            </w:r>
            <w:r>
              <w:rPr>
                <w:rFonts w:ascii="宋体" w:hAnsi="宋体" w:cs="宋体" w:eastAsia="宋体" w:hint="default"/>
                <w:sz w:val="18"/>
                <w:szCs w:val="18"/>
              </w:rPr>
              <w:t>郑金 春</w:t>
            </w:r>
            <w:r>
              <w:rPr>
                <w:rFonts w:ascii="Times New Roman" w:hAnsi="Times New Roman" w:cs="Times New Roman" w:eastAsia="Times New Roman" w:hint="default"/>
                <w:sz w:val="18"/>
                <w:szCs w:val="18"/>
              </w:rPr>
              <w:t>;</w:t>
            </w:r>
            <w:r>
              <w:rPr>
                <w:rFonts w:ascii="宋体" w:hAnsi="宋体" w:cs="宋体" w:eastAsia="宋体" w:hint="default"/>
                <w:sz w:val="18"/>
                <w:szCs w:val="18"/>
              </w:rPr>
              <w:t>朱国华</w:t>
            </w:r>
            <w:r>
              <w:rPr>
                <w:rFonts w:ascii="Times New Roman" w:hAnsi="Times New Roman" w:cs="Times New Roman" w:eastAsia="Times New Roman" w:hint="default"/>
                <w:sz w:val="18"/>
                <w:szCs w:val="18"/>
              </w:rPr>
              <w:t>; </w:t>
            </w:r>
            <w:r>
              <w:rPr>
                <w:rFonts w:ascii="宋体" w:hAnsi="宋体" w:cs="宋体" w:eastAsia="宋体" w:hint="default"/>
                <w:sz w:val="18"/>
                <w:szCs w:val="18"/>
              </w:rPr>
              <w:t>朱红玉</w:t>
            </w:r>
            <w:r>
              <w:rPr>
                <w:rFonts w:ascii="Times New Roman" w:hAnsi="Times New Roman" w:cs="Times New Roman" w:eastAsia="Times New Roman" w:hint="default"/>
                <w:sz w:val="18"/>
                <w:szCs w:val="18"/>
              </w:rPr>
              <w:t>;</w:t>
            </w:r>
            <w:r>
              <w:rPr>
                <w:rFonts w:ascii="宋体" w:hAnsi="宋体" w:cs="宋体" w:eastAsia="宋体" w:hint="default"/>
                <w:sz w:val="18"/>
                <w:szCs w:val="18"/>
              </w:rPr>
              <w:t>卓 凯</w:t>
            </w:r>
            <w:r>
              <w:rPr>
                <w:rFonts w:ascii="Times New Roman" w:hAnsi="Times New Roman" w:cs="Times New Roman" w:eastAsia="Times New Roman" w:hint="default"/>
                <w:sz w:val="18"/>
                <w:szCs w:val="18"/>
              </w:rPr>
              <w:t>;</w:t>
            </w:r>
            <w:r>
              <w:rPr>
                <w:rFonts w:ascii="宋体" w:hAnsi="宋体" w:cs="宋体" w:eastAsia="宋体" w:hint="default"/>
                <w:sz w:val="18"/>
                <w:szCs w:val="18"/>
              </w:rPr>
              <w:t>卓勇</w:t>
            </w:r>
            <w:r>
              <w:rPr>
                <w:rFonts w:ascii="Times New Roman" w:hAnsi="Times New Roman" w:cs="Times New Roman" w:eastAsia="Times New Roman" w:hint="default"/>
                <w:sz w:val="18"/>
                <w:szCs w:val="18"/>
              </w:rPr>
              <w:t>;</w:t>
            </w:r>
            <w:r>
              <w:rPr>
                <w:rFonts w:ascii="宋体" w:hAnsi="宋体" w:cs="宋体" w:eastAsia="宋体" w:hint="default"/>
                <w:sz w:val="18"/>
                <w:szCs w:val="18"/>
              </w:rPr>
              <w:t>蔡</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敏</w:t>
            </w:r>
            <w:r>
              <w:rPr>
                <w:rFonts w:ascii="Times New Roman" w:hAnsi="Times New Roman" w:cs="Times New Roman" w:eastAsia="Times New Roman" w:hint="default"/>
                <w:sz w:val="18"/>
                <w:szCs w:val="18"/>
              </w:rPr>
              <w:t>;</w:t>
            </w:r>
            <w:r>
              <w:rPr>
                <w:rFonts w:ascii="宋体" w:hAnsi="宋体" w:cs="宋体" w:eastAsia="宋体" w:hint="default"/>
                <w:sz w:val="18"/>
                <w:szCs w:val="18"/>
              </w:rPr>
              <w:t>陈朝阳</w:t>
            </w:r>
            <w:r>
              <w:rPr>
                <w:rFonts w:ascii="Times New Roman" w:hAnsi="Times New Roman" w:cs="Times New Roman" w:eastAsia="Times New Roman" w:hint="default"/>
                <w:sz w:val="18"/>
                <w:szCs w:val="18"/>
              </w:rPr>
              <w:t>;</w:t>
            </w:r>
          </w:p>
          <w:p>
            <w:pPr>
              <w:pStyle w:val="TableParagraph"/>
              <w:spacing w:line="300" w:lineRule="auto" w:before="63"/>
              <w:ind w:left="23" w:right="137"/>
              <w:jc w:val="both"/>
              <w:rPr>
                <w:rFonts w:ascii="宋体" w:hAnsi="宋体" w:cs="宋体" w:eastAsia="宋体" w:hint="default"/>
                <w:sz w:val="18"/>
                <w:szCs w:val="18"/>
              </w:rPr>
            </w:pPr>
            <w:r>
              <w:rPr>
                <w:rFonts w:ascii="宋体" w:hAnsi="宋体" w:cs="宋体" w:eastAsia="宋体" w:hint="default"/>
                <w:sz w:val="18"/>
                <w:szCs w:val="18"/>
              </w:rPr>
              <w:t>陈昊</w:t>
            </w:r>
            <w:r>
              <w:rPr>
                <w:rFonts w:ascii="Times New Roman" w:hAnsi="Times New Roman" w:cs="Times New Roman" w:eastAsia="Times New Roman" w:hint="default"/>
                <w:sz w:val="18"/>
                <w:szCs w:val="18"/>
              </w:rPr>
              <w:t>;</w:t>
            </w:r>
            <w:r>
              <w:rPr>
                <w:rFonts w:ascii="宋体" w:hAnsi="宋体" w:cs="宋体" w:eastAsia="宋体" w:hint="default"/>
                <w:sz w:val="18"/>
                <w:szCs w:val="18"/>
              </w:rPr>
              <w:t>陈靓</w:t>
            </w:r>
            <w:r>
              <w:rPr>
                <w:rFonts w:ascii="Times New Roman" w:hAnsi="Times New Roman" w:cs="Times New Roman" w:eastAsia="Times New Roman" w:hint="default"/>
                <w:sz w:val="18"/>
                <w:szCs w:val="18"/>
              </w:rPr>
              <w:t>; </w:t>
            </w:r>
            <w:r>
              <w:rPr>
                <w:rFonts w:ascii="宋体" w:hAnsi="宋体" w:cs="宋体" w:eastAsia="宋体" w:hint="default"/>
                <w:sz w:val="18"/>
                <w:szCs w:val="18"/>
              </w:rPr>
              <w:t>陈敏华</w:t>
            </w:r>
            <w:r>
              <w:rPr>
                <w:rFonts w:ascii="Times New Roman" w:hAnsi="Times New Roman" w:cs="Times New Roman" w:eastAsia="Times New Roman" w:hint="default"/>
                <w:sz w:val="18"/>
                <w:szCs w:val="18"/>
              </w:rPr>
              <w:t>;</w:t>
            </w:r>
            <w:r>
              <w:rPr>
                <w:rFonts w:ascii="宋体" w:hAnsi="宋体" w:cs="宋体" w:eastAsia="宋体" w:hint="default"/>
                <w:sz w:val="18"/>
                <w:szCs w:val="18"/>
              </w:rPr>
              <w:t>陈 思贤</w:t>
            </w:r>
            <w:r>
              <w:rPr>
                <w:rFonts w:ascii="Times New Roman" w:hAnsi="Times New Roman" w:cs="Times New Roman" w:eastAsia="Times New Roman" w:hint="default"/>
                <w:sz w:val="18"/>
                <w:szCs w:val="18"/>
              </w:rPr>
              <w:t>;</w:t>
            </w:r>
            <w:r>
              <w:rPr>
                <w:rFonts w:ascii="宋体" w:hAnsi="宋体" w:cs="宋体" w:eastAsia="宋体" w:hint="default"/>
                <w:sz w:val="18"/>
                <w:szCs w:val="18"/>
              </w:rPr>
              <w:t>陈永 锋</w:t>
            </w:r>
            <w:r>
              <w:rPr>
                <w:rFonts w:ascii="Times New Roman" w:hAnsi="Times New Roman" w:cs="Times New Roman" w:eastAsia="Times New Roman" w:hint="default"/>
                <w:sz w:val="18"/>
                <w:szCs w:val="18"/>
              </w:rPr>
              <w:t>;</w:t>
            </w:r>
            <w:r>
              <w:rPr>
                <w:rFonts w:ascii="宋体" w:hAnsi="宋体" w:cs="宋体" w:eastAsia="宋体" w:hint="default"/>
                <w:sz w:val="18"/>
                <w:szCs w:val="18"/>
              </w:rPr>
              <w:t>禇连闽</w:t>
            </w:r>
            <w:r>
              <w:rPr>
                <w:rFonts w:ascii="Times New Roman" w:hAnsi="Times New Roman" w:cs="Times New Roman" w:eastAsia="Times New Roman" w:hint="default"/>
                <w:sz w:val="18"/>
                <w:szCs w:val="18"/>
              </w:rPr>
              <w:t>; </w:t>
            </w:r>
            <w:r>
              <w:rPr>
                <w:rFonts w:ascii="宋体" w:hAnsi="宋体" w:cs="宋体" w:eastAsia="宋体" w:hint="default"/>
                <w:sz w:val="18"/>
                <w:szCs w:val="18"/>
              </w:rPr>
              <w:t>费凌翔</w:t>
            </w:r>
            <w:r>
              <w:rPr>
                <w:rFonts w:ascii="Times New Roman" w:hAnsi="Times New Roman" w:cs="Times New Roman" w:eastAsia="Times New Roman" w:hint="default"/>
                <w:sz w:val="18"/>
                <w:szCs w:val="18"/>
              </w:rPr>
              <w:t>;</w:t>
            </w:r>
            <w:r>
              <w:rPr>
                <w:rFonts w:ascii="宋体" w:hAnsi="宋体" w:cs="宋体" w:eastAsia="宋体" w:hint="default"/>
                <w:sz w:val="18"/>
                <w:szCs w:val="18"/>
              </w:rPr>
              <w:t>高 萍</w:t>
            </w:r>
            <w:r>
              <w:rPr>
                <w:rFonts w:ascii="Times New Roman" w:hAnsi="Times New Roman" w:cs="Times New Roman" w:eastAsia="Times New Roman" w:hint="default"/>
                <w:sz w:val="18"/>
                <w:szCs w:val="18"/>
              </w:rPr>
              <w:t>;</w:t>
            </w:r>
            <w:r>
              <w:rPr>
                <w:rFonts w:ascii="宋体" w:hAnsi="宋体" w:cs="宋体" w:eastAsia="宋体" w:hint="default"/>
                <w:sz w:val="18"/>
                <w:szCs w:val="18"/>
              </w:rPr>
              <w:t>黄荣明</w:t>
            </w:r>
            <w:r>
              <w:rPr>
                <w:rFonts w:ascii="Times New Roman" w:hAnsi="Times New Roman" w:cs="Times New Roman" w:eastAsia="Times New Roman" w:hint="default"/>
                <w:sz w:val="18"/>
                <w:szCs w:val="18"/>
              </w:rPr>
              <w:t>; </w:t>
            </w:r>
            <w:r>
              <w:rPr>
                <w:rFonts w:ascii="宋体" w:hAnsi="宋体" w:cs="宋体" w:eastAsia="宋体" w:hint="default"/>
                <w:sz w:val="18"/>
                <w:szCs w:val="18"/>
              </w:rPr>
              <w:t>黄森森</w:t>
            </w:r>
            <w:r>
              <w:rPr>
                <w:rFonts w:ascii="Times New Roman" w:hAnsi="Times New Roman" w:cs="Times New Roman" w:eastAsia="Times New Roman" w:hint="default"/>
                <w:sz w:val="18"/>
                <w:szCs w:val="18"/>
              </w:rPr>
              <w:t>;</w:t>
            </w:r>
            <w:r>
              <w:rPr>
                <w:rFonts w:ascii="宋体" w:hAnsi="宋体" w:cs="宋体" w:eastAsia="宋体" w:hint="default"/>
                <w:sz w:val="18"/>
                <w:szCs w:val="18"/>
              </w:rPr>
              <w:t>黄 世国</w:t>
            </w:r>
            <w:r>
              <w:rPr>
                <w:rFonts w:ascii="Times New Roman" w:hAnsi="Times New Roman" w:cs="Times New Roman" w:eastAsia="Times New Roman" w:hint="default"/>
                <w:sz w:val="18"/>
                <w:szCs w:val="18"/>
              </w:rPr>
              <w:t>;</w:t>
            </w:r>
            <w:r>
              <w:rPr>
                <w:rFonts w:ascii="宋体" w:hAnsi="宋体" w:cs="宋体" w:eastAsia="宋体" w:hint="default"/>
                <w:sz w:val="18"/>
                <w:szCs w:val="18"/>
              </w:rPr>
              <w:t>黄忠 城</w:t>
            </w:r>
            <w:r>
              <w:rPr>
                <w:rFonts w:ascii="Times New Roman" w:hAnsi="Times New Roman" w:cs="Times New Roman" w:eastAsia="Times New Roman" w:hint="default"/>
                <w:sz w:val="18"/>
                <w:szCs w:val="18"/>
              </w:rPr>
              <w:t>;</w:t>
            </w:r>
            <w:r>
              <w:rPr>
                <w:rFonts w:ascii="宋体" w:hAnsi="宋体" w:cs="宋体" w:eastAsia="宋体" w:hint="default"/>
                <w:sz w:val="18"/>
                <w:szCs w:val="18"/>
              </w:rPr>
              <w:t>江征</w:t>
            </w:r>
            <w:r>
              <w:rPr>
                <w:rFonts w:ascii="Times New Roman" w:hAnsi="Times New Roman" w:cs="Times New Roman" w:eastAsia="Times New Roman" w:hint="default"/>
                <w:sz w:val="18"/>
                <w:szCs w:val="18"/>
              </w:rPr>
              <w:t>;</w:t>
            </w:r>
            <w:r>
              <w:rPr>
                <w:rFonts w:ascii="宋体" w:hAnsi="宋体" w:cs="宋体" w:eastAsia="宋体" w:hint="default"/>
                <w:sz w:val="18"/>
                <w:szCs w:val="18"/>
              </w:rPr>
              <w:t>蓝 晓斌</w:t>
            </w:r>
            <w:r>
              <w:rPr>
                <w:rFonts w:ascii="Times New Roman" w:hAnsi="Times New Roman" w:cs="Times New Roman" w:eastAsia="Times New Roman" w:hint="default"/>
                <w:sz w:val="18"/>
                <w:szCs w:val="18"/>
              </w:rPr>
              <w:t>;</w:t>
            </w:r>
            <w:r>
              <w:rPr>
                <w:rFonts w:ascii="宋体" w:hAnsi="宋体" w:cs="宋体" w:eastAsia="宋体" w:hint="default"/>
                <w:sz w:val="18"/>
                <w:szCs w:val="18"/>
              </w:rPr>
              <w:t>雷文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4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61"/>
              <w:ind w:left="22" w:right="-39"/>
              <w:jc w:val="left"/>
              <w:rPr>
                <w:rFonts w:ascii="宋体" w:hAnsi="宋体" w:cs="宋体" w:eastAsia="宋体" w:hint="default"/>
                <w:sz w:val="18"/>
                <w:szCs w:val="18"/>
              </w:rPr>
            </w:pPr>
            <w:r>
              <w:rPr>
                <w:rFonts w:ascii="宋体" w:hAnsi="宋体" w:cs="宋体" w:eastAsia="宋体" w:hint="default"/>
                <w:sz w:val="18"/>
                <w:szCs w:val="18"/>
              </w:rPr>
              <w:t>本人所持有的公司股票扣除公开发售后（如 </w:t>
            </w:r>
            <w:r>
              <w:rPr>
                <w:rFonts w:ascii="宋体" w:hAnsi="宋体" w:cs="宋体" w:eastAsia="宋体" w:hint="default"/>
                <w:spacing w:val="-6"/>
                <w:sz w:val="18"/>
                <w:szCs w:val="18"/>
              </w:rPr>
              <w:t>有）的部分自公司股票上市之日起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个月内，</w:t>
            </w:r>
            <w:r>
              <w:rPr>
                <w:rFonts w:ascii="宋体" w:hAnsi="宋体" w:cs="宋体" w:eastAsia="宋体" w:hint="default"/>
                <w:spacing w:val="-35"/>
                <w:sz w:val="18"/>
                <w:szCs w:val="18"/>
              </w:rPr>
              <w:t> </w:t>
            </w:r>
            <w:r>
              <w:rPr>
                <w:rFonts w:ascii="宋体" w:hAnsi="宋体" w:cs="宋体" w:eastAsia="宋体" w:hint="default"/>
                <w:sz w:val="18"/>
                <w:szCs w:val="18"/>
              </w:rPr>
              <w:t>不转让或委托他人管理其发行前所持公司股</w:t>
            </w:r>
            <w:r>
              <w:rPr>
                <w:rFonts w:ascii="宋体" w:hAnsi="宋体" w:cs="宋体" w:eastAsia="宋体" w:hint="default"/>
                <w:sz w:val="18"/>
                <w:szCs w:val="18"/>
              </w:rPr>
              <w:t> 份，也不由公司回购该部分股份。</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5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9pt;height:17.650pt;mso-position-horizontal-relative:char;mso-position-vertical-relative:line" coordorigin="0,0" coordsize="938,353">
                  <v:group style="position:absolute;left:0;top:0;width:938;height:353" coordorigin="0,0" coordsize="938,353">
                    <v:shape style="position:absolute;left:0;top:0;width:938;height:353" coordorigin="0,0" coordsize="938,353" path="m0,353l938,353,938,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4.059998pt;margin-top:433.839996pt;width:82.3pt;height:62.4pt;mso-position-horizontal-relative:page;mso-position-vertical-relative:page;z-index:-989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722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37"/>
              <w:jc w:val="both"/>
              <w:rPr>
                <w:rFonts w:ascii="宋体" w:hAnsi="宋体" w:cs="宋体" w:eastAsia="宋体" w:hint="default"/>
                <w:sz w:val="18"/>
                <w:szCs w:val="18"/>
              </w:rPr>
            </w:pPr>
            <w:r>
              <w:rPr>
                <w:rFonts w:ascii="宋体" w:hAnsi="宋体" w:cs="宋体" w:eastAsia="宋体" w:hint="default"/>
                <w:sz w:val="18"/>
                <w:szCs w:val="18"/>
              </w:rPr>
              <w:t>进</w:t>
            </w:r>
            <w:r>
              <w:rPr>
                <w:rFonts w:ascii="Times New Roman" w:hAnsi="Times New Roman" w:cs="Times New Roman" w:eastAsia="Times New Roman" w:hint="default"/>
                <w:sz w:val="18"/>
                <w:szCs w:val="18"/>
              </w:rPr>
              <w:t>;</w:t>
            </w:r>
            <w:r>
              <w:rPr>
                <w:rFonts w:ascii="宋体" w:hAnsi="宋体" w:cs="宋体" w:eastAsia="宋体" w:hint="default"/>
                <w:sz w:val="18"/>
                <w:szCs w:val="18"/>
              </w:rPr>
              <w:t>李海胜</w:t>
            </w:r>
            <w:r>
              <w:rPr>
                <w:rFonts w:ascii="Times New Roman" w:hAnsi="Times New Roman" w:cs="Times New Roman" w:eastAsia="Times New Roman" w:hint="default"/>
                <w:sz w:val="18"/>
                <w:szCs w:val="18"/>
              </w:rPr>
              <w:t>; </w:t>
            </w:r>
            <w:r>
              <w:rPr>
                <w:rFonts w:ascii="宋体" w:hAnsi="宋体" w:cs="宋体" w:eastAsia="宋体" w:hint="default"/>
                <w:sz w:val="18"/>
                <w:szCs w:val="18"/>
              </w:rPr>
              <w:t>李石松</w:t>
            </w:r>
            <w:r>
              <w:rPr>
                <w:rFonts w:ascii="Times New Roman" w:hAnsi="Times New Roman" w:cs="Times New Roman" w:eastAsia="Times New Roman" w:hint="default"/>
                <w:sz w:val="18"/>
                <w:szCs w:val="18"/>
              </w:rPr>
              <w:t>;</w:t>
            </w:r>
            <w:r>
              <w:rPr>
                <w:rFonts w:ascii="宋体" w:hAnsi="宋体" w:cs="宋体" w:eastAsia="宋体" w:hint="default"/>
                <w:sz w:val="18"/>
                <w:szCs w:val="18"/>
              </w:rPr>
              <w:t>林 光延</w:t>
            </w:r>
            <w:r>
              <w:rPr>
                <w:rFonts w:ascii="Times New Roman" w:hAnsi="Times New Roman" w:cs="Times New Roman" w:eastAsia="Times New Roman" w:hint="default"/>
                <w:sz w:val="18"/>
                <w:szCs w:val="18"/>
              </w:rPr>
              <w:t>;</w:t>
            </w:r>
            <w:r>
              <w:rPr>
                <w:rFonts w:ascii="宋体" w:hAnsi="宋体" w:cs="宋体" w:eastAsia="宋体" w:hint="default"/>
                <w:sz w:val="18"/>
                <w:szCs w:val="18"/>
              </w:rPr>
              <w:t>林文 玮</w:t>
            </w:r>
            <w:r>
              <w:rPr>
                <w:rFonts w:ascii="Times New Roman" w:hAnsi="Times New Roman" w:cs="Times New Roman" w:eastAsia="Times New Roman" w:hint="default"/>
                <w:sz w:val="18"/>
                <w:szCs w:val="18"/>
              </w:rPr>
              <w:t>;</w:t>
            </w:r>
            <w:r>
              <w:rPr>
                <w:rFonts w:ascii="宋体" w:hAnsi="宋体" w:cs="宋体" w:eastAsia="宋体" w:hint="default"/>
                <w:sz w:val="18"/>
                <w:szCs w:val="18"/>
              </w:rPr>
              <w:t>林元佩</w:t>
            </w:r>
            <w:r>
              <w:rPr>
                <w:rFonts w:ascii="Times New Roman" w:hAnsi="Times New Roman" w:cs="Times New Roman" w:eastAsia="Times New Roman" w:hint="default"/>
                <w:sz w:val="18"/>
                <w:szCs w:val="18"/>
              </w:rPr>
              <w:t>; </w:t>
            </w:r>
            <w:r>
              <w:rPr>
                <w:rFonts w:ascii="宋体" w:hAnsi="宋体" w:cs="宋体" w:eastAsia="宋体" w:hint="default"/>
                <w:sz w:val="18"/>
                <w:szCs w:val="18"/>
              </w:rPr>
              <w:t>刘福长</w:t>
            </w:r>
            <w:r>
              <w:rPr>
                <w:rFonts w:ascii="Times New Roman" w:hAnsi="Times New Roman" w:cs="Times New Roman" w:eastAsia="Times New Roman" w:hint="default"/>
                <w:sz w:val="18"/>
                <w:szCs w:val="18"/>
              </w:rPr>
              <w:t>;</w:t>
            </w:r>
            <w:r>
              <w:rPr>
                <w:rFonts w:ascii="宋体" w:hAnsi="宋体" w:cs="宋体" w:eastAsia="宋体" w:hint="default"/>
                <w:sz w:val="18"/>
                <w:szCs w:val="18"/>
              </w:rPr>
              <w:t>孙 坦</w:t>
            </w:r>
            <w:r>
              <w:rPr>
                <w:rFonts w:ascii="Times New Roman" w:hAnsi="Times New Roman" w:cs="Times New Roman" w:eastAsia="Times New Roman" w:hint="default"/>
                <w:sz w:val="18"/>
                <w:szCs w:val="18"/>
              </w:rPr>
              <w:t>;</w:t>
            </w:r>
            <w:r>
              <w:rPr>
                <w:rFonts w:ascii="宋体" w:hAnsi="宋体" w:cs="宋体" w:eastAsia="宋体" w:hint="default"/>
                <w:sz w:val="18"/>
                <w:szCs w:val="18"/>
              </w:rPr>
              <w:t>王克峰</w:t>
            </w:r>
            <w:r>
              <w:rPr>
                <w:rFonts w:ascii="Times New Roman" w:hAnsi="Times New Roman" w:cs="Times New Roman" w:eastAsia="Times New Roman" w:hint="default"/>
                <w:sz w:val="18"/>
                <w:szCs w:val="18"/>
              </w:rPr>
              <w:t>; </w:t>
            </w:r>
            <w:r>
              <w:rPr>
                <w:rFonts w:ascii="宋体" w:hAnsi="宋体" w:cs="宋体" w:eastAsia="宋体" w:hint="default"/>
                <w:sz w:val="18"/>
                <w:szCs w:val="18"/>
              </w:rPr>
              <w:t>吴振斌</w:t>
            </w:r>
            <w:r>
              <w:rPr>
                <w:rFonts w:ascii="Times New Roman" w:hAnsi="Times New Roman" w:cs="Times New Roman" w:eastAsia="Times New Roman" w:hint="default"/>
                <w:sz w:val="18"/>
                <w:szCs w:val="18"/>
              </w:rPr>
              <w:t>;</w:t>
            </w:r>
            <w:r>
              <w:rPr>
                <w:rFonts w:ascii="宋体" w:hAnsi="宋体" w:cs="宋体" w:eastAsia="宋体" w:hint="default"/>
                <w:sz w:val="18"/>
                <w:szCs w:val="18"/>
              </w:rPr>
              <w:t>阴 长涛</w:t>
            </w:r>
            <w:r>
              <w:rPr>
                <w:rFonts w:ascii="Times New Roman" w:hAnsi="Times New Roman" w:cs="Times New Roman" w:eastAsia="Times New Roman" w:hint="default"/>
                <w:sz w:val="18"/>
                <w:szCs w:val="18"/>
              </w:rPr>
              <w:t>;</w:t>
            </w:r>
            <w:r>
              <w:rPr>
                <w:rFonts w:ascii="宋体" w:hAnsi="宋体" w:cs="宋体" w:eastAsia="宋体" w:hint="default"/>
                <w:sz w:val="18"/>
                <w:szCs w:val="18"/>
              </w:rPr>
              <w:t>朱龙 强</w:t>
            </w:r>
            <w:r>
              <w:rPr>
                <w:rFonts w:ascii="Times New Roman" w:hAnsi="Times New Roman" w:cs="Times New Roman" w:eastAsia="Times New Roman" w:hint="default"/>
                <w:sz w:val="18"/>
                <w:szCs w:val="18"/>
              </w:rPr>
              <w:t>;</w:t>
            </w:r>
            <w:r>
              <w:rPr>
                <w:rFonts w:ascii="宋体" w:hAnsi="宋体" w:cs="宋体" w:eastAsia="宋体" w:hint="default"/>
                <w:sz w:val="18"/>
                <w:szCs w:val="18"/>
              </w:rPr>
              <w:t>朱鹏翔</w:t>
            </w:r>
            <w:r>
              <w:rPr>
                <w:rFonts w:ascii="Times New Roman" w:hAnsi="Times New Roman" w:cs="Times New Roman" w:eastAsia="Times New Roman" w:hint="default"/>
                <w:sz w:val="18"/>
                <w:szCs w:val="18"/>
              </w:rPr>
              <w:t>; </w:t>
            </w:r>
            <w:r>
              <w:rPr>
                <w:rFonts w:ascii="宋体" w:hAnsi="宋体" w:cs="宋体" w:eastAsia="宋体" w:hint="default"/>
                <w:sz w:val="18"/>
                <w:szCs w:val="18"/>
              </w:rPr>
              <w:t>邹亮亮</w:t>
            </w:r>
            <w:r>
              <w:rPr>
                <w:rFonts w:ascii="Times New Roman" w:hAnsi="Times New Roman" w:cs="Times New Roman" w:eastAsia="Times New Roman" w:hint="default"/>
                <w:sz w:val="18"/>
                <w:szCs w:val="18"/>
              </w:rPr>
              <w:t>;</w:t>
            </w:r>
            <w:r>
              <w:rPr>
                <w:rFonts w:ascii="宋体" w:hAnsi="宋体" w:cs="宋体" w:eastAsia="宋体" w:hint="default"/>
                <w:sz w:val="18"/>
                <w:szCs w:val="18"/>
              </w:rPr>
              <w:t>蔡 定平</w:t>
            </w:r>
            <w:r>
              <w:rPr>
                <w:rFonts w:ascii="Times New Roman" w:hAnsi="Times New Roman" w:cs="Times New Roman" w:eastAsia="Times New Roman" w:hint="default"/>
                <w:sz w:val="18"/>
                <w:szCs w:val="18"/>
              </w:rPr>
              <w:t>;</w:t>
            </w:r>
            <w:r>
              <w:rPr>
                <w:rFonts w:ascii="宋体" w:hAnsi="宋体" w:cs="宋体" w:eastAsia="宋体" w:hint="default"/>
                <w:sz w:val="18"/>
                <w:szCs w:val="18"/>
              </w:rPr>
              <w:t>陈本 宏</w:t>
            </w:r>
            <w:r>
              <w:rPr>
                <w:rFonts w:ascii="Times New Roman" w:hAnsi="Times New Roman" w:cs="Times New Roman" w:eastAsia="Times New Roman" w:hint="default"/>
                <w:sz w:val="18"/>
                <w:szCs w:val="18"/>
              </w:rPr>
              <w:t>;</w:t>
            </w:r>
            <w:r>
              <w:rPr>
                <w:rFonts w:ascii="宋体" w:hAnsi="宋体" w:cs="宋体" w:eastAsia="宋体" w:hint="default"/>
                <w:sz w:val="18"/>
                <w:szCs w:val="18"/>
              </w:rPr>
              <w:t>陈贻章</w:t>
            </w:r>
            <w:r>
              <w:rPr>
                <w:rFonts w:ascii="Times New Roman" w:hAnsi="Times New Roman" w:cs="Times New Roman" w:eastAsia="Times New Roman" w:hint="default"/>
                <w:sz w:val="18"/>
                <w:szCs w:val="18"/>
              </w:rPr>
              <w:t>; </w:t>
            </w:r>
            <w:r>
              <w:rPr>
                <w:rFonts w:ascii="宋体" w:hAnsi="宋体" w:cs="宋体" w:eastAsia="宋体" w:hint="default"/>
                <w:sz w:val="18"/>
                <w:szCs w:val="18"/>
              </w:rPr>
              <w:t>陈志雄</w:t>
            </w:r>
            <w:r>
              <w:rPr>
                <w:rFonts w:ascii="Times New Roman" w:hAnsi="Times New Roman" w:cs="Times New Roman" w:eastAsia="Times New Roman" w:hint="default"/>
                <w:sz w:val="18"/>
                <w:szCs w:val="18"/>
              </w:rPr>
              <w:t>;</w:t>
            </w:r>
            <w:r>
              <w:rPr>
                <w:rFonts w:ascii="宋体" w:hAnsi="宋体" w:cs="宋体" w:eastAsia="宋体" w:hint="default"/>
                <w:sz w:val="18"/>
                <w:szCs w:val="18"/>
              </w:rPr>
              <w:t>程 鹏远</w:t>
            </w:r>
            <w:r>
              <w:rPr>
                <w:rFonts w:ascii="Times New Roman" w:hAnsi="Times New Roman" w:cs="Times New Roman" w:eastAsia="Times New Roman" w:hint="default"/>
                <w:sz w:val="18"/>
                <w:szCs w:val="18"/>
              </w:rPr>
              <w:t>;</w:t>
            </w:r>
            <w:r>
              <w:rPr>
                <w:rFonts w:ascii="宋体" w:hAnsi="宋体" w:cs="宋体" w:eastAsia="宋体" w:hint="default"/>
                <w:sz w:val="18"/>
                <w:szCs w:val="18"/>
              </w:rPr>
              <w:t>甘华 堂</w:t>
            </w:r>
            <w:r>
              <w:rPr>
                <w:rFonts w:ascii="Times New Roman" w:hAnsi="Times New Roman" w:cs="Times New Roman" w:eastAsia="Times New Roman" w:hint="default"/>
                <w:sz w:val="18"/>
                <w:szCs w:val="18"/>
              </w:rPr>
              <w:t>;</w:t>
            </w:r>
            <w:r>
              <w:rPr>
                <w:rFonts w:ascii="宋体" w:hAnsi="宋体" w:cs="宋体" w:eastAsia="宋体" w:hint="default"/>
                <w:sz w:val="18"/>
                <w:szCs w:val="18"/>
              </w:rPr>
              <w:t>黄瑛</w:t>
            </w:r>
            <w:r>
              <w:rPr>
                <w:rFonts w:ascii="Times New Roman" w:hAnsi="Times New Roman" w:cs="Times New Roman" w:eastAsia="Times New Roman" w:hint="default"/>
                <w:sz w:val="18"/>
                <w:szCs w:val="18"/>
              </w:rPr>
              <w:t>;</w:t>
            </w:r>
            <w:r>
              <w:rPr>
                <w:rFonts w:ascii="宋体" w:hAnsi="宋体" w:cs="宋体" w:eastAsia="宋体" w:hint="default"/>
                <w:sz w:val="18"/>
                <w:szCs w:val="18"/>
              </w:rPr>
              <w:t>贾</w:t>
            </w:r>
          </w:p>
          <w:p>
            <w:pPr>
              <w:pStyle w:val="TableParagraph"/>
              <w:spacing w:line="300" w:lineRule="auto" w:before="13"/>
              <w:ind w:left="23" w:right="136"/>
              <w:jc w:val="both"/>
              <w:rPr>
                <w:rFonts w:ascii="Times New Roman" w:hAnsi="Times New Roman" w:cs="Times New Roman" w:eastAsia="Times New Roman" w:hint="default"/>
                <w:sz w:val="18"/>
                <w:szCs w:val="18"/>
              </w:rPr>
            </w:pPr>
            <w:r>
              <w:rPr>
                <w:rFonts w:ascii="宋体" w:hAnsi="宋体" w:cs="宋体" w:eastAsia="宋体" w:hint="default"/>
                <w:sz w:val="18"/>
                <w:szCs w:val="18"/>
              </w:rPr>
              <w:t>春明</w:t>
            </w:r>
            <w:r>
              <w:rPr>
                <w:rFonts w:ascii="Times New Roman" w:hAnsi="Times New Roman" w:cs="Times New Roman" w:eastAsia="Times New Roman" w:hint="default"/>
                <w:sz w:val="18"/>
                <w:szCs w:val="18"/>
              </w:rPr>
              <w:t>;</w:t>
            </w:r>
            <w:r>
              <w:rPr>
                <w:rFonts w:ascii="宋体" w:hAnsi="宋体" w:cs="宋体" w:eastAsia="宋体" w:hint="default"/>
                <w:sz w:val="18"/>
                <w:szCs w:val="18"/>
              </w:rPr>
              <w:t>黎涛</w:t>
            </w:r>
            <w:r>
              <w:rPr>
                <w:rFonts w:ascii="Times New Roman" w:hAnsi="Times New Roman" w:cs="Times New Roman" w:eastAsia="Times New Roman" w:hint="default"/>
                <w:sz w:val="18"/>
                <w:szCs w:val="18"/>
              </w:rPr>
              <w:t>; </w:t>
            </w:r>
            <w:r>
              <w:rPr>
                <w:rFonts w:ascii="宋体" w:hAnsi="宋体" w:cs="宋体" w:eastAsia="宋体" w:hint="default"/>
                <w:sz w:val="18"/>
                <w:szCs w:val="18"/>
              </w:rPr>
              <w:t>李中俊</w:t>
            </w:r>
            <w:r>
              <w:rPr>
                <w:rFonts w:ascii="Times New Roman" w:hAnsi="Times New Roman" w:cs="Times New Roman" w:eastAsia="Times New Roman" w:hint="default"/>
                <w:sz w:val="18"/>
                <w:szCs w:val="18"/>
              </w:rPr>
              <w:t>;</w:t>
            </w:r>
            <w:r>
              <w:rPr>
                <w:rFonts w:ascii="宋体" w:hAnsi="宋体" w:cs="宋体" w:eastAsia="宋体" w:hint="default"/>
                <w:sz w:val="18"/>
                <w:szCs w:val="18"/>
              </w:rPr>
              <w:t>廖 宜文</w:t>
            </w:r>
            <w:r>
              <w:rPr>
                <w:rFonts w:ascii="Times New Roman" w:hAnsi="Times New Roman" w:cs="Times New Roman" w:eastAsia="Times New Roman" w:hint="default"/>
                <w:sz w:val="18"/>
                <w:szCs w:val="18"/>
              </w:rPr>
              <w:t>;</w:t>
            </w:r>
            <w:r>
              <w:rPr>
                <w:rFonts w:ascii="宋体" w:hAnsi="宋体" w:cs="宋体" w:eastAsia="宋体" w:hint="default"/>
                <w:sz w:val="18"/>
                <w:szCs w:val="18"/>
              </w:rPr>
              <w:t>林峰</w:t>
            </w:r>
            <w:r>
              <w:rPr>
                <w:rFonts w:ascii="Times New Roman" w:hAnsi="Times New Roman" w:cs="Times New Roman" w:eastAsia="Times New Roman" w:hint="default"/>
                <w:sz w:val="18"/>
                <w:szCs w:val="18"/>
              </w:rPr>
              <w:t>;</w:t>
            </w:r>
          </w:p>
          <w:p>
            <w:pPr>
              <w:pStyle w:val="TableParagraph"/>
              <w:spacing w:line="300" w:lineRule="auto" w:before="13"/>
              <w:ind w:left="23" w:right="136"/>
              <w:jc w:val="both"/>
              <w:rPr>
                <w:rFonts w:ascii="宋体" w:hAnsi="宋体" w:cs="宋体" w:eastAsia="宋体" w:hint="default"/>
                <w:sz w:val="18"/>
                <w:szCs w:val="18"/>
              </w:rPr>
            </w:pPr>
            <w:r>
              <w:rPr>
                <w:rFonts w:ascii="宋体" w:hAnsi="宋体" w:cs="宋体" w:eastAsia="宋体" w:hint="default"/>
                <w:sz w:val="18"/>
                <w:szCs w:val="18"/>
              </w:rPr>
              <w:t>林徽</w:t>
            </w:r>
            <w:r>
              <w:rPr>
                <w:rFonts w:ascii="Times New Roman" w:hAnsi="Times New Roman" w:cs="Times New Roman" w:eastAsia="Times New Roman" w:hint="default"/>
                <w:sz w:val="18"/>
                <w:szCs w:val="18"/>
              </w:rPr>
              <w:t>;</w:t>
            </w:r>
            <w:r>
              <w:rPr>
                <w:rFonts w:ascii="宋体" w:hAnsi="宋体" w:cs="宋体" w:eastAsia="宋体" w:hint="default"/>
                <w:sz w:val="18"/>
                <w:szCs w:val="18"/>
              </w:rPr>
              <w:t>林杰</w:t>
            </w:r>
            <w:r>
              <w:rPr>
                <w:rFonts w:ascii="Times New Roman" w:hAnsi="Times New Roman" w:cs="Times New Roman" w:eastAsia="Times New Roman" w:hint="default"/>
                <w:sz w:val="18"/>
                <w:szCs w:val="18"/>
              </w:rPr>
              <w:t>; </w:t>
            </w:r>
            <w:r>
              <w:rPr>
                <w:rFonts w:ascii="宋体" w:hAnsi="宋体" w:cs="宋体" w:eastAsia="宋体" w:hint="default"/>
                <w:sz w:val="18"/>
                <w:szCs w:val="18"/>
              </w:rPr>
              <w:t>罗贵林</w:t>
            </w:r>
            <w:r>
              <w:rPr>
                <w:rFonts w:ascii="Times New Roman" w:hAnsi="Times New Roman" w:cs="Times New Roman" w:eastAsia="Times New Roman" w:hint="default"/>
                <w:sz w:val="18"/>
                <w:szCs w:val="18"/>
              </w:rPr>
              <w:t>;</w:t>
            </w:r>
            <w:r>
              <w:rPr>
                <w:rFonts w:ascii="宋体" w:hAnsi="宋体" w:cs="宋体" w:eastAsia="宋体" w:hint="default"/>
                <w:sz w:val="18"/>
                <w:szCs w:val="18"/>
              </w:rPr>
              <w:t>邱 晓杰</w:t>
            </w:r>
            <w:r>
              <w:rPr>
                <w:rFonts w:ascii="Times New Roman" w:hAnsi="Times New Roman" w:cs="Times New Roman" w:eastAsia="Times New Roman" w:hint="default"/>
                <w:sz w:val="18"/>
                <w:szCs w:val="18"/>
              </w:rPr>
              <w:t>;</w:t>
            </w:r>
            <w:r>
              <w:rPr>
                <w:rFonts w:ascii="宋体" w:hAnsi="宋体" w:cs="宋体" w:eastAsia="宋体" w:hint="default"/>
                <w:sz w:val="18"/>
                <w:szCs w:val="18"/>
              </w:rPr>
              <w:t>苏隽</w:t>
            </w:r>
            <w:r>
              <w:rPr>
                <w:rFonts w:ascii="Times New Roman" w:hAnsi="Times New Roman" w:cs="Times New Roman" w:eastAsia="Times New Roman" w:hint="default"/>
                <w:sz w:val="18"/>
                <w:szCs w:val="18"/>
              </w:rPr>
              <w:t>; </w:t>
            </w:r>
            <w:r>
              <w:rPr>
                <w:rFonts w:ascii="宋体" w:hAnsi="宋体" w:cs="宋体" w:eastAsia="宋体" w:hint="default"/>
                <w:sz w:val="18"/>
                <w:szCs w:val="18"/>
              </w:rPr>
              <w:t>严龙钦</w:t>
            </w:r>
            <w:r>
              <w:rPr>
                <w:rFonts w:ascii="Times New Roman" w:hAnsi="Times New Roman" w:cs="Times New Roman" w:eastAsia="Times New Roman" w:hint="default"/>
                <w:sz w:val="18"/>
                <w:szCs w:val="18"/>
              </w:rPr>
              <w:t>;</w:t>
            </w:r>
            <w:r>
              <w:rPr>
                <w:rFonts w:ascii="宋体" w:hAnsi="宋体" w:cs="宋体" w:eastAsia="宋体" w:hint="default"/>
                <w:sz w:val="18"/>
                <w:szCs w:val="18"/>
              </w:rPr>
              <w:t>余 守林</w:t>
            </w:r>
            <w:r>
              <w:rPr>
                <w:rFonts w:ascii="Times New Roman" w:hAnsi="Times New Roman" w:cs="Times New Roman" w:eastAsia="Times New Roman" w:hint="default"/>
                <w:sz w:val="18"/>
                <w:szCs w:val="18"/>
              </w:rPr>
              <w:t>;</w:t>
            </w:r>
            <w:r>
              <w:rPr>
                <w:rFonts w:ascii="宋体" w:hAnsi="宋体" w:cs="宋体" w:eastAsia="宋体" w:hint="default"/>
                <w:sz w:val="18"/>
                <w:szCs w:val="18"/>
              </w:rPr>
              <w:t>朱武</w:t>
            </w: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3" w:right="136"/>
              <w:jc w:val="both"/>
              <w:rPr>
                <w:rFonts w:ascii="宋体" w:hAnsi="宋体" w:cs="宋体" w:eastAsia="宋体" w:hint="default"/>
                <w:sz w:val="18"/>
                <w:szCs w:val="18"/>
              </w:rPr>
            </w:pP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宋体" w:hAnsi="宋体" w:cs="宋体" w:eastAsia="宋体" w:hint="default"/>
                <w:sz w:val="18"/>
                <w:szCs w:val="18"/>
              </w:rPr>
              <w:t>肖 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 </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 升尉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本人所持有的公司股票扣除公开发售后（如 </w:t>
            </w:r>
            <w:r>
              <w:rPr>
                <w:rFonts w:ascii="宋体" w:hAnsi="宋体" w:cs="宋体" w:eastAsia="宋体" w:hint="default"/>
                <w:spacing w:val="-6"/>
                <w:sz w:val="18"/>
                <w:szCs w:val="18"/>
              </w:rPr>
              <w:t>有）的部分自公司股票上市之日起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不转让或委托他人管理其发行前所持公司股 份，也不由公司回购该部分股份。所持股票 在锁定期满后两年内减持的，其减持价格不 低于发行价；在公司首次公开发行股票并在 创业板上市后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个交易日的收盘价均低于发行价，或者上市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个月期末收盘价低于发行价，持有公司</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股票的锁定期限自动延长至少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9.2pt;height:62.4pt;mso-position-horizontal-relative:char;mso-position-vertical-relative:line" coordorigin="0,0" coordsize="984,1248">
                  <v:group style="position:absolute;left:0;top:0;width:984;height:1248" coordorigin="0,0" coordsize="984,1248">
                    <v:shape style="position:absolute;left:0;top:0;width:984;height:1248" coordorigin="0,0" coordsize="984,1248" path="m0,1248l983,1248,983,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48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本人在锁定期满，遵守相关法律、法规、规 章、规范性文件及证券交易所交易规则，且 不违背本人已作出承诺的情况下，将根据本 人的资金需求、投资安排等各方面要素确定 是否减持发行人股份及减持发行人股份的数 量，在锁定期（包括延长锁定期）满两年内 每年转让的股票不超过所持股份的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 人拟减持发行人股份的，将采取大宗交易、 集中竞价或协议转让等法律允许的方式减 持。如本人确定依法减持发行人股份的，将 提前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个交易日予以公告，减持价格不低于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150"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727"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8.05pt;height:36.4pt;mso-position-horizontal-relative:char;mso-position-vertical-relative:line" coordorigin="0,0" coordsize="961,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938;height:353" coordorigin="23,11" coordsize="938,353">
                    <v:shape style="position:absolute;left:23;top:11;width:938;height:353" coordorigin="23,11" coordsize="938,353" path="m23,364l960,364,960,11,23,11,23,364xe" filled="true" fillcolor="#ffffff" stroked="false">
                      <v:path arrowok="t"/>
                      <v:fill type="solid"/>
                    </v:shape>
                  </v:group>
                  <v:group style="position:absolute;left:23;top:364;width:938;height:352" coordorigin="23,364" coordsize="938,352">
                    <v:shape style="position:absolute;left:23;top:364;width:938;height:352" coordorigin="23,364" coordsize="938,352" path="m23,716l960,716,960,364,23,364,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1.059998pt;margin-top:427.23999pt;width:55.3pt;height:147.2pt;mso-position-horizontal-relative:page;mso-position-vertical-relative:page;z-index:-989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97.179993pt;margin-top:427.23999pt;width:49.2pt;height:147.2pt;mso-position-horizontal-relative:page;mso-position-vertical-relative:page;z-index:-989104" coordorigin="7944,8545" coordsize="984,2944">
            <v:shape style="position:absolute;left:7944;top:8545;width:984;height:2944" coordorigin="7944,8545" coordsize="984,2944" path="m7944,11488l8927,11488,8927,8545,7944,8545,7944,114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首次公开发行时的发行价。本人减持发行人</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77"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股票后，将按照相关法律、法规、规章、规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范性文件及证券交易所交易规则的规定履行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信息披露义务。</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r>
      <w:tr>
        <w:trPr>
          <w:trHeight w:val="714"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福建省财政 信息中心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本机构所持发行人股票在锁定期满后两年内 无减持意向。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本公司在遵守相关法律、法规、规章、规范</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性文件及证券交易所交易规则，且不违背法</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定限售期及本公司已作出的锁定期承诺的情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况下，将根据本公司的资金需求、投资安排</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等各方面因素确定是否减持发行人股份及减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持数量，锁定期满后两年内，本公司可能减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北京实地创 业投资有限 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持本公司所持有的发行人的全部股份。本公 司拟减持发行人股份将采取大宗交易、集中 竞价或协议转让等法律允许的方式减持。如 </w:t>
            </w:r>
            <w:r>
              <w:rPr>
                <w:rFonts w:ascii="宋体" w:hAnsi="宋体" w:cs="宋体" w:eastAsia="宋体" w:hint="default"/>
                <w:spacing w:val="-4"/>
                <w:sz w:val="18"/>
                <w:szCs w:val="18"/>
              </w:rPr>
              <w:t>本公司确定依法减持发行人股份的，将提前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个交易日予以公告，减持价格按不低于发行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价及减持公告前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个交易日收盘价的算术平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均值的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二者孰低原则确定。本公司减持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发行人股票后，将按照相关法律、法规、规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章、规范性文件及证券交易所交易规则的规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定履行信息披露义务。</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为了巩固陈航对发行人的控股股东和实际控</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制人地位，明确其他董事与高级管理人员与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陈航的一致行动关系，维护公司在创业板上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市后股权和法人治理结构的稳定性，陈航于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日与担任发行人董事或高级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管理人员的所有股东，包括肖勇（发行前持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w:t>
            </w:r>
            <w:r>
              <w:rPr>
                <w:rFonts w:ascii="宋体" w:hAnsi="宋体" w:cs="宋体" w:eastAsia="宋体" w:hint="default"/>
                <w:spacing w:val="-90"/>
                <w:sz w:val="18"/>
                <w:szCs w:val="18"/>
              </w:rPr>
              <w:t>）</w:t>
            </w:r>
            <w:r>
              <w:rPr>
                <w:rFonts w:ascii="宋体" w:hAnsi="宋体" w:cs="宋体" w:eastAsia="宋体" w:hint="default"/>
                <w:sz w:val="18"/>
                <w:szCs w:val="18"/>
              </w:rPr>
              <w:t>、林初可（发行前持股比例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4.66%</w:t>
            </w:r>
            <w:r>
              <w:rPr>
                <w:rFonts w:ascii="宋体" w:hAnsi="宋体" w:cs="宋体" w:eastAsia="宋体" w:hint="default"/>
                <w:spacing w:val="-90"/>
                <w:sz w:val="18"/>
                <w:szCs w:val="18"/>
              </w:rPr>
              <w:t>）</w:t>
            </w:r>
            <w:r>
              <w:rPr>
                <w:rFonts w:ascii="宋体" w:hAnsi="宋体" w:cs="宋体" w:eastAsia="宋体" w:hint="default"/>
                <w:sz w:val="18"/>
                <w:szCs w:val="18"/>
              </w:rPr>
              <w:t>、余双兴（发行前持股比例为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00" w:lineRule="auto" w:before="142"/>
              <w:ind w:left="23" w:right="137"/>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 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 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4.18%</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郑</w:t>
            </w:r>
            <w:r>
              <w:rPr>
                <w:rFonts w:ascii="宋体" w:hAnsi="宋体" w:cs="宋体" w:eastAsia="宋体" w:hint="default"/>
                <w:spacing w:val="-2"/>
                <w:sz w:val="18"/>
                <w:szCs w:val="18"/>
              </w:rPr>
              <w:t>升</w:t>
            </w:r>
            <w:r>
              <w:rPr>
                <w:rFonts w:ascii="宋体" w:hAnsi="宋体" w:cs="宋体" w:eastAsia="宋体" w:hint="default"/>
                <w:spacing w:val="-4"/>
                <w:sz w:val="18"/>
                <w:szCs w:val="18"/>
              </w:rPr>
              <w:t>尉</w:t>
            </w:r>
            <w:r>
              <w:rPr>
                <w:rFonts w:ascii="宋体" w:hAnsi="宋体" w:cs="宋体" w:eastAsia="宋体" w:hint="default"/>
                <w:sz w:val="18"/>
                <w:szCs w:val="18"/>
              </w:rPr>
              <w:t>（发行前持股比例为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及叶章明（发行前持股比例为</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3.03%</w:t>
            </w:r>
            <w:r>
              <w:rPr>
                <w:rFonts w:ascii="宋体" w:hAnsi="宋体" w:cs="宋体" w:eastAsia="宋体" w:hint="default"/>
                <w:spacing w:val="-5"/>
                <w:sz w:val="18"/>
                <w:szCs w:val="18"/>
              </w:rPr>
              <w:t>）签署了</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《一致行动协议》对一致行动的事项范围和 股份限售期安排作出了如下约定：</w:t>
            </w:r>
            <w:r>
              <w:rPr>
                <w:rFonts w:ascii="Times New Roman" w:hAnsi="Times New Roman" w:cs="Times New Roman" w:eastAsia="Times New Roman" w:hint="default"/>
                <w:sz w:val="18"/>
                <w:szCs w:val="18"/>
              </w:rPr>
              <w:t>"</w:t>
            </w:r>
            <w:r>
              <w:rPr>
                <w:rFonts w:ascii="宋体" w:hAnsi="宋体" w:cs="宋体" w:eastAsia="宋体" w:hint="default"/>
                <w:sz w:val="18"/>
                <w:szCs w:val="18"/>
              </w:rPr>
              <w:t>一、甲方</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（即陈航</w:t>
            </w:r>
            <w:r>
              <w:rPr>
                <w:rFonts w:ascii="宋体" w:hAnsi="宋体" w:cs="宋体" w:eastAsia="宋体" w:hint="default"/>
                <w:spacing w:val="-90"/>
                <w:sz w:val="18"/>
                <w:szCs w:val="18"/>
              </w:rPr>
              <w:t>）</w:t>
            </w:r>
            <w:r>
              <w:rPr>
                <w:rFonts w:ascii="宋体" w:hAnsi="宋体" w:cs="宋体" w:eastAsia="宋体" w:hint="default"/>
                <w:sz w:val="18"/>
                <w:szCs w:val="18"/>
              </w:rPr>
              <w:t>、乙方（即肖勇、林初可等五人）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共同确认并承诺：在本协议有效期内，在处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理有关需经发行人董事会、股东大会审议批</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准的事项时，乙方应无条件与甲方保持一致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行动，甲方、乙方保持一致行动的具体方式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在行使董事会、股东大会提案权时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保持一致。任何一方拟向发行人董事会、股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东大会提出议案时，须与其他方进行充分沟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通协商，在取得一致意见后，由各方共同向</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47.037003pt;margin-top:72.47998pt;width:199.35pt;height:579.3pt;mso-position-horizontal-relative:page;mso-position-vertical-relative:page;z-index:-989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360" w:right="0" w:firstLine="1080"/>
                    <w:jc w:val="left"/>
                  </w:pPr>
                  <w:r>
                    <w:rPr/>
                    <w:t>股东大会提出议案，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636" w:lineRule="auto" w:before="123"/>
                    <w:ind w:left="0" w:right="924" w:firstLine="360"/>
                    <w:jc w:val="left"/>
                  </w:pPr>
                  <w:r>
                    <w:rPr/>
                    <w:t>如需对本协议做必要修改或补充， 任何一方不得擅自变更或解除本协议。</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80"/>
      </w:tblGrid>
      <w:tr>
        <w:trPr>
          <w:trHeight w:val="1159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发行人董事会、股东大会提出议案。如果各 方不能取得一致意见，甲方可以独自或联合 其他方向发行人董事会、 乙方不能单独或联合除甲方外的其他方向发 行人董事会、股东大会提出议案。</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在行使 董事会、股东大会表决权时保持一致。发行 人董事会、股东大会召开前，各方应就董事 会、股东大会拟进行表决的议案进行充分沟 通协商，就行使何种表决权达成一致意见， 并按照该一致意见在发行人董事会、股东大 会上对该等议案行使表决权。如果经充分沟 通协商，不能达成一致意见，乙方均应按照 甲方意见在发行人董事会、股东大会上行使 表决权。二、各方承诺将严格遵守中国证券 监督管理委员会及证券交易所对其所持发行 </w:t>
            </w:r>
            <w:r>
              <w:rPr>
                <w:rFonts w:ascii="宋体" w:hAnsi="宋体" w:cs="宋体" w:eastAsia="宋体" w:hint="default"/>
                <w:spacing w:val="-5"/>
                <w:sz w:val="18"/>
                <w:szCs w:val="18"/>
              </w:rPr>
              <w:t>人股份的锁定期的相关要求：（</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）自发行人</w:t>
            </w:r>
            <w:r>
              <w:rPr>
                <w:rFonts w:ascii="宋体" w:hAnsi="宋体" w:cs="宋体" w:eastAsia="宋体" w:hint="default"/>
                <w:spacing w:val="-80"/>
                <w:sz w:val="18"/>
                <w:szCs w:val="18"/>
              </w:rPr>
              <w:t> </w:t>
            </w:r>
            <w:r>
              <w:rPr>
                <w:rFonts w:ascii="宋体" w:hAnsi="宋体" w:cs="宋体" w:eastAsia="宋体" w:hint="default"/>
                <w:sz w:val="18"/>
                <w:szCs w:val="18"/>
              </w:rPr>
              <w:t>股票上市之日起三十六个月内，各方不得转 让或者委托他人管理本人直接或间接持有的 发行人公开发行股票前已发行的股份，也不 得由发行人回购本人直接或间接持有的发行 </w:t>
            </w:r>
            <w:r>
              <w:rPr>
                <w:rFonts w:ascii="宋体" w:hAnsi="宋体" w:cs="宋体" w:eastAsia="宋体" w:hint="default"/>
                <w:spacing w:val="-5"/>
                <w:sz w:val="18"/>
                <w:szCs w:val="18"/>
              </w:rPr>
              <w:t>人公开发行股票前已发行的股份。（</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）除前</w:t>
            </w:r>
            <w:r>
              <w:rPr>
                <w:rFonts w:ascii="宋体" w:hAnsi="宋体" w:cs="宋体" w:eastAsia="宋体" w:hint="default"/>
                <w:spacing w:val="-80"/>
                <w:sz w:val="18"/>
                <w:szCs w:val="18"/>
              </w:rPr>
              <w:t> </w:t>
            </w:r>
            <w:r>
              <w:rPr>
                <w:rFonts w:ascii="宋体" w:hAnsi="宋体" w:cs="宋体" w:eastAsia="宋体" w:hint="default"/>
                <w:sz w:val="18"/>
                <w:szCs w:val="18"/>
              </w:rPr>
              <w:t>述锁定期外，其在发行人任职期间，每年转 让的股份不超过其持有的发行人股份总数的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；离职后半年内，不转让其持有的发行人</w:t>
            </w:r>
            <w:r>
              <w:rPr>
                <w:rFonts w:ascii="宋体" w:hAnsi="宋体" w:cs="宋体" w:eastAsia="宋体" w:hint="default"/>
                <w:sz w:val="18"/>
                <w:szCs w:val="18"/>
              </w:rPr>
              <w:t> 股份；在发行人首次公开发行股票并上市之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个月内申报离职的，自申报离职之日</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个月内不转让其持有的发行人股份；在</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发行人首次公开发行股票并上市之日起第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个月至第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个月之间申报离职的，自申报离</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职之日起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个月内不转让其持有的发行人股 份。三、本协议有效期：自各方共同签署本 协议之日起至发行人首次公开发行的股票上 市交易满三十六个月之日止。四、在本协议 有效期内， 应经各方共同达成书面协议。未经各方书面 同意，</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158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49.2pt;height:579.3pt;mso-position-horizontal-relative:char;mso-position-vertical-relative:line" coordorigin="0,0" coordsize="984,11586">
                  <v:group style="position:absolute;left:0;top:0;width:984;height:11586" coordorigin="0,0" coordsize="984,11586">
                    <v:shape style="position:absolute;left:0;top:0;width:984;height:11586" coordorigin="0,0" coordsize="984,11586" path="m0,11586l983,11586,983,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二次临时股东大会审议通过《关于调整公司 </w:t>
            </w:r>
            <w:r>
              <w:rPr>
                <w:rFonts w:ascii="宋体" w:hAnsi="宋体" w:cs="宋体" w:eastAsia="宋体" w:hint="default"/>
                <w:spacing w:val="-6"/>
                <w:sz w:val="18"/>
                <w:szCs w:val="18"/>
              </w:rPr>
              <w:t>上市后分红回报规划的议案》，上市后分红回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报规划如下：公司采取现金、现金与股票结 合方式分配股利；公司利润分配不得超过累 计可分配利润的范围；如公司当年度实现盈 利，在依据本章程提取法定公积金、任意公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92.037018pt;margin-top:491.439972pt;width:154.35pt;height:272pt;mso-position-horizontal-relative:page;mso-position-vertical-relative:page;z-index:-989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造成博思软件经济损失的，</w:t>
                  </w:r>
                </w:p>
              </w:txbxContent>
            </v:textbox>
            <w10:wrap type="none"/>
          </v:shape>
        </w:pict>
      </w:r>
      <w:r>
        <w:rPr/>
        <w:pict>
          <v:group style="position:absolute;margin-left:397.179993pt;margin-top:491.439972pt;width:49.2pt;height:272pt;mso-position-horizontal-relative:page;mso-position-vertical-relative:page;z-index:-989008" coordorigin="7944,9829" coordsize="984,5440">
            <v:shape style="position:absolute;left:7944;top:9829;width:984;height:5440" coordorigin="7944,9829" coordsize="984,5440" path="m7944,15269l8927,15269,8927,9829,7944,9829,7944,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积金后进行利润分配的，现金分红金额不少</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77"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于当年实现的可分配利润（以合并报表为基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础）的百分之三十。公司在每个会计年度结</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束后，由公司董事会提出分红议案，并交付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股东大会进行表决。公司接受所有股东、董</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3"/>
                <w:sz w:val="18"/>
                <w:szCs w:val="18"/>
              </w:rPr>
              <w:t>事</w:t>
            </w:r>
            <w:r>
              <w:rPr>
                <w:rFonts w:ascii="宋体" w:hAnsi="宋体" w:cs="宋体" w:eastAsia="宋体" w:hint="default"/>
                <w:sz w:val="18"/>
                <w:szCs w:val="18"/>
              </w:rPr>
              <w:t>（含独立董事</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监事对公司分红的建议和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监督。</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、截至本承诺函出具日，本人除持有博思软</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件及其控制企业股份外，不存在直接或间接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持有其他企业权益或控制其他企业的情况，</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也不存在从事与博思软件及其控制企业的主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营业务存在任何直接或间接竞争的业务或活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、博思软件本次发行及上市完成后，本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人将不从事与博思软件及其控制企业的主营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业务有任何直接或间接竞争关系的业务或活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动，也不会以任何方式（包括但不限于单独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经营、通过合资经营或拥有另一公司或企业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的股份及其他权益）直接或间接经营与博思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软件及其控制企业的主营业务构成同业竞争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的业务或活动。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、如未来本人及所控制或参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股的其他企业获得与博思软件及其控制企业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主营业务发生同业竞争或可能发生同业竞争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的商业机会，本人将立即通知博思软件，并</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尽力将该商业机会按公开合理的条件优先让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59"/>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0"/>
              <w:jc w:val="both"/>
              <w:rPr>
                <w:rFonts w:ascii="宋体" w:hAnsi="宋体" w:cs="宋体" w:eastAsia="宋体" w:hint="default"/>
                <w:sz w:val="18"/>
                <w:szCs w:val="18"/>
              </w:rPr>
            </w:pPr>
            <w:r>
              <w:rPr>
                <w:rFonts w:ascii="宋体" w:hAnsi="宋体" w:cs="宋体" w:eastAsia="宋体" w:hint="default"/>
                <w:sz w:val="18"/>
                <w:szCs w:val="18"/>
              </w:rPr>
              <w:t>予博思软件及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或其控制的企业，以确保博思 </w:t>
            </w:r>
            <w:r>
              <w:rPr>
                <w:rFonts w:ascii="宋体" w:hAnsi="宋体" w:cs="宋体" w:eastAsia="宋体" w:hint="default"/>
                <w:spacing w:val="-2"/>
                <w:sz w:val="18"/>
                <w:szCs w:val="18"/>
              </w:rPr>
              <w:t>软件及其全体股东利益不受损害。</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、如果违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反上述承诺，博思软件依据其董事会所作出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21"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的决</w:t>
            </w:r>
            <w:r>
              <w:rPr>
                <w:rFonts w:ascii="宋体" w:hAnsi="宋体" w:cs="宋体" w:eastAsia="宋体" w:hint="default"/>
                <w:spacing w:val="-13"/>
                <w:sz w:val="18"/>
                <w:szCs w:val="18"/>
              </w:rPr>
              <w:t>策</w:t>
            </w:r>
            <w:r>
              <w:rPr>
                <w:rFonts w:ascii="宋体" w:hAnsi="宋体" w:cs="宋体" w:eastAsia="宋体" w:hint="default"/>
                <w:sz w:val="18"/>
                <w:szCs w:val="18"/>
              </w:rPr>
              <w:t>（关联董事应回避表决</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有权要求本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人及本人所控制的其他企业或经济组织停止</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相应的经济活动或行为，将已经形成的有关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权益、或者合同项下的权利义务转让给独立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第三方或者按照公允价值转让给博思软件或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者其指定的第三方，并将可得利益上交博思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软件董事会。本人将促使本人所控制的其他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企业或经济组织（如需）按照博思软件的要</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求实施相关行为；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本人将赔偿博思软件因此受到的全部损失。</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项承诺情况发生后，本人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未能履行相应承诺的，则博思软件有权相应</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扣减应付本人的税后薪酬、现金分红。在相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应的承诺履行前，本人亦不转让本人所直接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或间接所持的博思软件的股份，但为履行上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述承诺而进行转让的除外。</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、本声明与承诺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函所述声明及承诺事项已经本人确认，为本</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1.037018pt;margin-top:72.47998pt;width:145.35pt;height:95.7pt;mso-position-horizontal-relative:page;mso-position-vertical-relative:page;z-index:-988960" type="#_x0000_t202" filled="false" stroked="false">
            <v:textbox inset="0,0,0,0">
              <w:txbxContent>
                <w:p>
                  <w:pPr>
                    <w:pStyle w:val="BodyText"/>
                    <w:spacing w:line="240" w:lineRule="auto" w:before="10"/>
                    <w:ind w:left="0" w:right="0"/>
                    <w:jc w:val="left"/>
                  </w:pPr>
                  <w:r>
                    <w:rPr/>
                    <w:t>对本人具有法律约束力。</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80"/>
      </w:tblGrid>
      <w:tr>
        <w:trPr>
          <w:trHeight w:val="192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人的真实意思表示， 本人自愿接受监管机关、社会公众及投资者 的监督，积极采取合法措施履行本承诺，并 </w:t>
            </w:r>
            <w:r>
              <w:rPr>
                <w:rFonts w:ascii="宋体" w:hAnsi="宋体" w:cs="宋体" w:eastAsia="宋体" w:hint="default"/>
                <w:spacing w:val="-2"/>
                <w:sz w:val="18"/>
                <w:szCs w:val="18"/>
              </w:rPr>
              <w:t>依法承担相应责任。</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、本承诺在本人控制博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思软件或担任博思软件的董事、监事、高级 管理人员期间持续有效。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49.2pt;height:95.7pt;mso-position-horizontal-relative:char;mso-position-vertical-relative:line" coordorigin="0,0" coordsize="984,1914">
                  <v:group style="position:absolute;left:0;top:0;width:984;height:1914" coordorigin="0,0" coordsize="984,1914">
                    <v:shape style="position:absolute;left:0;top:0;width:984;height:1914" coordorigin="0,0" coordsize="984,1914" path="m0,1913l983,1913,983,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一、本人及本人所控制的企业不占用、支配 公司的资金或干预公司对货币资金的经营管 理，保证不进行包括但不限于如下非经营性 </w:t>
            </w:r>
            <w:r>
              <w:rPr>
                <w:rFonts w:ascii="宋体" w:hAnsi="宋体" w:cs="宋体" w:eastAsia="宋体" w:hint="default"/>
                <w:spacing w:val="-5"/>
                <w:sz w:val="18"/>
                <w:szCs w:val="18"/>
              </w:rPr>
              <w:t>资金往来的关联交易：（</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）公司为本人及本</w:t>
            </w:r>
            <w:r>
              <w:rPr>
                <w:rFonts w:ascii="宋体" w:hAnsi="宋体" w:cs="宋体" w:eastAsia="宋体" w:hint="default"/>
                <w:spacing w:val="-80"/>
                <w:sz w:val="18"/>
                <w:szCs w:val="18"/>
              </w:rPr>
              <w:t> </w:t>
            </w:r>
            <w:r>
              <w:rPr>
                <w:rFonts w:ascii="宋体" w:hAnsi="宋体" w:cs="宋体" w:eastAsia="宋体" w:hint="default"/>
                <w:sz w:val="18"/>
                <w:szCs w:val="18"/>
              </w:rPr>
              <w:t>人所控制的企业垫支工资、福利、保险、广 告等期间费用及相互代为承担成本和其他支 </w:t>
            </w:r>
            <w:r>
              <w:rPr>
                <w:rFonts w:ascii="宋体" w:hAnsi="宋体" w:cs="宋体" w:eastAsia="宋体" w:hint="default"/>
                <w:spacing w:val="-5"/>
                <w:sz w:val="18"/>
                <w:szCs w:val="18"/>
              </w:rPr>
              <w:t>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）公司有偿或无偿地拆借公司的资金</w:t>
            </w:r>
            <w:r>
              <w:rPr>
                <w:rFonts w:ascii="宋体" w:hAnsi="宋体" w:cs="宋体" w:eastAsia="宋体" w:hint="default"/>
                <w:spacing w:val="-80"/>
                <w:sz w:val="18"/>
                <w:szCs w:val="18"/>
              </w:rPr>
              <w:t> </w:t>
            </w:r>
            <w:r>
              <w:rPr>
                <w:rFonts w:ascii="宋体" w:hAnsi="宋体" w:cs="宋体" w:eastAsia="宋体" w:hint="default"/>
                <w:spacing w:val="-5"/>
                <w:sz w:val="18"/>
                <w:szCs w:val="18"/>
              </w:rPr>
              <w:t>给本人及本人所控制的企业使用；（</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w:t>
            </w:r>
            <w:r>
              <w:rPr>
                <w:rFonts w:ascii="宋体" w:hAnsi="宋体" w:cs="宋体" w:eastAsia="宋体" w:hint="default"/>
                <w:spacing w:val="-80"/>
                <w:sz w:val="18"/>
                <w:szCs w:val="18"/>
              </w:rPr>
              <w:t> </w:t>
            </w:r>
            <w:r>
              <w:rPr>
                <w:rFonts w:ascii="宋体" w:hAnsi="宋体" w:cs="宋体" w:eastAsia="宋体" w:hint="default"/>
                <w:sz w:val="18"/>
                <w:szCs w:val="18"/>
              </w:rPr>
              <w:t>通过银行或非银行金融机构向本人及本人所 </w:t>
            </w:r>
            <w:r>
              <w:rPr>
                <w:rFonts w:ascii="宋体" w:hAnsi="宋体" w:cs="宋体" w:eastAsia="宋体" w:hint="default"/>
                <w:spacing w:val="-5"/>
                <w:sz w:val="18"/>
                <w:szCs w:val="18"/>
              </w:rPr>
              <w:t>控制的企业提供委托贷款；（</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）公司委托本</w:t>
            </w:r>
            <w:r>
              <w:rPr>
                <w:rFonts w:ascii="宋体" w:hAnsi="宋体" w:cs="宋体" w:eastAsia="宋体" w:hint="default"/>
                <w:spacing w:val="-80"/>
                <w:sz w:val="18"/>
                <w:szCs w:val="18"/>
              </w:rPr>
              <w:t> </w:t>
            </w:r>
            <w:r>
              <w:rPr>
                <w:rFonts w:ascii="宋体" w:hAnsi="宋体" w:cs="宋体" w:eastAsia="宋体" w:hint="default"/>
                <w:spacing w:val="-5"/>
                <w:sz w:val="18"/>
                <w:szCs w:val="18"/>
              </w:rPr>
              <w:t>人及本人所控制的企业进行投资活动；（</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公司为本人及本人所控制的企业开具没有真 </w:t>
            </w:r>
            <w:r>
              <w:rPr>
                <w:rFonts w:ascii="宋体" w:hAnsi="宋体" w:cs="宋体" w:eastAsia="宋体" w:hint="default"/>
                <w:spacing w:val="-5"/>
                <w:sz w:val="18"/>
                <w:szCs w:val="18"/>
              </w:rPr>
              <w:t>实交易背景的商业承兑汇票；（</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）公司代本</w:t>
            </w:r>
            <w:r>
              <w:rPr>
                <w:rFonts w:ascii="宋体" w:hAnsi="宋体" w:cs="宋体" w:eastAsia="宋体" w:hint="default"/>
                <w:spacing w:val="-80"/>
                <w:sz w:val="18"/>
                <w:szCs w:val="18"/>
              </w:rPr>
              <w:t> </w:t>
            </w:r>
            <w:r>
              <w:rPr>
                <w:rFonts w:ascii="宋体" w:hAnsi="宋体" w:cs="宋体" w:eastAsia="宋体" w:hint="default"/>
                <w:sz w:val="18"/>
                <w:szCs w:val="18"/>
              </w:rPr>
              <w:t>人及本人所控制的企业偿还债务。二、本人 保证不要求公司为本人及本人所控制的企业 提供担保，也不强制公司为他人提供担保。 三、本人及本人所控制的企业将尽量减少与 公司的关联交易。对于无法回避的任何业务 往来或交易均应按照公平、公允和等价有偿 的原则进行，交易价格应按市场公认的合理 价格确定，不会要求公司给予与第三人的条 件相比更优惠的条件，并按规定履行信息披 露义务。四、本人保证严格遵守公司章程的 规定，在股东大会对关联交易进行决策时回 避表决，与其他股东一样平等的行使股东权 利、履行股东义务，保障公司独立经营、自 主决策。上述承诺自即日起具有法律效力， 对本人及本人所控制的企业具有法律约束 力。如有违反并因此给公司造成损失，本人 及本人所控制的企业愿承担法律责任。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5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7" w:lineRule="auto"/>
              <w:ind w:left="23" w:right="56"/>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福建 博思软件股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 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 </w:t>
            </w:r>
            <w:r>
              <w:rPr>
                <w:rFonts w:ascii="宋体" w:hAnsi="宋体" w:cs="宋体" w:eastAsia="宋体" w:hint="default"/>
                <w:sz w:val="18"/>
                <w:szCs w:val="18"/>
              </w:rPr>
              <w:t>郑升尉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（一）稳定公司股份预案启动的具体条件。 公司上市之日起三年内公司股票收盘价连续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个交易日低于最近一期已披露的财务报告 载列的每股净资产，且届时情形满足证券监 管机构及深圳证券交易所上市规则关于回 购、增持等股本变动行为的规定，则应启动 </w:t>
            </w:r>
            <w:r>
              <w:rPr>
                <w:rFonts w:ascii="宋体" w:hAnsi="宋体" w:cs="宋体" w:eastAsia="宋体" w:hint="default"/>
                <w:spacing w:val="-6"/>
                <w:sz w:val="18"/>
                <w:szCs w:val="18"/>
              </w:rPr>
              <w:t>稳定公司股价措施。（二）责任主体。采取稳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定公司股价措施的责任主体包括控股股东、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公司以及公司届时在任董事（不包括独立董</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77"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事及在公司无领薪的董事，下同）和高级管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理人员。其中应采取稳定公司股价措施的董</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事和高级管理人员既包括在公司上市时任职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的董事和高级管理人员，也包括公司上市后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三年内新任职董事和高级管理人员</w:t>
            </w:r>
            <w:r>
              <w:rPr>
                <w:rFonts w:ascii="宋体" w:hAnsi="宋体" w:cs="宋体" w:eastAsia="宋体" w:hint="default"/>
                <w:spacing w:val="-103"/>
                <w:sz w:val="18"/>
                <w:szCs w:val="18"/>
              </w:rPr>
              <w:t>。</w:t>
            </w:r>
            <w:r>
              <w:rPr>
                <w:rFonts w:ascii="宋体" w:hAnsi="宋体" w:cs="宋体" w:eastAsia="宋体" w:hint="default"/>
                <w:sz w:val="18"/>
                <w:szCs w:val="18"/>
              </w:rPr>
              <w:t>（三</w:t>
            </w:r>
            <w:r>
              <w:rPr>
                <w:rFonts w:ascii="宋体" w:hAnsi="宋体" w:cs="宋体" w:eastAsia="宋体" w:hint="default"/>
                <w:spacing w:val="-11"/>
                <w:sz w:val="18"/>
                <w:szCs w:val="18"/>
              </w:rPr>
              <w:t>）</w:t>
            </w:r>
            <w:r>
              <w:rPr>
                <w:rFonts w:ascii="宋体" w:hAnsi="宋体" w:cs="宋体" w:eastAsia="宋体" w:hint="default"/>
                <w:sz w:val="18"/>
                <w:szCs w:val="18"/>
              </w:rPr>
              <w:t>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体措施。公司稳定股价的措施包括：由控股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股东增持公司股票；由公司回购公司股票；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由公司董事、高级管理人员增持公司股票；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以及公司董事会、股东大会通过的其他稳定</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股价的措施。控股股东、博思软件及其董事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及高级管理人员的股价稳定义务将按上顺序</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依次产生。采取增持股票措施应符合相关法</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律、法规、规章、规范性文件及证券交易所</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的相关规定，且增持股票的数量不会导致公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司的股权分布不符合上市条件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东陈航在触发增持义务的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个交易日内，应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公告增持博思软件股票的具体计划，披露拟</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增持股份的数量范围、价格区间、完成时间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等信息，且该计划增持总金额不得低于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2,000</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）如控股股东履行上述增持义务后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仍未达到稳定公司股价的目的，则博思软件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董事会应在控股股东完成增持计划后之日起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个交易日内公告具体股份回购方案，披露拟</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回购股份的数量范围、价格区间、完成时间</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等信息，且该计划回购总金额不得低于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2,000</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万元。该股份回购方案须由出席股东大会的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股东所持有表决权股份总数的三分之二以上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通过，且控股股东承诺投赞成票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司履行上述股份回购义务后仍未达到稳定公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司股价的目的，则公司董事、高级管理人员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应在公司完成股份回购计划之日起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日内（如期间存在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个交易日限制董事、高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级管理人员买卖公司股票，则董事、高级管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理人员应在首次满足上述条件之日后的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20+N</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个交易日内）增持博思软件股票，并且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各自累计增持金额不低于其上一年度薪酬总</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。控股股东、博思软件、董事及高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级管理人员在履行其增持或回购义务时，应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按照深圳证券交易所上市规则及其他适用的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监管规定履行相应的信息披露义务。在履行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完毕前述三项股价稳定措施后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股股东、博思软件及其董事及高级管理人员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的股价稳定义务解除。</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个月期限届满后，如</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1.037018pt;margin-top:609.459961pt;width:145.35pt;height:78pt;mso-position-horizontal-relative:page;mso-position-vertical-relative:page;z-index:-988912" type="#_x0000_t202" filled="false" stroked="false">
            <v:textbox inset="0,0,0,0">
              <w:txbxContent>
                <w:p>
                  <w:pPr>
                    <w:pStyle w:val="BodyText"/>
                    <w:spacing w:line="205" w:lineRule="exact"/>
                    <w:ind w:left="0" w:right="0"/>
                    <w:jc w:val="left"/>
                  </w:pPr>
                  <w:r>
                    <w:rPr/>
                    <w:t>如不涉及回避表决事项，</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84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果公司股票收盘价格连续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个交易日仍低于 最近一期已披露的财务报告列示的每股净资 产，则控股股东、博思软件及其董事及高级 管理人员应再次启动稳定公司股价的措施。</w:t>
            </w:r>
          </w:p>
          <w:p>
            <w:pPr>
              <w:pStyle w:val="TableParagraph"/>
              <w:spacing w:line="316" w:lineRule="auto" w:before="23"/>
              <w:ind w:left="22" w:right="21"/>
              <w:jc w:val="left"/>
              <w:rPr>
                <w:rFonts w:ascii="宋体" w:hAnsi="宋体" w:cs="宋体" w:eastAsia="宋体" w:hint="default"/>
                <w:sz w:val="18"/>
                <w:szCs w:val="18"/>
              </w:rPr>
            </w:pPr>
            <w:r>
              <w:rPr>
                <w:rFonts w:ascii="宋体" w:hAnsi="宋体" w:cs="宋体" w:eastAsia="宋体" w:hint="default"/>
                <w:sz w:val="18"/>
                <w:szCs w:val="18"/>
              </w:rPr>
              <w:t>（四）约束措施。控股股东未履行增持股票 义务，公司有权要求控股股东在限期内履行 增持股票义务，控股股东仍不履行的，公司 有权扣减其应向控股股东支付的分红，直至 控股股东履行其增持义务。公司董事、高级 管理人员未履行增持股票义务，公司有权责 令董事、高级管理人员在限期内履行增持股 票义务，董事、高级管理人员仍不履行的， 公司有权扣减其应向董事、高级管理人员支 付的扣除当地最低工资水平后的全年报酬。 公司董事、高级管理人员在任职期间连续两 次拒不履行上述增持股票义务，控股股东或 董事会、监事会、半数以上的独立董事有权 提请股东大会同意更换相关董事，公司董事 </w:t>
            </w:r>
            <w:r>
              <w:rPr>
                <w:rFonts w:ascii="宋体" w:hAnsi="宋体" w:cs="宋体" w:eastAsia="宋体" w:hint="default"/>
                <w:spacing w:val="-6"/>
                <w:sz w:val="18"/>
                <w:szCs w:val="18"/>
              </w:rPr>
              <w:t>会有权解聘相关高级管理人员。（五）其他规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定。本预案需经公司股东大会审议通过，公 司完成首次公开发行并上市后自动生效，有 效期三年。任何对本预案的修订均需经股东 大会审计通过，并经出席股东大会的股东所 持表决权股份总数的三分之二以上通过。本 预案有效期内，公司新聘任的董事、高级管 理人员应在获得提名前书面同意履行本预案 规定的董事、高级管理人员义务。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一、本人将严格遵守执行公司股东大会审议 通过的《关于公司股票上市后稳定公司股价 </w:t>
            </w:r>
            <w:r>
              <w:rPr>
                <w:rFonts w:ascii="宋体" w:hAnsi="宋体" w:cs="宋体" w:eastAsia="宋体" w:hint="default"/>
                <w:spacing w:val="-6"/>
                <w:sz w:val="18"/>
                <w:szCs w:val="18"/>
              </w:rPr>
              <w:t>的预案》，包括但不限于按照该预案的规定履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行稳定公司股价的义务并接受未能履行稳定 股价的义务时的约束措施。二、在发行人上 市后三年内，如公司根据《关于公司股票上 市后稳定公司股价的预案》就公司回购股份 事宜召开股东大会， 本人承诺将在股东大会上对符合有关法律、 法规、规范性文件及《关于公司股票上市后 稳定公司股价的预案》规定的公司回购股票 等稳定股价方案的相关决议投赞成票。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5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2pt;height:78pt;mso-position-horizontal-relative:char;mso-position-vertical-relative:line" coordorigin="0,0" coordsize="984,1560">
                  <v:group style="position:absolute;left:0;top:0;width:984;height:1560" coordorigin="0,0" coordsize="984,1560">
                    <v:shape style="position:absolute;left:0;top:0;width:984;height:1560" coordorigin="0,0" coordsize="984,1560" path="m0,1560l983,1560,983,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61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6"/>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 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 </w:t>
            </w:r>
            <w:r>
              <w:rPr>
                <w:rFonts w:ascii="宋体" w:hAnsi="宋体" w:cs="宋体" w:eastAsia="宋体" w:hint="default"/>
                <w:sz w:val="18"/>
                <w:szCs w:val="18"/>
              </w:rPr>
              <w:t>欧郁雪</w:t>
            </w:r>
            <w:r>
              <w:rPr>
                <w:rFonts w:ascii="Times New Roman" w:hAnsi="Times New Roman" w:cs="Times New Roman" w:eastAsia="Times New Roman" w:hint="default"/>
                <w:sz w:val="18"/>
                <w:szCs w:val="18"/>
              </w:rPr>
              <w:t>;</w:t>
            </w:r>
            <w:r>
              <w:rPr>
                <w:rFonts w:ascii="宋体" w:hAnsi="宋体" w:cs="宋体" w:eastAsia="宋体" w:hint="default"/>
                <w:sz w:val="18"/>
                <w:szCs w:val="18"/>
              </w:rPr>
              <w:t>陶 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2" w:lineRule="auto"/>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本人将严格遵守执行发行人股东大会审议通 过的《关于公司股票上市后稳定公司股价的 </w:t>
            </w:r>
            <w:r>
              <w:rPr>
                <w:rFonts w:ascii="宋体" w:hAnsi="宋体" w:cs="宋体" w:eastAsia="宋体" w:hint="default"/>
                <w:spacing w:val="-6"/>
                <w:sz w:val="18"/>
                <w:szCs w:val="18"/>
              </w:rPr>
              <w:t>预案》，包括但不限于按照该预案的规定履行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稳定公司股价的义务并接受未能履行稳定股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91.973999pt;margin-top:396.019989pt;width:154.4pt;height:109.25pt;mso-position-horizontal-relative:page;mso-position-vertical-relative:page;z-index:-988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高级管理人员承诺将忠实、</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1981" w:right="0"/>
                    <w:jc w:val="left"/>
                  </w:pPr>
                  <w:r>
                    <w:rPr/>
                    <w:t>、</w:t>
                  </w:r>
                </w:p>
              </w:txbxContent>
            </v:textbox>
            <w10:wrap type="none"/>
          </v:shape>
        </w:pict>
      </w:r>
      <w:r>
        <w:rPr/>
        <w:pict>
          <v:group style="position:absolute;margin-left:397.179993pt;margin-top:396.019989pt;width:49.2pt;height:109.25pt;mso-position-horizontal-relative:page;mso-position-vertical-relative:page;z-index:-988864" coordorigin="7944,7920" coordsize="984,2185">
            <v:shape style="position:absolute;left:7944;top:7920;width:984;height:2185" coordorigin="7944,7920" coordsize="984,2185" path="m7944,10105l8927,10105,8927,7920,7944,7920,7944,101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价的义务时的约束措施。</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3" w:right="137"/>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 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 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 价承诺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本人将严格遵守执行公司股东大会审议通过 的《关于公司股票上市后稳定公司股价的预 </w:t>
            </w:r>
            <w:r>
              <w:rPr>
                <w:rFonts w:ascii="宋体" w:hAnsi="宋体" w:cs="宋体" w:eastAsia="宋体" w:hint="default"/>
                <w:spacing w:val="-6"/>
                <w:sz w:val="18"/>
                <w:szCs w:val="18"/>
              </w:rPr>
              <w:t>案》，包括但不限于按照该预案的规定履行稳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定公司股价的义务，并接受未能履行稳定股 价的义务时的约束措施。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为维护广大投资者利益，增强投资者信心，</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公司承诺，将在首次公开发行股票并上市后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采取如下措施填补被摊薄即期回报：</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现有业务板块运营状况，发展态势，面临的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主要风险及改进措施。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、提高公司日常运营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89"/>
              <w:jc w:val="both"/>
              <w:rPr>
                <w:rFonts w:ascii="宋体" w:hAnsi="宋体" w:cs="宋体" w:eastAsia="宋体" w:hint="default"/>
                <w:sz w:val="18"/>
                <w:szCs w:val="18"/>
              </w:rPr>
            </w:pPr>
            <w:r>
              <w:rPr>
                <w:rFonts w:ascii="宋体" w:hAnsi="宋体" w:cs="宋体" w:eastAsia="宋体" w:hint="default"/>
                <w:sz w:val="18"/>
                <w:szCs w:val="18"/>
              </w:rPr>
              <w:t>效率，降低公司运营成本，提升公司经营业 </w:t>
            </w:r>
            <w:r>
              <w:rPr>
                <w:rFonts w:ascii="宋体" w:hAnsi="宋体" w:cs="宋体" w:eastAsia="宋体" w:hint="default"/>
                <w:spacing w:val="-5"/>
                <w:sz w:val="18"/>
                <w:szCs w:val="18"/>
              </w:rPr>
              <w:t>绩的具体措施。（</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）提高日常运营效率，降</w:t>
            </w:r>
            <w:r>
              <w:rPr>
                <w:rFonts w:ascii="宋体" w:hAnsi="宋体" w:cs="宋体" w:eastAsia="宋体" w:hint="default"/>
                <w:spacing w:val="-80"/>
                <w:sz w:val="18"/>
                <w:szCs w:val="18"/>
              </w:rPr>
              <w:t> </w:t>
            </w:r>
            <w:r>
              <w:rPr>
                <w:rFonts w:ascii="宋体" w:hAnsi="宋体" w:cs="宋体" w:eastAsia="宋体" w:hint="default"/>
                <w:spacing w:val="-5"/>
                <w:sz w:val="18"/>
                <w:szCs w:val="18"/>
              </w:rPr>
              <w:t>低公司运营成本。（</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）强化募集资金管理，</w:t>
            </w:r>
            <w:r>
              <w:rPr>
                <w:rFonts w:ascii="宋体" w:hAnsi="宋体" w:cs="宋体" w:eastAsia="宋体" w:hint="default"/>
                <w:spacing w:val="-80"/>
                <w:sz w:val="18"/>
                <w:szCs w:val="18"/>
              </w:rPr>
              <w:t> </w:t>
            </w:r>
            <w:r>
              <w:rPr>
                <w:rFonts w:ascii="宋体" w:hAnsi="宋体" w:cs="宋体" w:eastAsia="宋体" w:hint="default"/>
                <w:sz w:val="18"/>
                <w:szCs w:val="18"/>
              </w:rPr>
              <w:t>并加快募投项目的推进，提高公司的盈利能</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）稳步实施市场开拓战略，坚持技术</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创新，增加公司营业收入。</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、填补被摊薄即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期回报的其他措施。公司将通过加强公司治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理，优化内部控制机制，提升经营效率，有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效控制成本，来填补被摊薄的及其回报。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根据中国证监会相关规定以及公司章程的约</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定，公司的董事、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勤勉地履行职责，维护公司和全体股东的合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法权益，并就公司填补被摊薄即期回报措施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3" w:right="137"/>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 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林初可</w:t>
            </w:r>
            <w:r>
              <w:rPr>
                <w:rFonts w:ascii="Times New Roman" w:hAnsi="Times New Roman" w:cs="Times New Roman" w:eastAsia="Times New Roman" w:hint="default"/>
                <w:sz w:val="18"/>
                <w:szCs w:val="18"/>
              </w:rPr>
              <w:t>; </w:t>
            </w:r>
            <w:r>
              <w:rPr>
                <w:rFonts w:ascii="宋体" w:hAnsi="宋体" w:cs="宋体" w:eastAsia="宋体" w:hint="default"/>
                <w:sz w:val="18"/>
                <w:szCs w:val="18"/>
              </w:rPr>
              <w:t>陶翔宇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 敏</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 东毅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 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 </w:t>
            </w:r>
            <w:r>
              <w:rPr>
                <w:rFonts w:ascii="宋体" w:hAnsi="宋体" w:cs="宋体" w:eastAsia="宋体" w:hint="default"/>
                <w:sz w:val="18"/>
                <w:szCs w:val="18"/>
              </w:rPr>
              <w:t>郑升尉</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能够得到切实履行作出承诺如下：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、承诺不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无偿或以不公平条件向其他单位或者个人输 </w:t>
            </w:r>
            <w:r>
              <w:rPr>
                <w:rFonts w:ascii="宋体" w:hAnsi="宋体" w:cs="宋体" w:eastAsia="宋体" w:hint="default"/>
                <w:spacing w:val="-6"/>
                <w:sz w:val="18"/>
                <w:szCs w:val="18"/>
              </w:rPr>
              <w:t>送利益，也不采用其他方式损害公司利益。</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承诺对董事和高级管理人员的职务消费行为 </w:t>
            </w:r>
            <w:r>
              <w:rPr>
                <w:rFonts w:ascii="宋体" w:hAnsi="宋体" w:cs="宋体" w:eastAsia="宋体" w:hint="default"/>
                <w:spacing w:val="-2"/>
                <w:sz w:val="18"/>
                <w:szCs w:val="18"/>
              </w:rPr>
              <w:t>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、承诺不动用公司资产从事与其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董事会或薪酬委员会制定的薪酬制度与公司 填补被摊薄即期回报措施的执行情况相挂</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、如公司未来推出股权激励计划，承诺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拟公布的公司股权激励计划的行权条件与公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司填补被摊薄即期回报措施的执行情况相挂</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钩。</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本公司出具之招股说明书如有虚假记载、误</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福建博思软 件股份有限 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88"/>
              <w:jc w:val="both"/>
              <w:rPr>
                <w:rFonts w:ascii="宋体" w:hAnsi="宋体" w:cs="宋体" w:eastAsia="宋体" w:hint="default"/>
                <w:sz w:val="18"/>
                <w:szCs w:val="18"/>
              </w:rPr>
            </w:pPr>
            <w:r>
              <w:rPr>
                <w:rFonts w:ascii="宋体" w:hAnsi="宋体" w:cs="宋体" w:eastAsia="宋体" w:hint="default"/>
                <w:sz w:val="18"/>
                <w:szCs w:val="18"/>
              </w:rPr>
              <w:t>导性陈述或者重大遗漏，对判断发行人是否 符合法律规定的发行条件构成重大、实质影 响的，本公司将依法回购首次公开发行的全 部新股；致使投资者在证券交易中遭受损失</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的，将依法赔偿投资者损失。</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公司出具之招股说明书如有虚假记载、误导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6.037018pt;margin-top:90.11998pt;width:100.35pt;height:62.45pt;mso-position-horizontal-relative:page;mso-position-vertical-relative:page;z-index:-988816" type="#_x0000_t202" filled="false" stroked="false">
            <v:textbox inset="0,0,0,0">
              <w:txbxContent>
                <w:p>
                  <w:pPr>
                    <w:pStyle w:val="BodyText"/>
                    <w:spacing w:line="205" w:lineRule="exact"/>
                    <w:ind w:left="0" w:right="0"/>
                    <w:jc w:val="left"/>
                  </w:pPr>
                  <w:r>
                    <w:rPr/>
                    <w:t>实质影响的，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992"/>
        <w:gridCol w:w="994"/>
        <w:gridCol w:w="3543"/>
        <w:gridCol w:w="994"/>
        <w:gridCol w:w="991"/>
        <w:gridCol w:w="877"/>
      </w:tblGrid>
      <w:tr>
        <w:trPr>
          <w:trHeight w:val="161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8"/>
              <w:jc w:val="left"/>
              <w:rPr>
                <w:rFonts w:ascii="宋体" w:hAnsi="宋体" w:cs="宋体" w:eastAsia="宋体" w:hint="default"/>
                <w:sz w:val="18"/>
                <w:szCs w:val="18"/>
              </w:rPr>
            </w:pPr>
            <w:r>
              <w:rPr>
                <w:rFonts w:ascii="宋体" w:hAnsi="宋体" w:cs="宋体" w:eastAsia="宋体" w:hint="default"/>
                <w:sz w:val="18"/>
                <w:szCs w:val="18"/>
              </w:rPr>
              <w:t>性陈述或者重大遗漏，对判断公司是否符合 法律规定的发行条件构成重大、 本人将依法购回已转让的原限售股份；致使 投资者在证券交易中遭受损失的，将依法赔 偿投资者损失。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12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9.2pt;height:62.45pt;mso-position-horizontal-relative:char;mso-position-vertical-relative:line" coordorigin="0,0" coordsize="984,1249">
                  <v:group style="position:absolute;left:0;top:0;width:984;height:1249" coordorigin="0,0" coordsize="984,1249">
                    <v:shape style="position:absolute;left:0;top:0;width:984;height:1249" coordorigin="0,0" coordsize="984,1249" path="m0,1248l983,1248,983,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6"/>
              <w:jc w:val="both"/>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陈晶</w:t>
            </w:r>
            <w:r>
              <w:rPr>
                <w:rFonts w:ascii="Times New Roman" w:hAnsi="Times New Roman" w:cs="Times New Roman" w:eastAsia="Times New Roman" w:hint="default"/>
                <w:sz w:val="18"/>
                <w:szCs w:val="18"/>
              </w:rPr>
              <w:t>; </w:t>
            </w:r>
            <w:r>
              <w:rPr>
                <w:rFonts w:ascii="宋体" w:hAnsi="宋体" w:cs="宋体" w:eastAsia="宋体" w:hint="default"/>
                <w:sz w:val="18"/>
                <w:szCs w:val="18"/>
              </w:rPr>
              <w:t>郭其友</w:t>
            </w:r>
            <w:r>
              <w:rPr>
                <w:rFonts w:ascii="Times New Roman" w:hAnsi="Times New Roman" w:cs="Times New Roman" w:eastAsia="Times New Roman" w:hint="default"/>
                <w:sz w:val="18"/>
                <w:szCs w:val="18"/>
              </w:rPr>
              <w:t>;</w:t>
            </w:r>
            <w:r>
              <w:rPr>
                <w:rFonts w:ascii="宋体" w:hAnsi="宋体" w:cs="宋体" w:eastAsia="宋体" w:hint="default"/>
                <w:sz w:val="18"/>
                <w:szCs w:val="18"/>
              </w:rPr>
              <w:t>林 初可</w:t>
            </w:r>
            <w:r>
              <w:rPr>
                <w:rFonts w:ascii="Times New Roman" w:hAnsi="Times New Roman" w:cs="Times New Roman" w:eastAsia="Times New Roman" w:hint="default"/>
                <w:sz w:val="18"/>
                <w:szCs w:val="18"/>
              </w:rPr>
              <w:t>;</w:t>
            </w:r>
            <w:r>
              <w:rPr>
                <w:rFonts w:ascii="宋体" w:hAnsi="宋体" w:cs="宋体" w:eastAsia="宋体" w:hint="default"/>
                <w:sz w:val="18"/>
                <w:szCs w:val="18"/>
              </w:rPr>
              <w:t>毛时 敏</w:t>
            </w:r>
            <w:r>
              <w:rPr>
                <w:rFonts w:ascii="Times New Roman" w:hAnsi="Times New Roman" w:cs="Times New Roman" w:eastAsia="Times New Roman" w:hint="default"/>
                <w:sz w:val="18"/>
                <w:szCs w:val="18"/>
              </w:rPr>
              <w:t>;</w:t>
            </w:r>
            <w:r>
              <w:rPr>
                <w:rFonts w:ascii="宋体" w:hAnsi="宋体" w:cs="宋体" w:eastAsia="宋体" w:hint="default"/>
                <w:sz w:val="18"/>
                <w:szCs w:val="18"/>
              </w:rPr>
              <w:t>欧郁雪</w:t>
            </w:r>
            <w:r>
              <w:rPr>
                <w:rFonts w:ascii="Times New Roman" w:hAnsi="Times New Roman" w:cs="Times New Roman" w:eastAsia="Times New Roman" w:hint="default"/>
                <w:sz w:val="18"/>
                <w:szCs w:val="18"/>
              </w:rPr>
              <w:t>; </w:t>
            </w:r>
            <w:r>
              <w:rPr>
                <w:rFonts w:ascii="宋体" w:hAnsi="宋体" w:cs="宋体" w:eastAsia="宋体" w:hint="default"/>
                <w:sz w:val="18"/>
                <w:szCs w:val="18"/>
              </w:rPr>
              <w:t>陶翔宇</w:t>
            </w:r>
            <w:r>
              <w:rPr>
                <w:rFonts w:ascii="Times New Roman" w:hAnsi="Times New Roman" w:cs="Times New Roman" w:eastAsia="Times New Roman" w:hint="default"/>
                <w:sz w:val="18"/>
                <w:szCs w:val="18"/>
              </w:rPr>
              <w:t>;</w:t>
            </w:r>
            <w:r>
              <w:rPr>
                <w:rFonts w:ascii="宋体" w:hAnsi="宋体" w:cs="宋体" w:eastAsia="宋体" w:hint="default"/>
                <w:sz w:val="18"/>
                <w:szCs w:val="18"/>
              </w:rPr>
              <w:t>王 敏</w:t>
            </w:r>
            <w:r>
              <w:rPr>
                <w:rFonts w:ascii="Times New Roman" w:hAnsi="Times New Roman" w:cs="Times New Roman" w:eastAsia="Times New Roman" w:hint="default"/>
                <w:sz w:val="18"/>
                <w:szCs w:val="18"/>
              </w:rPr>
              <w:t>;</w:t>
            </w:r>
            <w:r>
              <w:rPr>
                <w:rFonts w:ascii="宋体" w:hAnsi="宋体" w:cs="宋体" w:eastAsia="宋体" w:hint="default"/>
                <w:sz w:val="18"/>
                <w:szCs w:val="18"/>
              </w:rPr>
              <w:t>王素珍</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 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 </w:t>
            </w:r>
            <w:r>
              <w:rPr>
                <w:rFonts w:ascii="宋体" w:hAnsi="宋体" w:cs="宋体" w:eastAsia="宋体" w:hint="default"/>
                <w:sz w:val="18"/>
                <w:szCs w:val="18"/>
              </w:rPr>
              <w:t>余双兴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 升尉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89"/>
              <w:jc w:val="both"/>
              <w:rPr>
                <w:rFonts w:ascii="宋体" w:hAnsi="宋体" w:cs="宋体" w:eastAsia="宋体" w:hint="default"/>
                <w:sz w:val="18"/>
                <w:szCs w:val="18"/>
              </w:rPr>
            </w:pPr>
            <w:r>
              <w:rPr>
                <w:rFonts w:ascii="宋体" w:hAnsi="宋体" w:cs="宋体" w:eastAsia="宋体" w:hint="default"/>
                <w:sz w:val="18"/>
                <w:szCs w:val="18"/>
              </w:rPr>
              <w:t>招股说明书如有虚假记载、误导性陈述或者 重大遗漏，致使投资者在证券交易中遭受损 失的，将依法赔偿投资者损失。</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56"/>
              <w:jc w:val="left"/>
              <w:rPr>
                <w:rFonts w:ascii="宋体" w:hAnsi="宋体" w:cs="宋体" w:eastAsia="宋体" w:hint="default"/>
                <w:sz w:val="18"/>
                <w:szCs w:val="18"/>
              </w:rPr>
            </w:pPr>
            <w:r>
              <w:rPr>
                <w:rFonts w:ascii="宋体" w:hAnsi="宋体" w:cs="宋体" w:eastAsia="宋体" w:hint="default"/>
                <w:sz w:val="18"/>
                <w:szCs w:val="18"/>
              </w:rPr>
              <w:t>北京实地创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福建 省财政信息 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8"/>
              <w:jc w:val="both"/>
              <w:rPr>
                <w:rFonts w:ascii="宋体" w:hAnsi="宋体" w:cs="宋体" w:eastAsia="宋体" w:hint="default"/>
                <w:sz w:val="18"/>
                <w:szCs w:val="18"/>
              </w:rPr>
            </w:pPr>
            <w:r>
              <w:rPr>
                <w:rFonts w:ascii="宋体" w:hAnsi="宋体" w:cs="宋体" w:eastAsia="宋体" w:hint="default"/>
                <w:sz w:val="18"/>
                <w:szCs w:val="18"/>
              </w:rPr>
              <w:t>不以任何方式谋求成为发行人的控股股东或 实际控制人、不以控制为目的而直接或间接 增持发行人的股份并不与除陈航之外的发行 人的其他股东或该股东的关联方签署与控制 权有关的任何协议（包括但不限于一致行动 协议、限制行使股东权利协议）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96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本人承诺将无条件承继林初可先生与陈航先 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日签署的《一致行动协</w:t>
            </w:r>
            <w:r>
              <w:rPr>
                <w:rFonts w:ascii="宋体" w:hAnsi="宋体" w:cs="宋体" w:eastAsia="宋体" w:hint="default"/>
                <w:sz w:val="18"/>
                <w:szCs w:val="18"/>
              </w:rPr>
              <w:t> 议》项下关于一致行动的事项范围和股份限 售期安排的如下相关义务，并按《一致行动 协议》中约定的方式与博思软件实际控制人 陈航先生保持一致行动。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992"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92" w:type="dxa"/>
            <w:vMerge w:val="restart"/>
            <w:tcBorders>
              <w:top w:val="single" w:sz="4" w:space="0" w:color="000000"/>
              <w:left w:val="single" w:sz="13" w:space="0" w:color="D2D2D2"/>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276" w:type="dxa"/>
            <w:vMerge/>
            <w:tcBorders>
              <w:left w:val="single" w:sz="4" w:space="0" w:color="000000"/>
              <w:right w:val="single" w:sz="4" w:space="0" w:color="000000"/>
            </w:tcBorders>
            <w:shd w:val="clear" w:color="auto" w:fill="D2D2D2"/>
          </w:tcPr>
          <w:p>
            <w:pPr/>
          </w:p>
        </w:tc>
        <w:tc>
          <w:tcPr>
            <w:tcW w:w="992" w:type="dxa"/>
            <w:vMerge/>
            <w:tcBorders>
              <w:left w:val="single" w:sz="13" w:space="0" w:color="D2D2D2"/>
              <w:right w:val="single" w:sz="9" w:space="0" w:color="D2D2D2"/>
            </w:tcBorders>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3543" w:type="dxa"/>
            <w:tcBorders>
              <w:top w:val="nil" w:sz="6" w:space="0" w:color="auto"/>
              <w:left w:val="single" w:sz="4" w:space="0" w:color="000000"/>
              <w:bottom w:val="nil" w:sz="6" w:space="0" w:color="auto"/>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
        </w:tc>
        <w:tc>
          <w:tcPr>
            <w:tcW w:w="991" w:type="dxa"/>
            <w:tcBorders>
              <w:top w:val="nil" w:sz="6" w:space="0" w:color="auto"/>
              <w:left w:val="single" w:sz="4" w:space="0" w:color="000000"/>
              <w:bottom w:val="nil" w:sz="6" w:space="0" w:color="auto"/>
              <w:right w:val="single" w:sz="4" w:space="0" w:color="000000"/>
            </w:tcBorders>
            <w:shd w:val="clear" w:color="auto" w:fill="D2D2D2"/>
          </w:tcPr>
          <w:p>
            <w:pPr/>
          </w:p>
        </w:tc>
        <w:tc>
          <w:tcPr>
            <w:tcW w:w="877"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13" w:space="0" w:color="D2D2D2"/>
              <w:bottom w:val="single" w:sz="4" w:space="0" w:color="000000"/>
              <w:right w:val="single" w:sz="9" w:space="0" w:color="D2D2D2"/>
            </w:tcBorders>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39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9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587"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1"/>
              <w:jc w:val="both"/>
              <w:rPr>
                <w:rFonts w:ascii="宋体" w:hAnsi="宋体" w:cs="宋体" w:eastAsia="宋体" w:hint="default"/>
                <w:sz w:val="18"/>
                <w:szCs w:val="18"/>
              </w:rPr>
            </w:pPr>
            <w:r>
              <w:rPr>
                <w:rFonts w:ascii="宋体" w:hAnsi="宋体" w:cs="宋体" w:eastAsia="宋体" w:hint="default"/>
                <w:sz w:val="18"/>
                <w:szCs w:val="18"/>
              </w:rPr>
              <w:t>内蒙古金财信 息技术有限公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1,957.27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：《关于使</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用自有资金收</w:t>
            </w:r>
          </w:p>
          <w:p>
            <w:pPr>
              <w:pStyle w:val="TableParagraph"/>
              <w:spacing w:line="316" w:lineRule="auto" w:before="76"/>
              <w:ind w:left="22" w:right="80"/>
              <w:jc w:val="both"/>
              <w:rPr>
                <w:rFonts w:ascii="宋体" w:hAnsi="宋体" w:cs="宋体" w:eastAsia="宋体" w:hint="default"/>
                <w:sz w:val="18"/>
                <w:szCs w:val="18"/>
              </w:rPr>
            </w:pPr>
            <w:r>
              <w:rPr>
                <w:rFonts w:ascii="宋体" w:hAnsi="宋体" w:cs="宋体" w:eastAsia="宋体" w:hint="default"/>
                <w:sz w:val="18"/>
                <w:szCs w:val="18"/>
              </w:rPr>
              <w:t>购内蒙古金财 信息技术有限 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2017-088</w:t>
            </w:r>
            <w:r>
              <w:rPr>
                <w:rFonts w:ascii="宋体" w:hAnsi="宋体" w:cs="宋体" w:eastAsia="宋体" w:hint="default"/>
                <w:sz w:val="18"/>
                <w:szCs w:val="18"/>
              </w:rPr>
              <w:t>）</w:t>
            </w:r>
          </w:p>
        </w:tc>
      </w:tr>
    </w:tbl>
    <w:p>
      <w:pPr>
        <w:pStyle w:val="BodyText"/>
        <w:spacing w:line="240" w:lineRule="auto" w:before="51"/>
        <w:ind w:left="1134" w:right="0"/>
        <w:jc w:val="left"/>
      </w:pPr>
      <w:r>
        <w:rPr/>
        <w:t>公司股东、交易对手方对公司或相关资产年度经营业绩作出的承诺情况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根据公司与内蒙金财（以下简称</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w:t>
      </w:r>
      <w:r>
        <w:rPr>
          <w:spacing w:val="-2"/>
        </w:rPr>
        <w:t>名原股东签订的《股权转让协议》，交易对手方承诺内蒙金财利润要满足以</w:t>
      </w:r>
      <w:r>
        <w:rPr>
          <w:spacing w:val="-45"/>
        </w:rPr>
        <w:t> </w:t>
      </w:r>
      <w:r>
        <w:rPr>
          <w:spacing w:val="-45"/>
        </w:rPr>
      </w:r>
      <w:r>
        <w:rPr/>
        <w:t>下条件（目标公司利润指标）：</w:t>
      </w:r>
    </w:p>
    <w:p>
      <w:pPr>
        <w:pStyle w:val="BodyText"/>
        <w:spacing w:line="240" w:lineRule="auto" w:before="17"/>
        <w:ind w:left="1134" w:right="0"/>
        <w:jc w:val="left"/>
      </w:pPr>
      <w:r>
        <w:rPr/>
        <w:t>①目标公司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年三年平均利润达到</w:t>
      </w:r>
      <w:r>
        <w:rPr>
          <w:rFonts w:ascii="Times New Roman" w:hAnsi="Times New Roman" w:cs="Times New Roman" w:eastAsia="Times New Roman" w:hint="default"/>
        </w:rPr>
        <w:t>1,200</w:t>
      </w:r>
      <w:r>
        <w:rPr/>
        <w:t>万，目标公司整体估值为平均利润的</w:t>
      </w:r>
      <w:r>
        <w:rPr>
          <w:rFonts w:ascii="Times New Roman" w:hAnsi="Times New Roman" w:cs="Times New Roman" w:eastAsia="Times New Roman" w:hint="default"/>
        </w:rPr>
        <w:t>10</w:t>
      </w:r>
      <w:r>
        <w:rPr/>
        <w:t>倍；</w:t>
      </w:r>
    </w:p>
    <w:p>
      <w:pPr>
        <w:pStyle w:val="BodyText"/>
        <w:spacing w:line="300" w:lineRule="auto" w:before="63"/>
        <w:ind w:right="1123"/>
        <w:jc w:val="left"/>
      </w:pPr>
      <w:r>
        <w:rPr/>
        <w:t>②目标公司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年任何单一年度利润未出现大幅下滑，以至于低于平均利润的三分之二（即</w:t>
      </w:r>
      <w:r>
        <w:rPr>
          <w:rFonts w:ascii="Times New Roman" w:hAnsi="Times New Roman" w:cs="Times New Roman" w:eastAsia="Times New Roman" w:hint="default"/>
        </w:rPr>
        <w:t>800</w:t>
      </w:r>
      <w:r>
        <w:rPr/>
        <w:t>万），如 出现上述情形各方可就目标公司整体估值和支付进度进行协商；</w:t>
      </w:r>
    </w:p>
    <w:p>
      <w:pPr>
        <w:pStyle w:val="BodyText"/>
        <w:spacing w:line="300" w:lineRule="auto" w:before="32"/>
        <w:ind w:right="0"/>
        <w:jc w:val="left"/>
      </w:pPr>
      <w:r>
        <w:rPr>
          <w:spacing w:val="-2"/>
        </w:rPr>
        <w:t>③如目标公司三年平均利润低于</w:t>
      </w:r>
      <w:r>
        <w:rPr>
          <w:rFonts w:ascii="Times New Roman" w:hAnsi="Times New Roman" w:cs="Times New Roman" w:eastAsia="Times New Roman" w:hint="default"/>
          <w:spacing w:val="-2"/>
        </w:rPr>
        <w:t>1200</w:t>
      </w:r>
      <w:r>
        <w:rPr>
          <w:spacing w:val="-2"/>
        </w:rPr>
        <w:t>万，经股权受让方同意后，最终现金支付款项将根据三年实际利润情况进行调整，以使</w:t>
      </w:r>
      <w:r>
        <w:rPr>
          <w:spacing w:val="-62"/>
        </w:rPr>
        <w:t> </w:t>
      </w:r>
      <w:r>
        <w:rPr>
          <w:spacing w:val="-62"/>
        </w:rPr>
      </w:r>
      <w:r>
        <w:rPr/>
        <w:t>最终支付款项总额</w:t>
      </w:r>
      <w:r>
        <w:rPr>
          <w:rFonts w:ascii="Times New Roman" w:hAnsi="Times New Roman" w:cs="Times New Roman" w:eastAsia="Times New Roman" w:hint="default"/>
        </w:rPr>
        <w:t>=</w:t>
      </w:r>
      <w:r>
        <w:rPr/>
        <w:t>三年平均利润</w:t>
      </w:r>
      <w:r>
        <w:rPr>
          <w:rFonts w:ascii="Times New Roman" w:hAnsi="Times New Roman" w:cs="Times New Roman" w:eastAsia="Times New Roman" w:hint="default"/>
        </w:rPr>
        <w:t>*10</w:t>
      </w:r>
      <w:r>
        <w:rPr/>
        <w:t>（壹拾）。如果出现超额支付，超额支付资金以现金形式予以退还，由此产生的相关 税费折损由股权出让方承担。</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134" w:right="1125"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日，财政部颁布《关于印发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 </w:t>
      </w:r>
      <w:r>
        <w:rPr>
          <w:spacing w:val="-1"/>
        </w:rPr>
        <w:t>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[2017]13</w:t>
      </w:r>
      <w:r>
        <w:rPr>
          <w:spacing w:val="-1"/>
        </w:rPr>
        <w:t>号</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日施行。报告期内，公司不存在持有待售的非流动资产、处置组和终止经营的资产</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组，此项会计政策变更对公司</w:t>
      </w:r>
      <w:r>
        <w:rPr>
          <w:rFonts w:ascii="Times New Roman" w:hAnsi="Times New Roman" w:cs="Times New Roman" w:eastAsia="Times New Roman" w:hint="default"/>
        </w:rPr>
        <w:t>2017</w:t>
      </w:r>
      <w:r>
        <w:rPr/>
        <w:t>年度财务报表无实质性影响。</w:t>
      </w:r>
    </w:p>
    <w:p>
      <w:pPr>
        <w:pStyle w:val="BodyText"/>
        <w:spacing w:line="300" w:lineRule="auto" w:before="63"/>
        <w:ind w:right="1129" w:firstLine="36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日，财政部颁布《关于印发修订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spacing w:val="-1"/>
        </w:rPr>
        <w:t>号），自</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日起施行。新修订的准则要求执行企业会计准则的企业对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 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日至新修订的准则施行日之间新增的政府补助根据新修订的准则进行调整。</w:t>
      </w:r>
    </w:p>
    <w:p>
      <w:pPr>
        <w:pStyle w:val="BodyText"/>
        <w:spacing w:line="307" w:lineRule="auto" w:before="13"/>
        <w:ind w:right="0" w:firstLine="433"/>
        <w:jc w:val="left"/>
      </w:pPr>
      <w:r>
        <w:rPr/>
        <w:t>本次会计政策将修改财务报表列报，与企业日常经营活动相关的政府补助，按照经济业务实质，计入其他收益或冲减 </w:t>
      </w:r>
      <w:r>
        <w:rPr>
          <w:spacing w:val="-2"/>
        </w:rPr>
        <w:t>相关成本费用；与企业日常活动无关的政府补助，计入营业外收支。报表列示，在利润表中的</w:t>
      </w:r>
      <w:r>
        <w:rPr>
          <w:rFonts w:ascii="Times New Roman" w:hAnsi="Times New Roman" w:cs="Times New Roman" w:eastAsia="Times New Roman" w:hint="default"/>
          <w:spacing w:val="-2"/>
        </w:rPr>
        <w:t>“</w:t>
      </w:r>
      <w:r>
        <w:rPr>
          <w:spacing w:val="-2"/>
        </w:rPr>
        <w:t>营业利润</w:t>
      </w:r>
      <w:r>
        <w:rPr>
          <w:rFonts w:ascii="Times New Roman" w:hAnsi="Times New Roman" w:cs="Times New Roman" w:eastAsia="Times New Roman" w:hint="default"/>
          <w:spacing w:val="-2"/>
        </w:rPr>
        <w:t>”</w:t>
      </w:r>
      <w:r>
        <w:rPr>
          <w:spacing w:val="-2"/>
        </w:rPr>
        <w:t>项目之上单独列报</w:t>
      </w:r>
      <w:r>
        <w:rPr>
          <w:spacing w:val="-43"/>
        </w:rPr>
        <w:t> </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项目。报告期内，公司与企业日常经营活动相关的政府补助计元，变更后减少当期营业外收入</w:t>
      </w:r>
      <w:r>
        <w:rPr>
          <w:rFonts w:ascii="Times New Roman" w:hAnsi="Times New Roman" w:cs="Times New Roman" w:eastAsia="Times New Roman" w:hint="default"/>
        </w:rPr>
        <w:t>7,237,978.49</w:t>
      </w:r>
      <w:r>
        <w:rPr/>
        <w:t>元， 增加其他收益</w:t>
      </w:r>
      <w:r>
        <w:rPr>
          <w:rFonts w:ascii="Times New Roman" w:hAnsi="Times New Roman" w:cs="Times New Roman" w:eastAsia="Times New Roman" w:hint="default"/>
        </w:rPr>
        <w:t>7,237,978.49</w:t>
      </w:r>
      <w:r>
        <w:rPr/>
        <w:t>元。</w:t>
      </w:r>
    </w:p>
    <w:p>
      <w:pPr>
        <w:pStyle w:val="BodyText"/>
        <w:spacing w:line="309" w:lineRule="auto" w:before="7"/>
        <w:ind w:right="1033"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日，财政部颁布《关于修订印发一般企业财务报表格式的通知》财会〔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号，新增</w:t>
      </w:r>
      <w:r>
        <w:rPr>
          <w:rFonts w:ascii="Times New Roman" w:hAnsi="Times New Roman" w:cs="Times New Roman" w:eastAsia="Times New Roman" w:hint="default"/>
          <w:spacing w:val="-2"/>
        </w:rPr>
        <w:t>“</w:t>
      </w:r>
      <w:r>
        <w:rPr>
          <w:spacing w:val="-2"/>
        </w:rPr>
        <w:t>资产处置</w:t>
      </w:r>
      <w:r>
        <w:rPr/>
        <w:t> 收益</w:t>
      </w:r>
      <w:r>
        <w:rPr>
          <w:rFonts w:ascii="Times New Roman" w:hAnsi="Times New Roman" w:cs="Times New Roman" w:eastAsia="Times New Roman" w:hint="default"/>
        </w:rPr>
        <w:t>”</w:t>
      </w:r>
      <w:r>
        <w:rPr/>
        <w:t>项目，反映企业出售划分为持有待售的非流动资产（金融工具、长期股权投资和投资性房地产除外）或处置组时确认 </w:t>
      </w:r>
      <w:r>
        <w:rPr>
          <w:spacing w:val="-2"/>
        </w:rPr>
        <w:t>的处置利得或损失，以及处置未划分为持有待售的固定资产、在建工程、生产性生物资产及无形资产而产生的处置利得或损</w:t>
      </w:r>
      <w:r>
        <w:rPr>
          <w:spacing w:val="-66"/>
        </w:rPr>
        <w:t> </w:t>
      </w:r>
      <w:r>
        <w:rPr>
          <w:spacing w:val="-66"/>
        </w:rPr>
      </w:r>
      <w:r>
        <w:rPr/>
        <w:t>失。债务重组中因处置非流动资产产生的利得或损失和非货币性资产交换产生的利得或损失也包括在本项目内。报告期内，</w:t>
      </w:r>
      <w:r>
        <w:rPr/>
        <w:t> 此项会计政策变更对公司</w:t>
      </w:r>
      <w:r>
        <w:rPr>
          <w:rFonts w:ascii="Times New Roman" w:hAnsi="Times New Roman" w:cs="Times New Roman" w:eastAsia="Times New Roman" w:hint="default"/>
        </w:rPr>
        <w:t>2017</w:t>
      </w:r>
      <w:r>
        <w:rPr/>
        <w:t>年度财务报表无实质性影响。</w:t>
      </w:r>
    </w:p>
    <w:p>
      <w:pPr>
        <w:spacing w:line="240" w:lineRule="auto" w:before="9"/>
        <w:rPr>
          <w:rFonts w:ascii="宋体" w:hAnsi="宋体" w:cs="宋体" w:eastAsia="宋体" w:hint="default"/>
          <w:sz w:val="19"/>
          <w:szCs w:val="19"/>
        </w:rPr>
      </w:pPr>
    </w:p>
    <w:p>
      <w:pPr>
        <w:pStyle w:val="Heading2"/>
        <w:spacing w:line="240" w:lineRule="auto"/>
        <w:ind w:left="1134"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18" w:firstLine="506"/>
        <w:jc w:val="left"/>
      </w:pPr>
      <w:r>
        <w:rPr>
          <w:spacing w:val="-1"/>
        </w:rPr>
        <w:t>本年公司投资设立子公司而增加并表单位为：福建博思创业园管理有限公司；同时，非同一控制下企业合并形成的控</w:t>
      </w:r>
      <w:r>
        <w:rPr/>
        <w:t> 股子公司而增加的并表单位为：内蒙古金财信息技术有限公司。详见第十一节</w:t>
      </w:r>
      <w:r>
        <w:rPr>
          <w:spacing w:val="-18"/>
        </w:rPr>
        <w:t> </w:t>
      </w:r>
      <w:r>
        <w:rPr/>
        <w:t>八、合并范围的变更。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郑丽惠 郭璇</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本报告期，公司因实施限制性股票激励计划，聘请上海荣正投资咨询有限公司为财务顾问，期间共支付财务顾问费</w:t>
      </w:r>
      <w:r>
        <w:rPr>
          <w:rFonts w:ascii="Times New Roman" w:hAnsi="Times New Roman" w:cs="Times New Roman" w:eastAsia="Times New Roman" w:hint="default"/>
        </w:rPr>
        <w:t>25</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公司报告期未发生破产重整相关事项。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33" w:right="8833" w:hanging="3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股权激励实施情况：</w:t>
      </w:r>
    </w:p>
    <w:p>
      <w:pPr>
        <w:pStyle w:val="BodyText"/>
        <w:spacing w:line="319" w:lineRule="auto" w:before="42"/>
        <w:ind w:right="1131" w:firstLine="300"/>
        <w:jc w:val="both"/>
      </w:pPr>
      <w:r>
        <w:rPr>
          <w:spacing w:val="-1"/>
        </w:rPr>
        <w:t>为了进一步建立、健全公司长效激励机制，吸引和留住优秀人才，充分调动公司骨干的积极性，有效地将股东利益、公</w:t>
      </w:r>
      <w:r>
        <w:rPr/>
        <w:t> </w:t>
      </w:r>
      <w:r>
        <w:rPr>
          <w:spacing w:val="-2"/>
        </w:rPr>
        <w:t>司利益和核心团队个人利益结合在一起，使各方共同关注公司的长远发展，报告期内，公司推出限制性股票激励计划，授予</w:t>
      </w:r>
      <w:r>
        <w:rPr>
          <w:spacing w:val="-66"/>
        </w:rPr>
        <w:t> </w:t>
      </w:r>
      <w:r>
        <w:rPr>
          <w:spacing w:val="-66"/>
        </w:rPr>
      </w:r>
      <w:r>
        <w:rPr/>
        <w:t>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日完成登记上市，股权激励人数</w:t>
      </w:r>
      <w:r>
        <w:rPr>
          <w:rFonts w:ascii="Times New Roman" w:hAnsi="Times New Roman" w:cs="Times New Roman" w:eastAsia="Times New Roman" w:hint="default"/>
        </w:rPr>
        <w:t>194</w:t>
      </w:r>
      <w:r>
        <w:rPr/>
        <w:t>人，共</w:t>
      </w:r>
      <w:r>
        <w:rPr>
          <w:rFonts w:ascii="Times New Roman" w:hAnsi="Times New Roman" w:cs="Times New Roman" w:eastAsia="Times New Roman" w:hint="default"/>
        </w:rPr>
        <w:t>389.30</w:t>
      </w:r>
      <w:r>
        <w:rPr/>
        <w:t>万股。相关审批程序如下：</w:t>
      </w:r>
    </w:p>
    <w:p>
      <w:pPr>
        <w:pStyle w:val="BodyText"/>
        <w:spacing w:line="300" w:lineRule="auto" w:before="35"/>
        <w:ind w:left="1134" w:right="1040" w:firstLine="30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日，公司召开第二届董事会第十三次会议，会议审议通过了《关于审议公司</w:t>
      </w:r>
      <w:r>
        <w:rPr>
          <w:rFonts w:ascii="Times New Roman" w:hAnsi="Times New Roman" w:cs="Times New Roman" w:eastAsia="Times New Roman" w:hint="default"/>
          <w:spacing w:val="-3"/>
        </w:rPr>
        <w:t>&lt;2017</w:t>
      </w:r>
      <w:r>
        <w:rPr>
          <w:spacing w:val="-3"/>
        </w:rPr>
        <w:t>年限制性股票激励计划（草</w:t>
      </w:r>
      <w:r>
        <w:rPr/>
        <w:t> 案）</w:t>
      </w:r>
      <w:r>
        <w:rPr>
          <w:rFonts w:ascii="Times New Roman" w:hAnsi="Times New Roman" w:cs="Times New Roman" w:eastAsia="Times New Roman" w:hint="default"/>
        </w:rPr>
        <w:t>&gt;</w:t>
      </w:r>
      <w:r>
        <w:rPr/>
        <w:t>及其摘要的议案》、《关于审议公司</w:t>
      </w:r>
      <w:r>
        <w:rPr>
          <w:rFonts w:ascii="Times New Roman" w:hAnsi="Times New Roman" w:cs="Times New Roman" w:eastAsia="Times New Roman" w:hint="default"/>
        </w:rPr>
        <w:t>&lt;2017</w:t>
      </w:r>
      <w:r>
        <w:rPr/>
        <w:t>年限制性股票激励计划实施考核管理办法</w:t>
      </w:r>
      <w:r>
        <w:rPr>
          <w:rFonts w:ascii="Times New Roman" w:hAnsi="Times New Roman" w:cs="Times New Roman" w:eastAsia="Times New Roman" w:hint="default"/>
        </w:rPr>
        <w:t>&gt;</w:t>
      </w:r>
      <w:r>
        <w:rPr/>
        <w:t>的议案》以及《关于提请公司股 </w:t>
      </w:r>
      <w:r>
        <w:rPr>
          <w:spacing w:val="-2"/>
        </w:rPr>
        <w:t>东大会授权董事会办理股权激励相关事宜的议案》，详见同日刊登于巨潮资讯网（</w:t>
      </w:r>
      <w:hyperlink r:id="rId12">
        <w:r>
          <w:rPr>
            <w:rFonts w:ascii="Times New Roman" w:hAnsi="Times New Roman" w:cs="Times New Roman" w:eastAsia="Times New Roman" w:hint="default"/>
            <w:spacing w:val="-2"/>
          </w:rPr>
          <w:t>http://www.cninfo.com.cn</w:t>
        </w:r>
      </w:hyperlink>
      <w:r>
        <w:rPr>
          <w:spacing w:val="-2"/>
        </w:rPr>
        <w:t>）上的相关公告。</w:t>
      </w:r>
    </w:p>
    <w:p>
      <w:pPr>
        <w:pStyle w:val="BodyText"/>
        <w:spacing w:line="300" w:lineRule="auto" w:before="51"/>
        <w:ind w:left="1134" w:right="1175" w:firstLine="30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年年度股东大会审议并通过了《关于审议公司</w:t>
      </w:r>
      <w:r>
        <w:rPr>
          <w:rFonts w:ascii="Times New Roman" w:hAnsi="Times New Roman" w:cs="Times New Roman" w:eastAsia="Times New Roman" w:hint="default"/>
        </w:rPr>
        <w:t>&lt;2017</w:t>
      </w:r>
      <w:r>
        <w:rPr/>
        <w:t>年限制性股票激励计划（草案）</w:t>
      </w:r>
      <w:r>
        <w:rPr>
          <w:rFonts w:ascii="Times New Roman" w:hAnsi="Times New Roman" w:cs="Times New Roman" w:eastAsia="Times New Roman" w:hint="default"/>
        </w:rPr>
        <w:t>&gt;</w:t>
      </w:r>
      <w:r>
        <w:rPr/>
        <w:t>及其摘 要的议案》、《关于审议公司</w:t>
      </w:r>
      <w:r>
        <w:rPr>
          <w:rFonts w:ascii="Times New Roman" w:hAnsi="Times New Roman" w:cs="Times New Roman" w:eastAsia="Times New Roman" w:hint="default"/>
        </w:rPr>
        <w:t>&lt;2017</w:t>
      </w:r>
      <w:r>
        <w:rPr/>
        <w:t>年限制性股票激励计划实施考核管理办法</w:t>
      </w:r>
      <w:r>
        <w:rPr>
          <w:rFonts w:ascii="Times New Roman" w:hAnsi="Times New Roman" w:cs="Times New Roman" w:eastAsia="Times New Roman" w:hint="default"/>
        </w:rPr>
        <w:t>&gt;</w:t>
      </w:r>
      <w:r>
        <w:rPr/>
        <w:t>的议案》、《关于提请公司股东大会授权董 事会办理股权激励相关事宜的议案》。详见同日刊登于巨潮资讯网（</w:t>
      </w:r>
      <w:hyperlink r:id="rId12">
        <w:r>
          <w:rPr>
            <w:rFonts w:ascii="Times New Roman" w:hAnsi="Times New Roman" w:cs="Times New Roman" w:eastAsia="Times New Roman" w:hint="default"/>
          </w:rPr>
          <w:t>http://www.cninfo.com.cn</w:t>
        </w:r>
      </w:hyperlink>
      <w:r>
        <w:rPr/>
        <w:t>）上的相关公告。</w:t>
      </w:r>
    </w:p>
    <w:p>
      <w:pPr>
        <w:pStyle w:val="BodyText"/>
        <w:spacing w:line="302" w:lineRule="auto" w:before="52"/>
        <w:ind w:left="1134" w:right="1201" w:firstLine="30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日，公司第二届董事会第十四次会议审议通过了《关于调整限制性股票激励计划相关事项的议案》、《关 于向激励对象授予限制性股票的议案》。详见同日刊登于巨潮资讯网（</w:t>
      </w:r>
      <w:hyperlink r:id="rId12">
        <w:r>
          <w:rPr>
            <w:rFonts w:ascii="Times New Roman" w:hAnsi="Times New Roman" w:cs="Times New Roman" w:eastAsia="Times New Roman" w:hint="default"/>
          </w:rPr>
          <w:t>http://www.cninfo.com.cn</w:t>
        </w:r>
      </w:hyperlink>
      <w:r>
        <w:rPr/>
        <w:t>）上的相关公告。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57" w:lineRule="auto"/>
        <w:ind w:left="1433" w:right="0"/>
        <w:jc w:val="left"/>
      </w:pPr>
      <w:r>
        <w:rPr/>
        <w:t>员工持股计划实施情况： </w:t>
      </w:r>
      <w:r>
        <w:rPr>
          <w:spacing w:val="-1"/>
        </w:rPr>
        <w:t>为进一步完善公司治理结构，有效调动管理者和公司员工的积极性，促进公司长期、持续、健康发展，公司于报告期内</w:t>
      </w:r>
    </w:p>
    <w:p>
      <w:pPr>
        <w:pStyle w:val="BodyText"/>
        <w:spacing w:line="237" w:lineRule="exact"/>
        <w:ind w:right="0"/>
        <w:jc w:val="left"/>
        <w:rPr>
          <w:rFonts w:ascii="Times New Roman" w:hAnsi="Times New Roman" w:cs="Times New Roman" w:eastAsia="Times New Roman" w:hint="default"/>
        </w:rPr>
      </w:pPr>
      <w:r>
        <w:rPr/>
        <w:t>实施第一期员工持股计划。公司第一期员工持股计划员工以自有资金通过全额认购云南国际信托有限公司设立的</w:t>
      </w:r>
      <w:r>
        <w:rPr>
          <w:rFonts w:ascii="Times New Roman" w:hAnsi="Times New Roman" w:cs="Times New Roman" w:eastAsia="Times New Roman" w:hint="default"/>
        </w:rPr>
        <w:t>“</w:t>
      </w:r>
      <w:r>
        <w:rPr/>
        <w:t>云南信托</w:t>
      </w:r>
      <w:r>
        <w:rPr>
          <w:rFonts w:ascii="Times New Roman" w:hAnsi="Times New Roman" w:cs="Times New Roman" w:eastAsia="Times New Roman" w:hint="default"/>
        </w:rPr>
        <w:t>-</w:t>
      </w:r>
    </w:p>
    <w:p>
      <w:pPr>
        <w:pStyle w:val="BodyText"/>
        <w:spacing w:line="302" w:lineRule="auto" w:before="63"/>
        <w:ind w:left="1134" w:right="0"/>
        <w:jc w:val="left"/>
      </w:pPr>
      <w:r>
        <w:rPr>
          <w:spacing w:val="-2"/>
        </w:rPr>
        <w:t>汇享</w:t>
      </w:r>
      <w:r>
        <w:rPr>
          <w:rFonts w:ascii="Times New Roman" w:hAnsi="Times New Roman" w:cs="Times New Roman" w:eastAsia="Times New Roman" w:hint="default"/>
          <w:spacing w:val="-2"/>
        </w:rPr>
        <w:t>1</w:t>
      </w:r>
      <w:r>
        <w:rPr>
          <w:spacing w:val="-2"/>
        </w:rPr>
        <w:t>号集合资金信托计划</w:t>
      </w:r>
      <w:r>
        <w:rPr>
          <w:rFonts w:ascii="Times New Roman" w:hAnsi="Times New Roman" w:cs="Times New Roman" w:eastAsia="Times New Roman" w:hint="default"/>
          <w:spacing w:val="-2"/>
        </w:rPr>
        <w:t>”</w:t>
      </w:r>
      <w:r>
        <w:rPr>
          <w:spacing w:val="-2"/>
        </w:rPr>
        <w:t>次级信托单位，信托计划以二级市场（竞价交易、大宗交易）等法律法规许可的方式取得并持有</w:t>
      </w:r>
      <w:r>
        <w:rPr>
          <w:spacing w:val="-52"/>
        </w:rPr>
        <w:t> </w:t>
      </w:r>
      <w:r>
        <w:rPr>
          <w:spacing w:val="-52"/>
        </w:rPr>
      </w:r>
      <w:r>
        <w:rPr/>
        <w:t>公司股票。信托计划的资金规模上限为</w:t>
      </w:r>
      <w:r>
        <w:rPr>
          <w:rFonts w:ascii="Times New Roman" w:hAnsi="Times New Roman" w:cs="Times New Roman" w:eastAsia="Times New Roman" w:hint="default"/>
        </w:rPr>
        <w:t>20,000</w:t>
      </w:r>
      <w:r>
        <w:rPr/>
        <w:t>万元，参与人数为</w:t>
      </w:r>
      <w:r>
        <w:rPr>
          <w:rFonts w:ascii="Times New Roman" w:hAnsi="Times New Roman" w:cs="Times New Roman" w:eastAsia="Times New Roman" w:hint="default"/>
        </w:rPr>
        <w:t>134</w:t>
      </w:r>
      <w:r>
        <w:rPr/>
        <w:t>人。</w:t>
      </w:r>
    </w:p>
    <w:p>
      <w:pPr>
        <w:pStyle w:val="BodyText"/>
        <w:spacing w:line="300" w:lineRule="auto" w:before="49"/>
        <w:ind w:right="1130" w:firstLine="300"/>
        <w:jc w:val="both"/>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日召开的第二届董事会第十五次会议、第二届监事会第十二次会议审议通过了《关于审议公司</w:t>
      </w:r>
      <w:r>
        <w:rPr>
          <w:rFonts w:ascii="Times New Roman" w:hAnsi="Times New Roman" w:cs="Times New Roman" w:eastAsia="Times New Roman" w:hint="default"/>
          <w:spacing w:val="-1"/>
        </w:rPr>
        <w:t>&lt;</w:t>
      </w:r>
      <w:r>
        <w:rPr>
          <w:spacing w:val="-1"/>
        </w:rPr>
        <w:t>第一</w:t>
      </w:r>
      <w:r>
        <w:rPr/>
        <w:t> 期员工持股计划（草案）</w:t>
      </w:r>
      <w:r>
        <w:rPr>
          <w:rFonts w:ascii="Times New Roman" w:hAnsi="Times New Roman" w:cs="Times New Roman" w:eastAsia="Times New Roman" w:hint="default"/>
        </w:rPr>
        <w:t>&gt;</w:t>
      </w:r>
      <w:r>
        <w:rPr/>
        <w:t>及其摘要的议案》，并于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2017</w:t>
      </w:r>
      <w:r>
        <w:rPr/>
        <w:t>年第二次临时股东大会上审议通过第一期员工 </w:t>
      </w:r>
      <w:r>
        <w:rPr>
          <w:spacing w:val="-2"/>
        </w:rPr>
        <w:t>持股计划相关事宜。具体内容详见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日刊登于巨潮资讯网（</w:t>
      </w:r>
      <w:hyperlink r:id="rId12">
        <w:r>
          <w:rPr>
            <w:rFonts w:ascii="Times New Roman" w:hAnsi="Times New Roman" w:cs="Times New Roman" w:eastAsia="Times New Roman" w:hint="default"/>
            <w:spacing w:val="-2"/>
          </w:rPr>
          <w:t>http://www.cninfo.com.cn</w:t>
        </w:r>
      </w:hyperlink>
      <w:r>
        <w:rPr>
          <w:spacing w:val="-2"/>
        </w:rPr>
        <w:t>）上的相关公</w:t>
      </w:r>
      <w:r>
        <w:rPr>
          <w:spacing w:val="-35"/>
        </w:rPr>
        <w:t> </w:t>
      </w:r>
      <w:r>
        <w:rPr>
          <w:spacing w:val="-35"/>
        </w:rPr>
      </w:r>
      <w:r>
        <w:rPr/>
        <w:t>告。</w:t>
      </w:r>
    </w:p>
    <w:p>
      <w:pPr>
        <w:pStyle w:val="BodyText"/>
        <w:spacing w:line="302" w:lineRule="auto" w:before="70"/>
        <w:ind w:left="1134" w:right="1044" w:firstLine="30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日，公司召开第二届董事会第十七次会议、第二届监事会第十四次会议，对第一期员工持股计划（草案） 及摘要的部分内容进行了修订。具体内容详见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日刊登于巨潮资讯网（</w:t>
      </w:r>
      <w:hyperlink r:id="rId12">
        <w:r>
          <w:rPr>
            <w:rFonts w:ascii="Times New Roman" w:hAnsi="Times New Roman" w:cs="Times New Roman" w:eastAsia="Times New Roman" w:hint="default"/>
          </w:rPr>
          <w:t>http://www.cninfo.com.cn</w:t>
        </w:r>
      </w:hyperlink>
      <w:r>
        <w:rPr/>
        <w:t>）上的相关公告。</w:t>
      </w:r>
    </w:p>
    <w:p>
      <w:pPr>
        <w:spacing w:after="0" w:line="302"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0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日，公司披露了《关于员工持股计划持股达到</w:t>
      </w:r>
      <w:r>
        <w:rPr>
          <w:rFonts w:ascii="Times New Roman" w:hAnsi="Times New Roman" w:cs="Times New Roman" w:eastAsia="Times New Roman" w:hint="default"/>
          <w:spacing w:val="-2"/>
        </w:rPr>
        <w:t>5%</w:t>
      </w:r>
      <w:r>
        <w:rPr>
          <w:spacing w:val="-2"/>
        </w:rPr>
        <w:t>的提示性公告》及信息披露义务人的《简式权益变动报告</w:t>
      </w:r>
      <w:r>
        <w:rPr/>
        <w:t> </w:t>
      </w:r>
      <w:r>
        <w:rPr>
          <w:spacing w:val="-2"/>
        </w:rPr>
        <w:t>书》，截至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22</w:t>
      </w:r>
      <w:r>
        <w:rPr>
          <w:spacing w:val="-2"/>
        </w:rPr>
        <w:t>日，公司第一期员工持股计划通过二级市场交易累计持股本公司股票已达</w:t>
      </w:r>
      <w:r>
        <w:rPr>
          <w:rFonts w:ascii="Times New Roman" w:hAnsi="Times New Roman" w:cs="Times New Roman" w:eastAsia="Times New Roman" w:hint="default"/>
          <w:spacing w:val="-2"/>
        </w:rPr>
        <w:t>3,601,636</w:t>
      </w:r>
      <w:r>
        <w:rPr>
          <w:spacing w:val="-2"/>
        </w:rPr>
        <w:t>股，占本公司总</w:t>
      </w:r>
      <w:r>
        <w:rPr>
          <w:spacing w:val="-51"/>
        </w:rPr>
        <w:t> </w:t>
      </w:r>
      <w:r>
        <w:rPr>
          <w:spacing w:val="-51"/>
        </w:rPr>
      </w:r>
      <w:r>
        <w:rPr/>
        <w:t>股本比例为</w:t>
      </w:r>
      <w:r>
        <w:rPr>
          <w:rFonts w:ascii="Times New Roman" w:hAnsi="Times New Roman" w:cs="Times New Roman" w:eastAsia="Times New Roman" w:hint="default"/>
        </w:rPr>
        <w:t>5.00%</w:t>
      </w:r>
      <w:r>
        <w:rPr/>
        <w:t>。具体内容详见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日刊登于巨潮资讯网（</w:t>
      </w:r>
      <w:hyperlink r:id="rId12">
        <w:r>
          <w:rPr>
            <w:rFonts w:ascii="Times New Roman" w:hAnsi="Times New Roman" w:cs="Times New Roman" w:eastAsia="Times New Roman" w:hint="default"/>
          </w:rPr>
          <w:t>http://www.cninfo.com.cn</w:t>
        </w:r>
      </w:hyperlink>
      <w:r>
        <w:rPr/>
        <w:t>）上的相关公告。</w:t>
      </w:r>
    </w:p>
    <w:p>
      <w:pPr>
        <w:pStyle w:val="BodyText"/>
        <w:spacing w:line="300" w:lineRule="auto" w:before="51"/>
        <w:ind w:right="1130" w:firstLine="30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日，公司披露了《关于第一期员工持股计划完成股票购买的公告》，截至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日，公司第一期员工持</w:t>
      </w:r>
      <w:r>
        <w:rPr/>
        <w:t> 股计划已完成股票购买。公司员工持股计划</w:t>
      </w:r>
      <w:r>
        <w:rPr>
          <w:rFonts w:ascii="Times New Roman" w:hAnsi="Times New Roman" w:cs="Times New Roman" w:eastAsia="Times New Roman" w:hint="default"/>
        </w:rPr>
        <w:t>“</w:t>
      </w:r>
      <w:r>
        <w:rPr/>
        <w:t>云南信托</w:t>
      </w:r>
      <w:r>
        <w:rPr>
          <w:rFonts w:ascii="Times New Roman" w:hAnsi="Times New Roman" w:cs="Times New Roman" w:eastAsia="Times New Roman" w:hint="default"/>
        </w:rPr>
        <w:t>-</w:t>
      </w:r>
      <w:r>
        <w:rPr/>
        <w:t>汇享</w:t>
      </w:r>
      <w:r>
        <w:rPr>
          <w:rFonts w:ascii="Times New Roman" w:hAnsi="Times New Roman" w:cs="Times New Roman" w:eastAsia="Times New Roman" w:hint="default"/>
        </w:rPr>
        <w:t>1</w:t>
      </w:r>
      <w:r>
        <w:rPr/>
        <w:t>号集合资金信托计划</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日期间通 </w:t>
      </w:r>
      <w:r>
        <w:rPr>
          <w:spacing w:val="-1"/>
        </w:rPr>
        <w:t>过二级市场（竞价交易、大宗交易等方式）累计买入公司股票</w:t>
      </w:r>
      <w:r>
        <w:rPr>
          <w:rFonts w:ascii="Times New Roman" w:hAnsi="Times New Roman" w:cs="Times New Roman" w:eastAsia="Times New Roman" w:hint="default"/>
          <w:spacing w:val="-1"/>
        </w:rPr>
        <w:t>4,139,952</w:t>
      </w:r>
      <w:r>
        <w:rPr>
          <w:spacing w:val="-1"/>
        </w:rPr>
        <w:t>股，占公司总股本的</w:t>
      </w:r>
      <w:r>
        <w:rPr>
          <w:rFonts w:ascii="Times New Roman" w:hAnsi="Times New Roman" w:cs="Times New Roman" w:eastAsia="Times New Roman" w:hint="default"/>
          <w:spacing w:val="-1"/>
        </w:rPr>
        <w:t>5.75%</w:t>
      </w:r>
      <w:r>
        <w:rPr>
          <w:spacing w:val="-1"/>
        </w:rPr>
        <w:t>。本次持股计划的锁定期</w:t>
      </w:r>
      <w:r>
        <w:rPr>
          <w:spacing w:val="-42"/>
        </w:rPr>
        <w:t> </w:t>
      </w:r>
      <w:r>
        <w:rPr>
          <w:spacing w:val="-42"/>
        </w:rPr>
      </w:r>
      <w:r>
        <w:rPr/>
        <w:t>为</w:t>
      </w:r>
      <w:r>
        <w:rPr>
          <w:rFonts w:ascii="Times New Roman" w:hAnsi="Times New Roman" w:cs="Times New Roman" w:eastAsia="Times New Roman" w:hint="default"/>
        </w:rPr>
        <w:t>12</w:t>
      </w:r>
      <w:r>
        <w:rPr/>
        <w:t>个月，自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日刊登于巨潮资讯网（</w:t>
      </w:r>
      <w:hyperlink r:id="rId12">
        <w:r>
          <w:rPr>
            <w:rFonts w:ascii="Times New Roman" w:hAnsi="Times New Roman" w:cs="Times New Roman" w:eastAsia="Times New Roman" w:hint="default"/>
          </w:rPr>
          <w:t>http://www.cninfo.com.cn</w:t>
        </w:r>
      </w:hyperlink>
      <w:r>
        <w:rPr/>
        <w:t>）上</w:t>
      </w:r>
      <w:r>
        <w:rPr>
          <w:w w:val="99"/>
        </w:rPr>
        <w:t> </w:t>
      </w:r>
      <w:r>
        <w:rPr/>
        <w:t>的相关公告。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公司报告期不存在托管情况。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七、社会责任情况" w:id="95"/>
      <w:bookmarkEnd w:id="95"/>
      <w:r>
        <w:rPr>
          <w:b w:val="0"/>
          <w:bCs w:val="0"/>
        </w:rPr>
      </w: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1"/>
        </w:rPr>
        <w:t> </w:t>
      </w:r>
      <w:r>
        <w:rPr>
          <w:spacing w:val="-71"/>
        </w:rPr>
      </w:r>
      <w:r>
        <w:rPr>
          <w:spacing w:val="-2"/>
        </w:rPr>
        <w:t>式与投资者进行沟通交流，提高了公司的透明度和诚信度。公司非常重视对投资者的合理回报，制定了相对稳定的利润分配</w:t>
      </w:r>
      <w:r>
        <w:rPr>
          <w:spacing w:val="-66"/>
        </w:rPr>
        <w:t> </w:t>
      </w:r>
      <w:r>
        <w:rPr>
          <w:spacing w:val="-66"/>
        </w:rPr>
      </w:r>
      <w:r>
        <w:rPr/>
        <w:t>政策和分红方案以回报股东。</w:t>
      </w:r>
    </w:p>
    <w:p>
      <w:pPr>
        <w:pStyle w:val="BodyText"/>
        <w:spacing w:line="319" w:lineRule="auto" w:before="55"/>
        <w:ind w:right="1133" w:firstLine="433"/>
        <w:jc w:val="both"/>
      </w:pPr>
      <w:r>
        <w:rPr/>
        <w:t>公司一直坚持以人为本的人才理念，实施企业人才战略，严格遵守《劳动法》、《劳动合同法》等相关法律法规，尊 </w:t>
      </w:r>
      <w:r>
        <w:rPr>
          <w:spacing w:val="-2"/>
        </w:rPr>
        <w:t>重和维护员工的个人权益，切实关注员工健康、安全和满意度；通过知识技能的理论培训及实践操作技能培训等方式使员工</w:t>
      </w:r>
      <w:r>
        <w:rPr>
          <w:spacing w:val="-66"/>
        </w:rPr>
        <w:t> </w:t>
      </w:r>
      <w:r>
        <w:rPr>
          <w:spacing w:val="-66"/>
        </w:rPr>
      </w:r>
      <w:r>
        <w:rPr/>
        <w:t>得到切实的提高和发展，维护员工权益。</w:t>
      </w:r>
    </w:p>
    <w:p>
      <w:pPr>
        <w:pStyle w:val="BodyText"/>
        <w:spacing w:line="319" w:lineRule="auto" w:before="56"/>
        <w:ind w:right="1133"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w:t>
      </w:r>
    </w:p>
    <w:p>
      <w:pPr>
        <w:pStyle w:val="BodyText"/>
        <w:spacing w:line="240" w:lineRule="auto" w:before="28"/>
        <w:ind w:left="1134" w:right="0"/>
        <w:jc w:val="both"/>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left="1134" w:right="0"/>
        <w:jc w:val="both"/>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494" w:right="0"/>
        <w:jc w:val="left"/>
      </w:pPr>
      <w:r>
        <w:rPr>
          <w:rFonts w:ascii="Times New Roman" w:hAnsi="Times New Roman" w:cs="Times New Roman" w:eastAsia="Times New Roman" w:hint="default"/>
        </w:rPr>
        <w:t>1</w:t>
      </w:r>
      <w:r>
        <w:rPr/>
        <w:t>、国有股权无偿划转事项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日披露了《关于国有股权无偿划转的提示性公告》，股东福建省财政信息中心与福建省电子信息（集</w:t>
      </w:r>
    </w:p>
    <w:p>
      <w:pPr>
        <w:pStyle w:val="BodyText"/>
        <w:spacing w:line="307" w:lineRule="auto" w:before="13"/>
        <w:ind w:right="1131"/>
        <w:jc w:val="both"/>
      </w:pPr>
      <w:r>
        <w:rPr>
          <w:spacing w:val="-2"/>
        </w:rPr>
        <w:t>团）有限责任公司签订了《国有股份无偿划转协议》，福建省财政信息中心拟将持有公司的全部股份无偿划转给福建省电子</w:t>
      </w:r>
      <w:r>
        <w:rPr>
          <w:spacing w:val="-66"/>
        </w:rPr>
        <w:t> </w:t>
      </w:r>
      <w:r>
        <w:rPr>
          <w:spacing w:val="-66"/>
        </w:rPr>
      </w:r>
      <w:r>
        <w:rPr>
          <w:spacing w:val="-2"/>
        </w:rPr>
        <w:t>信息（集团）有限责任公司。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日，公司披露了《关于国有股权无偿划转事项获得福建省人民政府国有资产监督</w:t>
      </w:r>
      <w:r>
        <w:rPr>
          <w:spacing w:val="-57"/>
        </w:rPr>
        <w:t> </w:t>
      </w:r>
      <w:r>
        <w:rPr>
          <w:spacing w:val="-57"/>
        </w:rPr>
      </w:r>
      <w:r>
        <w:rPr>
          <w:spacing w:val="-2"/>
        </w:rPr>
        <w:t>管理委员会批复的提示性公告》、《简式权益变动报告书》，福建省人民政府国有资产监督管理委员会发文《关于福建博思</w:t>
      </w:r>
      <w:r>
        <w:rPr>
          <w:spacing w:val="-69"/>
        </w:rPr>
        <w:t> </w:t>
      </w:r>
      <w:r>
        <w:rPr>
          <w:spacing w:val="-69"/>
        </w:rPr>
      </w:r>
      <w:r>
        <w:rPr/>
        <w:t>软件股份有限公司国有股东所持股份无偿划转有关事项的批复》（闽国资运营</w:t>
      </w:r>
      <w:r>
        <w:rPr>
          <w:rFonts w:ascii="Times New Roman" w:hAnsi="Times New Roman" w:cs="Times New Roman" w:eastAsia="Times New Roman" w:hint="default"/>
        </w:rPr>
        <w:t>[2017]193</w:t>
      </w:r>
      <w:r>
        <w:rPr/>
        <w:t>号），同意福建省财政信息中心将</w:t>
      </w:r>
      <w:r>
        <w:rPr>
          <w:spacing w:val="-29"/>
        </w:rPr>
        <w:t> </w:t>
      </w:r>
      <w:r>
        <w:rPr>
          <w:spacing w:val="-29"/>
        </w:rPr>
      </w:r>
      <w:r>
        <w:rPr>
          <w:spacing w:val="-2"/>
        </w:rPr>
        <w:t>持有的</w:t>
      </w:r>
      <w:r>
        <w:rPr>
          <w:rFonts w:ascii="Times New Roman" w:hAnsi="Times New Roman" w:cs="Times New Roman" w:eastAsia="Times New Roman" w:hint="default"/>
          <w:spacing w:val="-2"/>
        </w:rPr>
        <w:t>5,580,674</w:t>
      </w:r>
      <w:r>
        <w:rPr>
          <w:spacing w:val="-2"/>
        </w:rPr>
        <w:t>股博思软件股票无偿划转给福建省电子信息（集团）有限责任公司。该事项尚未完成股份变更登记，公司将</w:t>
      </w:r>
      <w:r>
        <w:rPr>
          <w:spacing w:val="-58"/>
        </w:rPr>
        <w:t> </w:t>
      </w:r>
      <w:r>
        <w:rPr>
          <w:spacing w:val="-58"/>
        </w:rPr>
      </w:r>
      <w:r>
        <w:rPr>
          <w:spacing w:val="4"/>
        </w:rPr>
        <w:t>严格按照相关规定，对上述股份过户进展情况及时履行信息披露义务。具体内容详见</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11</w:t>
      </w:r>
      <w:r>
        <w:rPr>
          <w:spacing w:val="4"/>
        </w:rPr>
        <w:t>日刊登于巨潮资讯网</w:t>
      </w:r>
    </w:p>
    <w:p>
      <w:pPr>
        <w:pStyle w:val="BodyText"/>
        <w:spacing w:line="240" w:lineRule="auto" w:before="7"/>
        <w:ind w:left="1134" w:right="0"/>
        <w:jc w:val="both"/>
      </w:pPr>
      <w:r>
        <w:rPr/>
        <w:t>（</w:t>
      </w:r>
      <w:hyperlink r:id="rId12">
        <w:r>
          <w:rPr>
            <w:rFonts w:ascii="Times New Roman" w:hAnsi="Times New Roman" w:cs="Times New Roman" w:eastAsia="Times New Roman" w:hint="default"/>
          </w:rPr>
          <w:t>http://www.cninfo.com.cn</w:t>
        </w:r>
      </w:hyperlink>
      <w:r>
        <w:rPr/>
        <w:t>）上的相关公告。</w:t>
      </w:r>
    </w:p>
    <w:p>
      <w:pPr>
        <w:pStyle w:val="BodyText"/>
        <w:spacing w:line="300" w:lineRule="auto" w:before="63"/>
        <w:ind w:left="1494" w:right="1122"/>
        <w:jc w:val="left"/>
      </w:pPr>
      <w:r>
        <w:rPr>
          <w:rFonts w:ascii="Times New Roman" w:hAnsi="Times New Roman" w:cs="Times New Roman" w:eastAsia="Times New Roman" w:hint="default"/>
        </w:rPr>
        <w:t>2</w:t>
      </w:r>
      <w:r>
        <w:rPr/>
        <w:t>、部分首发前限售股解除限售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日披露了《首次公开发行前已发行股份上市流通提示性公告》。公司首次公开发行前已发行的部分</w:t>
      </w:r>
    </w:p>
    <w:p>
      <w:pPr>
        <w:pStyle w:val="BodyText"/>
        <w:spacing w:line="300" w:lineRule="auto" w:before="13"/>
        <w:ind w:right="0"/>
        <w:jc w:val="left"/>
      </w:pPr>
      <w:r>
        <w:rPr>
          <w:spacing w:val="-1"/>
        </w:rPr>
        <w:t>股份解除限售，数量为</w:t>
      </w:r>
      <w:r>
        <w:rPr>
          <w:rFonts w:ascii="Times New Roman" w:hAnsi="Times New Roman" w:cs="Times New Roman" w:eastAsia="Times New Roman" w:hint="default"/>
          <w:spacing w:val="-1"/>
        </w:rPr>
        <w:t>26,388,842</w:t>
      </w:r>
      <w:r>
        <w:rPr>
          <w:spacing w:val="-1"/>
        </w:rPr>
        <w:t>股，占公司总股本的</w:t>
      </w:r>
      <w:r>
        <w:rPr>
          <w:rFonts w:ascii="Times New Roman" w:hAnsi="Times New Roman" w:cs="Times New Roman" w:eastAsia="Times New Roman" w:hint="default"/>
          <w:spacing w:val="-1"/>
        </w:rPr>
        <w:t>36.63%</w:t>
      </w:r>
      <w:r>
        <w:rPr>
          <w:spacing w:val="-1"/>
        </w:rPr>
        <w:t>。上市流通日为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日。具体内容详见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w:t>
      </w:r>
      <w:r>
        <w:rPr>
          <w:spacing w:val="-37"/>
        </w:rPr>
        <w:t> </w:t>
      </w:r>
      <w:r>
        <w:rPr/>
        <w:t>刊登于巨潮资讯网（</w:t>
      </w:r>
      <w:hyperlink r:id="rId12">
        <w:r>
          <w:rPr>
            <w:rFonts w:ascii="Times New Roman" w:hAnsi="Times New Roman" w:cs="Times New Roman" w:eastAsia="Times New Roman" w:hint="default"/>
          </w:rPr>
          <w:t>http://www.cninfo.com.cn</w:t>
        </w:r>
      </w:hyperlink>
      <w:r>
        <w:rPr/>
        <w:t>）上的相关公告。</w:t>
      </w:r>
    </w:p>
    <w:p>
      <w:pPr>
        <w:pStyle w:val="BodyText"/>
        <w:spacing w:line="300" w:lineRule="auto" w:before="13"/>
        <w:ind w:left="1494" w:right="1122"/>
        <w:jc w:val="left"/>
      </w:pPr>
      <w:r>
        <w:rPr>
          <w:rFonts w:ascii="Times New Roman" w:hAnsi="Times New Roman" w:cs="Times New Roman" w:eastAsia="Times New Roman" w:hint="default"/>
        </w:rPr>
        <w:t>3</w:t>
      </w:r>
      <w:r>
        <w:rPr/>
        <w:t>、变更公司董事事项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日披露了《关于董事辞职的公告》，陶翔宇先生因工作变动原因申请辞去公司第二届董事会董事职</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8"/>
        <w:jc w:val="both"/>
      </w:pPr>
      <w:r>
        <w:rPr>
          <w:spacing w:val="-2"/>
        </w:rPr>
        <w:t>务。经公司提名委员会提名、第二届董事会第十六次会议审核，并经公司</w:t>
      </w:r>
      <w:r>
        <w:rPr>
          <w:rFonts w:ascii="Times New Roman" w:hAnsi="Times New Roman" w:cs="Times New Roman" w:eastAsia="Times New Roman" w:hint="default"/>
          <w:spacing w:val="-2"/>
        </w:rPr>
        <w:t>2017</w:t>
      </w:r>
      <w:r>
        <w:rPr>
          <w:spacing w:val="-2"/>
        </w:rPr>
        <w:t>年第三次临时股东大会审议通过，同意聘任刘</w:t>
      </w:r>
      <w:r>
        <w:rPr>
          <w:spacing w:val="-62"/>
        </w:rPr>
        <w:t> </w:t>
      </w:r>
      <w:r>
        <w:rPr>
          <w:spacing w:val="-62"/>
        </w:rPr>
      </w:r>
      <w:r>
        <w:rPr/>
        <w:t>少华先生担任公司第二届董事会董事，任期自本次股东大会审议通过之日起至第二届董事会任期届满。具体内容详见</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日刊登于巨潮资讯网（</w:t>
      </w:r>
      <w:hyperlink r:id="rId12">
        <w:r>
          <w:rPr>
            <w:rFonts w:ascii="Times New Roman" w:hAnsi="Times New Roman" w:cs="Times New Roman" w:eastAsia="Times New Roman" w:hint="default"/>
          </w:rPr>
          <w:t>http://www.cninfo.com.cn</w:t>
        </w:r>
      </w:hyperlink>
      <w:r>
        <w:rPr/>
        <w:t>）上的相关公告。</w:t>
      </w:r>
    </w:p>
    <w:p>
      <w:pPr>
        <w:pStyle w:val="BodyText"/>
        <w:spacing w:line="300" w:lineRule="auto" w:before="13"/>
        <w:ind w:left="1494" w:right="1116"/>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、收购内蒙古金财信息技术有限公司</w:t>
      </w:r>
      <w:r>
        <w:rPr>
          <w:rFonts w:ascii="Times New Roman" w:hAnsi="Times New Roman" w:cs="Times New Roman" w:eastAsia="Times New Roman" w:hint="default"/>
        </w:rPr>
        <w:t>70%</w:t>
      </w:r>
      <w:r>
        <w:rPr/>
        <w:t>股权 </w:t>
      </w: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日披露了《关于使用自有资金收购内蒙古金财信息技术有限公司部分股权的公告》，该事项已于</w:t>
      </w:r>
      <w:r>
        <w:rPr>
          <w:rFonts w:ascii="Times New Roman" w:hAnsi="Times New Roman" w:cs="Times New Roman" w:eastAsia="Times New Roman" w:hint="default"/>
          <w:spacing w:val="-3"/>
        </w:rPr>
        <w:t>2017</w:t>
      </w:r>
    </w:p>
    <w:p>
      <w:pPr>
        <w:pStyle w:val="BodyText"/>
        <w:spacing w:line="300" w:lineRule="auto" w:before="13"/>
        <w:ind w:right="1132"/>
        <w:jc w:val="both"/>
      </w:pP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日经公司第二届董事会第十六次会议审议通过，同意公司以自有资金</w:t>
      </w:r>
      <w:r>
        <w:rPr>
          <w:rFonts w:ascii="Times New Roman" w:hAnsi="Times New Roman" w:cs="Times New Roman" w:eastAsia="Times New Roman" w:hint="default"/>
          <w:spacing w:val="2"/>
        </w:rPr>
        <w:t>8,400</w:t>
      </w:r>
      <w:r>
        <w:rPr>
          <w:spacing w:val="2"/>
        </w:rPr>
        <w:t>万元收购内蒙古金财信息技术有限公司</w:t>
      </w:r>
      <w:r>
        <w:rPr>
          <w:spacing w:val="-81"/>
        </w:rPr>
        <w:t> </w:t>
      </w:r>
      <w:r>
        <w:rPr>
          <w:spacing w:val="-81"/>
        </w:rPr>
      </w:r>
      <w:r>
        <w:rPr>
          <w:rFonts w:ascii="Times New Roman" w:hAnsi="Times New Roman" w:cs="Times New Roman" w:eastAsia="Times New Roman" w:hint="default"/>
        </w:rPr>
        <w:t>70%</w:t>
      </w:r>
      <w:r>
        <w:rPr/>
        <w:t>的股权。截至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日，内蒙古金财信息技术有限公司已完成了工商变更登记，并取得了呼和浩特市工商行政管</w:t>
      </w:r>
      <w:r>
        <w:rPr>
          <w:spacing w:val="-57"/>
        </w:rPr>
        <w:t> </w:t>
      </w:r>
      <w:r>
        <w:rPr>
          <w:spacing w:val="-57"/>
        </w:rPr>
      </w:r>
      <w:r>
        <w:rPr/>
        <w:t>理局换发的《营业执照》。具体内容详见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日刊登于巨潮资讯网（</w:t>
      </w:r>
      <w:hyperlink r:id="rId12">
        <w:r>
          <w:rPr>
            <w:rFonts w:ascii="Times New Roman" w:hAnsi="Times New Roman" w:cs="Times New Roman" w:eastAsia="Times New Roman" w:hint="default"/>
          </w:rPr>
          <w:t>http://www.cninfo.com.cn</w:t>
        </w:r>
      </w:hyperlink>
      <w:r>
        <w:rPr/>
        <w:t>）上的相关公告。</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51,039,00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3,893,000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-25,038,5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-21,145,5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41.50%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7,290,674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-7,290,67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-7,290,67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43,748,32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3,893,000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-17,747,8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-13,854,8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3,914,228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5.74%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-3,914,22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-3,914,22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39,834,09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58.46%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3,893,000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-13,833,6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-9,940,64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29,893,45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41.50%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58.50%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58.50%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68,139,00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3,893,000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3,893,000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2017</w:t>
      </w:r>
      <w:r>
        <w:rPr>
          <w:spacing w:val="-2"/>
        </w:rPr>
        <w:t>年限制性股票激励计划的限制性股票授予完成并上市，数量为</w:t>
      </w:r>
      <w:r>
        <w:rPr>
          <w:rFonts w:ascii="Times New Roman" w:hAnsi="Times New Roman" w:cs="Times New Roman" w:eastAsia="Times New Roman" w:hint="default"/>
          <w:spacing w:val="-2"/>
        </w:rPr>
        <w:t>3,893,000</w:t>
      </w:r>
      <w:r>
        <w:rPr>
          <w:spacing w:val="-2"/>
        </w:rPr>
        <w:t>股。故增加有限售条</w:t>
      </w:r>
      <w:r>
        <w:rPr/>
        <w:t> 件股份</w:t>
      </w:r>
      <w:r>
        <w:rPr>
          <w:rFonts w:ascii="Times New Roman" w:hAnsi="Times New Roman" w:cs="Times New Roman" w:eastAsia="Times New Roman" w:hint="default"/>
        </w:rPr>
        <w:t>3,893,000</w:t>
      </w:r>
      <w:r>
        <w:rPr/>
        <w:t>股，公司总股本由</w:t>
      </w:r>
      <w:r>
        <w:rPr>
          <w:rFonts w:ascii="Times New Roman" w:hAnsi="Times New Roman" w:cs="Times New Roman" w:eastAsia="Times New Roman" w:hint="default"/>
        </w:rPr>
        <w:t>68,139,000</w:t>
      </w:r>
      <w:r>
        <w:rPr/>
        <w:t>股变更为</w:t>
      </w:r>
      <w:r>
        <w:rPr>
          <w:rFonts w:ascii="Times New Roman" w:hAnsi="Times New Roman" w:cs="Times New Roman" w:eastAsia="Times New Roman" w:hint="default"/>
        </w:rPr>
        <w:t>72,032,000</w:t>
      </w:r>
      <w:r>
        <w:rPr/>
        <w:t>股。</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27</w:t>
      </w:r>
      <w:r>
        <w:rPr/>
        <w:t>日，公司首次公开发行前已发行的部分股份解除限售，扣除高管锁定股后，实际解除限售的股份数量为</w:t>
      </w:r>
    </w:p>
    <w:p>
      <w:pPr>
        <w:pStyle w:val="BodyText"/>
        <w:spacing w:line="300" w:lineRule="auto" w:before="63"/>
        <w:ind w:left="1493" w:right="0" w:hanging="360"/>
        <w:jc w:val="left"/>
      </w:pPr>
      <w:r>
        <w:rPr>
          <w:rFonts w:ascii="Times New Roman" w:hAnsi="Times New Roman" w:cs="Times New Roman" w:eastAsia="Times New Roman" w:hint="default"/>
        </w:rPr>
        <w:t>25,038,549</w:t>
      </w:r>
      <w:r>
        <w:rPr/>
        <w:t>股。故减少有限售条件股份</w:t>
      </w:r>
      <w:r>
        <w:rPr>
          <w:rFonts w:ascii="Times New Roman" w:hAnsi="Times New Roman" w:cs="Times New Roman" w:eastAsia="Times New Roman" w:hint="default"/>
        </w:rPr>
        <w:t>25,038,549</w:t>
      </w:r>
      <w:r>
        <w:rPr/>
        <w:t>股，增加无限售条件股份</w:t>
      </w:r>
      <w:r>
        <w:rPr>
          <w:rFonts w:ascii="Times New Roman" w:hAnsi="Times New Roman" w:cs="Times New Roman" w:eastAsia="Times New Roman" w:hint="default"/>
        </w:rPr>
        <w:t>25,038,549</w:t>
      </w:r>
      <w:r>
        <w:rPr/>
        <w:t>股。 </w:t>
      </w:r>
      <w:r>
        <w:rPr>
          <w:spacing w:val="-2"/>
        </w:rPr>
        <w:t>综上，报告期内公司股份总数增加</w:t>
      </w:r>
      <w:r>
        <w:rPr>
          <w:rFonts w:ascii="Times New Roman" w:hAnsi="Times New Roman" w:cs="Times New Roman" w:eastAsia="Times New Roman" w:hint="default"/>
          <w:spacing w:val="-2"/>
        </w:rPr>
        <w:t>3,893,000</w:t>
      </w:r>
      <w:r>
        <w:rPr>
          <w:spacing w:val="-2"/>
        </w:rPr>
        <w:t>股，总股本变更为</w:t>
      </w:r>
      <w:r>
        <w:rPr>
          <w:rFonts w:ascii="Times New Roman" w:hAnsi="Times New Roman" w:cs="Times New Roman" w:eastAsia="Times New Roman" w:hint="default"/>
          <w:spacing w:val="-2"/>
        </w:rPr>
        <w:t>72,032,000</w:t>
      </w:r>
      <w:r>
        <w:rPr>
          <w:spacing w:val="-2"/>
        </w:rPr>
        <w:t>股；有限售条件股份数减少</w:t>
      </w:r>
      <w:r>
        <w:rPr>
          <w:rFonts w:ascii="Times New Roman" w:hAnsi="Times New Roman" w:cs="Times New Roman" w:eastAsia="Times New Roman" w:hint="default"/>
          <w:spacing w:val="-2"/>
        </w:rPr>
        <w:t>21,145,549</w:t>
      </w:r>
      <w:r>
        <w:rPr>
          <w:spacing w:val="-2"/>
        </w:rPr>
        <w:t>股，无限</w:t>
      </w:r>
    </w:p>
    <w:p>
      <w:pPr>
        <w:pStyle w:val="BodyText"/>
        <w:spacing w:line="240" w:lineRule="auto" w:before="13"/>
        <w:ind w:right="0"/>
        <w:jc w:val="left"/>
      </w:pPr>
      <w:r>
        <w:rPr/>
        <w:t>售条件股份数增加</w:t>
      </w:r>
      <w:r>
        <w:rPr>
          <w:rFonts w:ascii="Times New Roman" w:hAnsi="Times New Roman" w:cs="Times New Roman" w:eastAsia="Times New Roman" w:hint="default"/>
        </w:rPr>
        <w:t>25,038,549</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left="1134" w:right="0"/>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118"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2017</w:t>
      </w:r>
      <w:r>
        <w:rPr>
          <w:spacing w:val="-2"/>
        </w:rPr>
        <w:t>年限制性股票激励计划的限制性股票授予完成并上市，数量为</w:t>
      </w:r>
      <w:r>
        <w:rPr>
          <w:rFonts w:ascii="Times New Roman" w:hAnsi="Times New Roman" w:cs="Times New Roman" w:eastAsia="Times New Roman" w:hint="default"/>
          <w:spacing w:val="-2"/>
        </w:rPr>
        <w:t>3,893,000</w:t>
      </w:r>
      <w:r>
        <w:rPr>
          <w:spacing w:val="-2"/>
        </w:rPr>
        <w:t>股。本次限制性股票</w:t>
      </w:r>
      <w:r>
        <w:rPr/>
        <w:t> 授予完成后，按新股本</w:t>
      </w:r>
      <w:r>
        <w:rPr>
          <w:rFonts w:ascii="Times New Roman" w:hAnsi="Times New Roman" w:cs="Times New Roman" w:eastAsia="Times New Roman" w:hint="default"/>
        </w:rPr>
        <w:t>72,032,000</w:t>
      </w:r>
      <w:r>
        <w:rPr/>
        <w:t>股摊薄计算，公司</w:t>
      </w:r>
      <w:r>
        <w:rPr>
          <w:rFonts w:ascii="Times New Roman" w:hAnsi="Times New Roman" w:cs="Times New Roman" w:eastAsia="Times New Roman" w:hint="default"/>
        </w:rPr>
        <w:t>2016</w:t>
      </w:r>
      <w:r>
        <w:rPr/>
        <w:t>年度每股收益为</w:t>
      </w:r>
      <w:r>
        <w:rPr>
          <w:rFonts w:ascii="Times New Roman" w:hAnsi="Times New Roman" w:cs="Times New Roman" w:eastAsia="Times New Roman" w:hint="default"/>
        </w:rPr>
        <w:t>0.53</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14,295,652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14,295,652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2,479,755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2,479,755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2,133,808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2,133,808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1,817,106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1,641,584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1,231,188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按高管锁定股的 规定解限</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1,547,557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1,547,557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1,296,280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119,105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按高管锁定股的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07"/>
              <w:jc w:val="right"/>
              <w:rPr>
                <w:rFonts w:ascii="宋体" w:hAnsi="宋体" w:cs="宋体" w:eastAsia="宋体" w:hint="default"/>
                <w:sz w:val="18"/>
                <w:szCs w:val="18"/>
              </w:rPr>
            </w:pPr>
            <w:r>
              <w:rPr>
                <w:rFonts w:ascii="宋体" w:hAnsi="宋体" w:cs="宋体" w:eastAsia="宋体" w:hint="default"/>
                <w:sz w:val="18"/>
                <w:szCs w:val="18"/>
              </w:rPr>
              <w:t>规定解限</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按股权激励股和 高管锁定股的规 定解限</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按股权激励股的 规定解限</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其他首发前限售 股股东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24,588,451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24,588,451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首发前限售股解 除限售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其他股权激励股 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按股权激励股的 规定解限</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51,039,000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25,038,549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29,893,451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33.33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3,893,000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3,893,000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报告期内证券发行（不含优先股）情况的说明</w:t>
      </w:r>
    </w:p>
    <w:p>
      <w:pPr>
        <w:pStyle w:val="BodyText"/>
        <w:spacing w:line="240" w:lineRule="auto" w:before="115"/>
        <w:ind w:left="142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2017</w:t>
      </w:r>
      <w:r>
        <w:rPr/>
        <w:t>年限制性股票激励计划的限制性股票授予完成并上市，数量为</w:t>
      </w:r>
      <w:r>
        <w:rPr>
          <w:rFonts w:ascii="Times New Roman" w:hAnsi="Times New Roman" w:cs="Times New Roman" w:eastAsia="Times New Roman" w:hint="default"/>
        </w:rPr>
        <w:t>3,893,000</w:t>
      </w:r>
      <w:r>
        <w:rPr/>
        <w:t>股。</w:t>
      </w:r>
    </w:p>
    <w:p>
      <w:pPr>
        <w:spacing w:line="240" w:lineRule="auto" w:before="11"/>
        <w:rPr>
          <w:rFonts w:ascii="宋体" w:hAnsi="宋体" w:cs="宋体" w:eastAsia="宋体" w:hint="default"/>
          <w:sz w:val="25"/>
          <w:szCs w:val="25"/>
        </w:rPr>
      </w:pPr>
    </w:p>
    <w:p>
      <w:pPr>
        <w:pStyle w:val="Heading3"/>
        <w:spacing w:line="240" w:lineRule="auto"/>
        <w:ind w:left="1134"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75" w:firstLine="57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2017</w:t>
      </w:r>
      <w:r>
        <w:rPr/>
        <w:t>年限制性股票激励计划的限制性股票授予完成并上市，数量为</w:t>
      </w:r>
      <w:r>
        <w:rPr>
          <w:rFonts w:ascii="Times New Roman" w:hAnsi="Times New Roman" w:cs="Times New Roman" w:eastAsia="Times New Roman" w:hint="default"/>
        </w:rPr>
        <w:t>3,893,000</w:t>
      </w:r>
      <w:r>
        <w:rPr/>
        <w:t>股，故增加有限 售条件股份</w:t>
      </w:r>
      <w:r>
        <w:rPr>
          <w:rFonts w:ascii="Times New Roman" w:hAnsi="Times New Roman" w:cs="Times New Roman" w:eastAsia="Times New Roman" w:hint="default"/>
        </w:rPr>
        <w:t>3,893,000</w:t>
      </w:r>
      <w:r>
        <w:rPr/>
        <w:t>股，公司总股本由</w:t>
      </w:r>
      <w:r>
        <w:rPr>
          <w:rFonts w:ascii="Times New Roman" w:hAnsi="Times New Roman" w:cs="Times New Roman" w:eastAsia="Times New Roman" w:hint="default"/>
        </w:rPr>
        <w:t>68,139,000</w:t>
      </w:r>
      <w:r>
        <w:rPr/>
        <w:t>股变更为</w:t>
      </w:r>
      <w:r>
        <w:rPr>
          <w:rFonts w:ascii="Times New Roman" w:hAnsi="Times New Roman" w:cs="Times New Roman" w:eastAsia="Times New Roman" w:hint="default"/>
        </w:rPr>
        <w:t>72,032,000</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699pt;width:85.6pt;height:31.2pt;mso-position-horizontal-relative:page;mso-position-vertical-relative:paragraph;z-index:-98879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699pt;width:52.45pt;height:31.2pt;mso-position-horizontal-relative:page;mso-position-vertical-relative:paragraph;z-index:-988768"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8,949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9,991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19.85%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14,295,65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14,295,65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6,580,000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福建省财政信息 中心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5,580,674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5,580,674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云南国际信托有 限公司－云南信 托－汇享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 资金信托计划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3,601,636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3,601,636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3,601,636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北京实地创业投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2,552,756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2,552,756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2,552,756</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3.44%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2,479,755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2,479,755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970,000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2.96%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2,133,808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2,133,808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1,290,000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2.52%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1,817,106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1,817,106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970,000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2.28%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1,641,584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1,231,188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410,396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876,773</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2.15%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1,547,557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1,547,557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699,000</w:t>
            </w: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陈航与上述股东中肖勇、余双兴、郑升尉、叶章明为一致行动人。</w:t>
            </w: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5,580,674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5,580,674</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云南国际信托有限公司－云南信托</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－汇享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3,601,636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3,601,636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北京实地创业投资有限公司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2,552,756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日照创博信息科技合伙企业（有限合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1,361,472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1,361,472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卓勇</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1,351,652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1,351,652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李仰隆</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859,212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859,212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侯祥钦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776,313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776,313</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龚玉松</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601,090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588,690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588,690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6" w:right="8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名无限售流通股股东之间是否存在关联关系，也未知是否属于一致行 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担任福建博思软件股份有限公司董事长。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实际控制人性质：境内自然人</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实际控制人类型：自然人</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担任福建博思软件股份有限公司董事长。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3"/>
          <w:szCs w:val="23"/>
        </w:rPr>
      </w:pPr>
    </w:p>
    <w:p>
      <w:pPr>
        <w:spacing w:line="3495" w:lineRule="exact"/>
        <w:ind w:left="233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93589" cy="22193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3589" cy="2219325"/>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2"/>
        <w:rPr>
          <w:rFonts w:ascii="宋体" w:hAnsi="宋体" w:cs="宋体" w:eastAsia="宋体" w:hint="default"/>
          <w:sz w:val="21"/>
          <w:szCs w:val="21"/>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2,479,755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2,479,755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1,547,557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1,547,557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1,296,280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2,133,808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2,133,808</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1,817,106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1,817,106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理，财务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1,641,584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1,641,584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158,807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陶翔宇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25,950,54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56.459999pt;margin-top:-103.418297pt;width:479.2pt;height:257.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因公司内部工作调整原因，郑升尉先生申请辞去公司 董事会秘书职务，辞职后郑升尉先生仍然担任公司副 总经理、财务总监。</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pacing w:val="-5"/>
                            <w:sz w:val="18"/>
                            <w:szCs w:val="18"/>
                          </w:rPr>
                          <w:t>日，公司第二届董事会第十二次会议审</w:t>
                        </w:r>
                        <w:r>
                          <w:rPr>
                            <w:rFonts w:ascii="宋体" w:hAnsi="宋体" w:cs="宋体" w:eastAsia="宋体" w:hint="default"/>
                            <w:sz w:val="18"/>
                            <w:szCs w:val="18"/>
                          </w:rPr>
                          <w:t> 议通过《关于聘任副总经理及变更董事会秘书的议 </w:t>
                        </w:r>
                        <w:r>
                          <w:rPr>
                            <w:rFonts w:ascii="宋体" w:hAnsi="宋体" w:cs="宋体" w:eastAsia="宋体" w:hint="default"/>
                            <w:spacing w:val="-10"/>
                            <w:sz w:val="18"/>
                            <w:szCs w:val="18"/>
                          </w:rPr>
                          <w:t>案》，决定聘任林宏先生为公司副总经理、董事会秘书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任期自董事会审议通过之日起至本届董事会任期届 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陶翔宇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陶翔宇先生因个人工作变动原因，申请辞去公司第二 届董事会董事职务。</w:t>
                        </w:r>
                      </w:p>
                    </w:tc>
                  </w:tr>
                  <w:tr>
                    <w:trPr>
                      <w:trHeight w:val="134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 审议通过了《关于提名刘少华先生为公司董事候选人 </w:t>
                        </w:r>
                        <w:r>
                          <w:rPr>
                            <w:rFonts w:ascii="宋体" w:hAnsi="宋体" w:cs="宋体" w:eastAsia="宋体" w:hint="default"/>
                            <w:spacing w:val="-6"/>
                            <w:sz w:val="18"/>
                            <w:szCs w:val="18"/>
                          </w:rPr>
                          <w:t>的议案》，同意聘任刘少华先生担任公司第二届董事会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董事。</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9" w:lineRule="auto" w:before="115"/>
        <w:ind w:left="1494" w:right="0" w:hanging="360"/>
        <w:jc w:val="left"/>
      </w:pPr>
      <w:r>
        <w:rPr>
          <w:rFonts w:ascii="宋体" w:hAnsi="宋体" w:cs="宋体" w:eastAsia="宋体" w:hint="default"/>
        </w:rPr>
        <w:t>1. </w:t>
      </w:r>
      <w:r>
        <w:rPr/>
        <w:t>陈航先生：本科学历，工程师，曾任职于福建省财税信息中心，历任福建华兴科技有限责任公司副总经理及执行董事， </w:t>
      </w:r>
      <w:r>
        <w:rPr>
          <w:spacing w:val="-2"/>
        </w:rPr>
        <w:t>福州博思软件开发有限公司董事长兼总经理，福建博思软件股份有限公司总经理，福建博思电子政务科技有限公司执行</w:t>
      </w:r>
      <w:r>
        <w:rPr/>
        <w:t> 董事、总经理，现任福建博思软件股份有限公司董事长。</w:t>
      </w:r>
    </w:p>
    <w:p>
      <w:pPr>
        <w:pStyle w:val="BodyText"/>
        <w:spacing w:line="314" w:lineRule="auto" w:before="56"/>
        <w:ind w:left="1493" w:right="1130" w:hanging="360"/>
        <w:jc w:val="both"/>
      </w:pPr>
      <w:r>
        <w:rPr>
          <w:rFonts w:ascii="宋体" w:hAnsi="宋体" w:cs="宋体" w:eastAsia="宋体" w:hint="default"/>
        </w:rPr>
        <w:t>2. </w:t>
      </w:r>
      <w:r>
        <w:rPr/>
        <w:t>刘少华先生：北大国际工商硕士管理</w:t>
      </w:r>
      <w:r>
        <w:rPr>
          <w:spacing w:val="20"/>
        </w:rPr>
        <w:t> </w:t>
      </w:r>
      <w:r>
        <w:rPr>
          <w:rFonts w:ascii="Times New Roman" w:hAnsi="Times New Roman" w:cs="Times New Roman" w:eastAsia="Times New Roman" w:hint="default"/>
        </w:rPr>
        <w:t>EMBA</w:t>
      </w:r>
      <w:r>
        <w:rPr/>
        <w:t>硕士研究生，本科毕业于内蒙古大学电子系计算机专业。历任内蒙古林业 </w:t>
      </w:r>
      <w:r>
        <w:rPr>
          <w:spacing w:val="-2"/>
        </w:rPr>
        <w:t>大学讲师、北京方正集团分公司、区域总经理、集团助理总裁、北京方正数码公司、北京方正电子公司、北京方正奥德</w:t>
      </w:r>
      <w:r>
        <w:rPr/>
        <w:t> </w:t>
      </w:r>
      <w:r>
        <w:rPr>
          <w:spacing w:val="-2"/>
        </w:rPr>
        <w:t>公司副总裁、北京方正春元科技有限公司常务副总裁、北京用友政务软件有限公司高级副总裁、北京用友政务软件有限</w:t>
      </w:r>
      <w:r>
        <w:rPr/>
        <w:t> </w:t>
      </w:r>
      <w:r>
        <w:rPr>
          <w:spacing w:val="-2"/>
        </w:rPr>
        <w:t>公司总裁，现任内蒙古金财信息技术有限公司董事，北京公易人人信息技术有限公司董事长，北京支点国际资讯投资有</w:t>
      </w:r>
      <w:r>
        <w:rPr/>
        <w:t> 限公司董事长，福建博思软件股份有限公司董事、总经理。</w:t>
      </w:r>
    </w:p>
    <w:p>
      <w:pPr>
        <w:pStyle w:val="BodyText"/>
        <w:spacing w:line="316" w:lineRule="auto" w:before="20"/>
        <w:ind w:left="1494" w:right="1133" w:hanging="360"/>
        <w:jc w:val="both"/>
      </w:pPr>
      <w:r>
        <w:rPr>
          <w:rFonts w:ascii="宋体" w:hAnsi="宋体" w:cs="宋体" w:eastAsia="宋体" w:hint="default"/>
        </w:rPr>
        <w:t>3.</w:t>
      </w:r>
      <w:r>
        <w:rPr>
          <w:rFonts w:ascii="宋体" w:hAnsi="宋体" w:cs="宋体" w:eastAsia="宋体" w:hint="default"/>
          <w:spacing w:val="9"/>
        </w:rPr>
        <w:t> </w:t>
      </w:r>
      <w:r>
        <w:rPr/>
        <w:t>王敏女士：本科学历，高级工程师。历任福建省建筑工程专科学校助教、福州博思软件开发有限公司董事，现任福建省 财政信息中心副主任、福建博思软件股份有限公司董事。</w:t>
      </w:r>
    </w:p>
    <w:p>
      <w:pPr>
        <w:pStyle w:val="BodyText"/>
        <w:spacing w:line="316" w:lineRule="auto" w:before="19"/>
        <w:ind w:left="1494" w:right="1131" w:hanging="360"/>
        <w:jc w:val="both"/>
      </w:pPr>
      <w:r>
        <w:rPr>
          <w:rFonts w:ascii="宋体" w:hAnsi="宋体" w:cs="宋体" w:eastAsia="宋体" w:hint="default"/>
        </w:rPr>
        <w:t>4.</w:t>
      </w:r>
      <w:r>
        <w:rPr>
          <w:rFonts w:ascii="宋体" w:hAnsi="宋体" w:cs="宋体" w:eastAsia="宋体" w:hint="default"/>
          <w:spacing w:val="10"/>
        </w:rPr>
        <w:t> </w:t>
      </w:r>
      <w:r>
        <w:rPr/>
        <w:t>肖勇先生：历任福建华兴科技有限责任公司市场二部经理、福州博思软件开发有限公司董事、副总经理，现任福建博思 </w:t>
      </w:r>
      <w:r>
        <w:rPr>
          <w:spacing w:val="-2"/>
        </w:rPr>
        <w:t>软件股份有限公司董事、副总经理，北京博思致新互联网科技有限责任公司执行董事，北京博思兴华软件有限公司执行</w:t>
      </w:r>
      <w:r>
        <w:rPr/>
        <w:t> 董事、总经理。</w:t>
      </w:r>
    </w:p>
    <w:p>
      <w:pPr>
        <w:pStyle w:val="BodyText"/>
        <w:spacing w:line="316" w:lineRule="auto" w:before="19"/>
        <w:ind w:left="1494" w:right="1050" w:hanging="360"/>
        <w:jc w:val="both"/>
      </w:pPr>
      <w:r>
        <w:rPr>
          <w:rFonts w:ascii="宋体" w:hAnsi="宋体" w:cs="宋体" w:eastAsia="宋体" w:hint="default"/>
        </w:rPr>
        <w:t>5. </w:t>
      </w:r>
      <w:r>
        <w:rPr/>
        <w:t>林初可先生：历任福建华兴科技有限责任公司开发部员工、开发部经理、福州博思软件开发有限公司董事、副总经理， 现任福建博思软件股份有限公司董事、副总经理。</w:t>
      </w:r>
    </w:p>
    <w:p>
      <w:pPr>
        <w:pStyle w:val="BodyText"/>
        <w:spacing w:line="316" w:lineRule="auto" w:before="19"/>
        <w:ind w:left="1494" w:right="1133" w:hanging="360"/>
        <w:jc w:val="both"/>
      </w:pPr>
      <w:r>
        <w:rPr>
          <w:rFonts w:ascii="宋体" w:hAnsi="宋体" w:cs="宋体" w:eastAsia="宋体" w:hint="default"/>
        </w:rPr>
        <w:t>6.</w:t>
      </w:r>
      <w:r>
        <w:rPr>
          <w:rFonts w:ascii="宋体" w:hAnsi="宋体" w:cs="宋体" w:eastAsia="宋体" w:hint="default"/>
          <w:spacing w:val="9"/>
        </w:rPr>
        <w:t> </w:t>
      </w:r>
      <w:r>
        <w:rPr/>
        <w:t>叶章明先生：历任福建华兴科技有限责任公司市场部经理、副总经理、福州博思软件开发有限公司董事、副总经理，现 </w:t>
      </w:r>
      <w:r>
        <w:rPr>
          <w:spacing w:val="-2"/>
        </w:rPr>
        <w:t>任福建博思软件股份有限公司董事、副总经理、福建博宇信息科技股份有限公司董事、北京支点国际资讯投资有限公司</w:t>
      </w:r>
      <w:r>
        <w:rPr/>
        <w:t> 董事、福建博思电子政务科技有限公司执行董事兼总经理。</w:t>
      </w:r>
    </w:p>
    <w:p>
      <w:pPr>
        <w:pStyle w:val="BodyText"/>
        <w:spacing w:line="309" w:lineRule="auto" w:before="19"/>
        <w:ind w:left="1494" w:right="0" w:hanging="360"/>
        <w:jc w:val="left"/>
      </w:pPr>
      <w:r>
        <w:rPr>
          <w:rFonts w:ascii="宋体" w:hAnsi="宋体" w:cs="宋体" w:eastAsia="宋体" w:hint="default"/>
        </w:rPr>
        <w:t>7. </w:t>
      </w:r>
      <w:r>
        <w:rPr/>
        <w:t>欧郁雪女士：本科学历，厦门大学</w:t>
      </w:r>
      <w:r>
        <w:rPr>
          <w:rFonts w:ascii="Times New Roman" w:hAnsi="Times New Roman" w:cs="Times New Roman" w:eastAsia="Times New Roman" w:hint="default"/>
        </w:rPr>
        <w:t>MBA</w:t>
      </w:r>
      <w:r>
        <w:rPr/>
        <w:t>，注册会计师。历任厦门红相电力设备股份有限公司财务总监，武汉高德红外</w:t>
      </w:r>
      <w:r>
        <w:rPr>
          <w:spacing w:val="-48"/>
        </w:rPr>
        <w:t> </w:t>
      </w:r>
      <w:r>
        <w:rPr>
          <w:spacing w:val="-48"/>
        </w:rPr>
      </w:r>
      <w:r>
        <w:rPr>
          <w:spacing w:val="-4"/>
        </w:rPr>
        <w:t>股份有限公司审计部经理，好利来（中国）电子科技股份有限公司独立董事，现任厦门均和评估咨询有限公司高级经理，</w:t>
      </w:r>
      <w:r>
        <w:rPr/>
        <w:t> 中兴华会计师事务所（特殊普通合伙）福建分所质控总监，福建博思软件股份有限公司独立董事。</w:t>
      </w:r>
    </w:p>
    <w:p>
      <w:pPr>
        <w:pStyle w:val="BodyText"/>
        <w:spacing w:line="316" w:lineRule="auto" w:before="24"/>
        <w:ind w:left="1494" w:right="1032" w:hanging="360"/>
        <w:jc w:val="left"/>
      </w:pPr>
      <w:r>
        <w:rPr>
          <w:rFonts w:ascii="宋体" w:hAnsi="宋体" w:cs="宋体" w:eastAsia="宋体" w:hint="default"/>
        </w:rPr>
        <w:t>8.</w:t>
      </w:r>
      <w:r>
        <w:rPr>
          <w:rFonts w:ascii="宋体" w:hAnsi="宋体" w:cs="宋体" w:eastAsia="宋体" w:hint="default"/>
          <w:spacing w:val="34"/>
        </w:rPr>
        <w:t> </w:t>
      </w:r>
      <w:r>
        <w:rPr/>
        <w:t>郭其友先生：博士学历，曾任福建东百集团股份有限公司独立董事，现任厦门大学经济学院教授、博士生导师，中国土 地估价师，中华外国经济学说研究会理事，厦门市土地学会副理事长，福建南安农村商业银行股份有限公司独立董事， 福建博思软件股份有限公司独立董事。</w:t>
      </w:r>
    </w:p>
    <w:p>
      <w:pPr>
        <w:pStyle w:val="BodyText"/>
        <w:spacing w:line="316" w:lineRule="auto" w:before="19"/>
        <w:ind w:left="1494" w:right="1133" w:hanging="360"/>
        <w:jc w:val="both"/>
      </w:pPr>
      <w:r>
        <w:rPr>
          <w:rFonts w:ascii="宋体" w:hAnsi="宋体" w:cs="宋体" w:eastAsia="宋体" w:hint="default"/>
        </w:rPr>
        <w:t>9.</w:t>
      </w:r>
      <w:r>
        <w:rPr>
          <w:rFonts w:ascii="宋体" w:hAnsi="宋体" w:cs="宋体" w:eastAsia="宋体" w:hint="default"/>
          <w:spacing w:val="9"/>
        </w:rPr>
        <w:t> </w:t>
      </w:r>
      <w:r>
        <w:rPr/>
        <w:t>叶东毅先生：博士学历，历任福州大学计算机系讲师、教授、系主任和副院长，现任福州大学数学与计算机科学学院教 </w:t>
      </w:r>
      <w:r>
        <w:rPr>
          <w:spacing w:val="-2"/>
        </w:rPr>
        <w:t>授、博士生导师、福建省信息产业专家委员会委员、福建省计算机学会副理事长、福建省人工智能学会常务理事、福建</w:t>
      </w:r>
      <w:r>
        <w:rPr/>
        <w:t> 省软件行业协会理事，还担任福建博思软件股份有限公司、福建顶点软件股份有限公司的独立董事。</w:t>
      </w:r>
    </w:p>
    <w:p>
      <w:pPr>
        <w:pStyle w:val="BodyText"/>
        <w:spacing w:line="316" w:lineRule="auto" w:before="19"/>
        <w:ind w:left="1494" w:right="1041" w:hanging="360"/>
        <w:jc w:val="both"/>
      </w:pPr>
      <w:r>
        <w:rPr>
          <w:rFonts w:ascii="宋体" w:hAnsi="宋体" w:cs="宋体" w:eastAsia="宋体" w:hint="default"/>
        </w:rPr>
        <w:t>10.</w:t>
      </w:r>
      <w:r>
        <w:rPr>
          <w:rFonts w:ascii="宋体" w:hAnsi="宋体" w:cs="宋体" w:eastAsia="宋体" w:hint="default"/>
          <w:spacing w:val="-40"/>
        </w:rPr>
        <w:t> </w:t>
      </w:r>
      <w:r>
        <w:rPr/>
        <w:t>毛时敏先生：硕士学历，高级会计师。曾任福建省财税信息中心培训科科长、福建华兴科技有限责任公司副总经理、福 </w:t>
      </w:r>
      <w:r>
        <w:rPr>
          <w:spacing w:val="-4"/>
        </w:rPr>
        <w:t>州博思软件开发有限公司副总经理，现任福建博思软件股份有限公司监事会主席、福建博思电子政务科技有限公司监事。</w:t>
      </w:r>
    </w:p>
    <w:p>
      <w:pPr>
        <w:pStyle w:val="BodyText"/>
        <w:spacing w:line="316" w:lineRule="auto" w:before="19"/>
        <w:ind w:left="1494" w:right="1050" w:hanging="360"/>
        <w:jc w:val="both"/>
      </w:pPr>
      <w:r>
        <w:rPr>
          <w:rFonts w:ascii="宋体" w:hAnsi="宋体" w:cs="宋体" w:eastAsia="宋体" w:hint="default"/>
        </w:rPr>
        <w:t>11. </w:t>
      </w:r>
      <w:r>
        <w:rPr/>
        <w:t>陈晶女士：本科学历，会计师。曾任福州博思软件开发有限公司培训部经理，福建博思软件股份有限公司培训部经理， 现任福建博思软件股份有限公司监事、行政部经理。</w:t>
      </w:r>
    </w:p>
    <w:p>
      <w:pPr>
        <w:pStyle w:val="BodyText"/>
        <w:spacing w:line="316" w:lineRule="auto" w:before="19"/>
        <w:ind w:left="1494" w:right="1133" w:hanging="360"/>
        <w:jc w:val="both"/>
      </w:pPr>
      <w:r>
        <w:rPr>
          <w:rFonts w:ascii="宋体" w:hAnsi="宋体" w:cs="宋体" w:eastAsia="宋体" w:hint="default"/>
        </w:rPr>
        <w:t>12.</w:t>
      </w:r>
      <w:r>
        <w:rPr>
          <w:rFonts w:ascii="宋体" w:hAnsi="宋体" w:cs="宋体" w:eastAsia="宋体" w:hint="default"/>
          <w:spacing w:val="18"/>
        </w:rPr>
        <w:t> </w:t>
      </w:r>
      <w:r>
        <w:rPr>
          <w:spacing w:val="-2"/>
        </w:rPr>
        <w:t>王素珍女士：曾任职于龙辉计算机网络有限公司、福州博思软件开发有限公司，福建博思软件股份有限公司售后服务管</w:t>
      </w:r>
      <w:r>
        <w:rPr/>
        <w:t> 理部负责人，现任福建博思软件股份有限公司监事、产品服务部副经理。</w:t>
      </w:r>
    </w:p>
    <w:p>
      <w:pPr>
        <w:pStyle w:val="BodyText"/>
        <w:spacing w:line="316" w:lineRule="auto" w:before="19"/>
        <w:ind w:left="1494" w:right="1032" w:hanging="360"/>
        <w:jc w:val="left"/>
      </w:pPr>
      <w:r>
        <w:rPr>
          <w:rFonts w:ascii="宋体" w:hAnsi="宋体" w:cs="宋体" w:eastAsia="宋体" w:hint="default"/>
        </w:rPr>
        <w:t>13.</w:t>
      </w:r>
      <w:r>
        <w:rPr>
          <w:rFonts w:ascii="宋体" w:hAnsi="宋体" w:cs="宋体" w:eastAsia="宋体" w:hint="default"/>
          <w:spacing w:val="-42"/>
        </w:rPr>
        <w:t> </w:t>
      </w:r>
      <w:r>
        <w:rPr/>
        <w:t>郑升尉先生：本科学历，高级会计师，任职于福建华兴科技有限责任公司、福建财经会计师事务所，历任福州博思软件 开发有限公司副总经理，现任福建博思软件股份有限公司副总经理、财务总监，福州兴博新中大软件有限公司董事长， </w:t>
      </w:r>
      <w:r>
        <w:rPr>
          <w:spacing w:val="-2"/>
        </w:rPr>
        <w:t>福建博思创业园管理有限公司执行董事，福建博宇信息科技股份有限公司监事会主席，北京支点国际资讯投资有限公司</w:t>
      </w:r>
      <w:r>
        <w:rPr/>
        <w:t> 监事会主席，内蒙古金财信息技术有限公司监事，福建优福农业科技有限公司执行董事兼总经理。</w:t>
      </w:r>
    </w:p>
    <w:p>
      <w:pPr>
        <w:pStyle w:val="BodyText"/>
        <w:spacing w:line="316" w:lineRule="auto" w:before="19"/>
        <w:ind w:left="1494" w:right="1131" w:hanging="360"/>
        <w:jc w:val="both"/>
      </w:pPr>
      <w:r>
        <w:rPr>
          <w:rFonts w:ascii="宋体" w:hAnsi="宋体" w:cs="宋体" w:eastAsia="宋体" w:hint="default"/>
        </w:rPr>
        <w:t>14.</w:t>
      </w:r>
      <w:r>
        <w:rPr>
          <w:rFonts w:ascii="宋体" w:hAnsi="宋体" w:cs="宋体" w:eastAsia="宋体" w:hint="default"/>
          <w:spacing w:val="18"/>
        </w:rPr>
        <w:t> </w:t>
      </w:r>
      <w:r>
        <w:rPr>
          <w:spacing w:val="-2"/>
        </w:rPr>
        <w:t>余双兴先生：历任福建华兴科技有限责任公司市场部副经理、福州博思软件开发有限公司副总经理、监事、北京博思兴</w:t>
      </w:r>
      <w:r>
        <w:rPr/>
        <w:t> </w:t>
      </w:r>
      <w:r>
        <w:rPr>
          <w:spacing w:val="-2"/>
        </w:rPr>
        <w:t>华软件有限公司执行董事兼经理，现任福建博思软件股份有限公司副总经理、北京博思致新互联网科技有限责任公司监</w:t>
      </w:r>
      <w:r>
        <w:rPr/>
        <w:t> 事、福建慧舟信息科技有限公司董事。</w:t>
      </w:r>
    </w:p>
    <w:p>
      <w:pPr>
        <w:pStyle w:val="BodyText"/>
        <w:spacing w:line="240" w:lineRule="auto" w:before="19"/>
        <w:ind w:left="1134" w:right="0"/>
        <w:jc w:val="left"/>
      </w:pPr>
      <w:r>
        <w:rPr>
          <w:rFonts w:ascii="宋体" w:hAnsi="宋体" w:cs="宋体" w:eastAsia="宋体" w:hint="default"/>
        </w:rPr>
        <w:t>15.</w:t>
      </w:r>
      <w:r>
        <w:rPr>
          <w:rFonts w:ascii="宋体" w:hAnsi="宋体" w:cs="宋体" w:eastAsia="宋体" w:hint="default"/>
          <w:spacing w:val="19"/>
        </w:rPr>
        <w:t> </w:t>
      </w:r>
      <w:r>
        <w:rPr>
          <w:spacing w:val="-2"/>
        </w:rPr>
        <w:t>林宏先生：硕士学历，历任宝钢资源有限公司风险管理专员、子公司财务副经理，安踏（中国）有限公司内控管理部副</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jc w:val="left"/>
      </w:pPr>
      <w:r>
        <w:rPr>
          <w:spacing w:val="-2"/>
        </w:rPr>
        <w:t>经理，厦门象屿集团有限公司内审部项目经理，国金证券股份有限公司上海证券承销保荐分公司投行部项目经理、高级</w:t>
      </w:r>
      <w:r>
        <w:rPr>
          <w:spacing w:val="-70"/>
        </w:rPr>
        <w:t> </w:t>
      </w:r>
      <w:r>
        <w:rPr>
          <w:spacing w:val="-70"/>
        </w:rPr>
      </w:r>
      <w:r>
        <w:rPr/>
        <w:t>经理，现任福建博思软件股份有限公司副总经理、董事会秘书。</w:t>
      </w:r>
    </w:p>
    <w:p>
      <w:pPr>
        <w:pStyle w:val="BodyText"/>
        <w:spacing w:line="240" w:lineRule="auto" w:before="59"/>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厦门均和资产评估咨询有限公司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好利来（中国）电子科技股份有限公司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厦门大学经济学院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中华外国经济学说研究会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厦门市土地学会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福建南安农村商业银行股份有限公司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福州大学数学与计算机科学学院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福建省信息产业专家委员会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福建省计算机学会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福建省人工智能学会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南威软件股份有限公司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福建星网锐捷通讯股份有限公司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福建顶点软件股份有限公司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02"/>
        <w:gridCol w:w="8367"/>
      </w:tblGrid>
      <w:tr>
        <w:trPr>
          <w:trHeight w:val="1650"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上述单位中福建博思电子政务科技有限公司、北京博思兴华软件有限公司、黑龙江博思软件有限公司为公 司全资子公司；北京博思致新互联网科技有限责任公司、北京支点国际资讯投资有限公司、福州兴博新中 大软件有限公司、福建博思创业园管理有限公司、内蒙古金财信息技术有限公司为公司控股子公司；福建 博宇信息科技股份有限公司、福建慧舟信息科技有限公司为公司参股公司；北京公易人人信息技术有限公 司为刘少华先生控股公司、福建优福农业科技有限公司为郑升尉先生控股公司、</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1353"/>
        <w:gridCol w:w="7171"/>
      </w:tblGrid>
      <w:tr>
        <w:trPr>
          <w:trHeight w:val="1051" w:hRule="exact"/>
        </w:trPr>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75"/>
              <w:jc w:val="both"/>
              <w:rPr>
                <w:rFonts w:ascii="宋体" w:hAnsi="宋体" w:cs="宋体" w:eastAsia="宋体" w:hint="default"/>
                <w:sz w:val="18"/>
                <w:szCs w:val="18"/>
              </w:rPr>
            </w:pPr>
            <w:r>
              <w:rPr>
                <w:rFonts w:ascii="宋体" w:hAnsi="宋体" w:cs="宋体" w:eastAsia="宋体" w:hint="default"/>
                <w:sz w:val="18"/>
                <w:szCs w:val="18"/>
              </w:rPr>
              <w:t>董事、监事、高 级管理人员报酬 的决策程序</w:t>
            </w:r>
          </w:p>
        </w:tc>
        <w:tc>
          <w:tcPr>
            <w:tcW w:w="71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both"/>
              <w:rPr>
                <w:rFonts w:ascii="宋体" w:hAnsi="宋体" w:cs="宋体" w:eastAsia="宋体" w:hint="default"/>
                <w:sz w:val="18"/>
                <w:szCs w:val="18"/>
              </w:rPr>
            </w:pPr>
            <w:r>
              <w:rPr>
                <w:rFonts w:ascii="宋体" w:hAnsi="宋体" w:cs="宋体" w:eastAsia="宋体" w:hint="default"/>
                <w:spacing w:val="-2"/>
                <w:sz w:val="18"/>
                <w:szCs w:val="18"/>
              </w:rPr>
              <w:t>公司的董事、监事的薪酬由公司股东大会决定，高级管理人员的薪酬由公司董事会决定。不</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在公司任职的非独立董事不领取报酬或津贴。公司董事、监事的薪酬、津贴经董事会审议批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准后，提交股东大会审议通过后实施。</w:t>
            </w:r>
          </w:p>
        </w:tc>
      </w:tr>
      <w:tr>
        <w:trPr>
          <w:trHeight w:val="1051" w:hRule="exact"/>
        </w:trPr>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5"/>
              <w:jc w:val="both"/>
              <w:rPr>
                <w:rFonts w:ascii="宋体" w:hAnsi="宋体" w:cs="宋体" w:eastAsia="宋体" w:hint="default"/>
                <w:sz w:val="18"/>
                <w:szCs w:val="18"/>
              </w:rPr>
            </w:pPr>
            <w:r>
              <w:rPr>
                <w:rFonts w:ascii="宋体" w:hAnsi="宋体" w:cs="宋体" w:eastAsia="宋体" w:hint="default"/>
                <w:sz w:val="18"/>
                <w:szCs w:val="18"/>
              </w:rPr>
              <w:t>董事、监事、高 级管理人员报酬 的确定依据</w:t>
            </w:r>
          </w:p>
        </w:tc>
        <w:tc>
          <w:tcPr>
            <w:tcW w:w="71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2"/>
                <w:sz w:val="18"/>
                <w:szCs w:val="18"/>
              </w:rPr>
              <w:t>主要依据公司经营状况、管理岗位的主要范围与职责、重要性以及对业绩完成情况进行考核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来确定；独立董事的津贴标准参照本地区、同行业上市公司的整体水平。</w:t>
            </w:r>
          </w:p>
        </w:tc>
      </w:tr>
      <w:tr>
        <w:trPr>
          <w:trHeight w:val="1051" w:hRule="exact"/>
        </w:trPr>
        <w:tc>
          <w:tcPr>
            <w:tcW w:w="13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75"/>
              <w:jc w:val="both"/>
              <w:rPr>
                <w:rFonts w:ascii="宋体" w:hAnsi="宋体" w:cs="宋体" w:eastAsia="宋体" w:hint="default"/>
                <w:sz w:val="18"/>
                <w:szCs w:val="18"/>
              </w:rPr>
            </w:pPr>
            <w:r>
              <w:rPr>
                <w:rFonts w:ascii="宋体" w:hAnsi="宋体" w:cs="宋体" w:eastAsia="宋体" w:hint="default"/>
                <w:sz w:val="18"/>
                <w:szCs w:val="18"/>
              </w:rPr>
              <w:t>董事、监事、高 级管理人员报酬 的实际支付情况</w:t>
            </w:r>
          </w:p>
        </w:tc>
        <w:tc>
          <w:tcPr>
            <w:tcW w:w="7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报告期内，董事、监事和高级管理人员薪酬已按年度薪酬计划支付。</w:t>
            </w:r>
          </w:p>
        </w:tc>
      </w:tr>
    </w:tbl>
    <w:p>
      <w:pPr>
        <w:spacing w:line="240" w:lineRule="auto" w:before="5"/>
        <w:rPr>
          <w:rFonts w:ascii="宋体" w:hAnsi="宋体" w:cs="宋体" w:eastAsia="宋体" w:hint="default"/>
          <w:sz w:val="24"/>
          <w:szCs w:val="24"/>
        </w:rPr>
      </w:pPr>
    </w:p>
    <w:p>
      <w:pPr>
        <w:pStyle w:val="BodyText"/>
        <w:spacing w:line="240" w:lineRule="auto" w:before="44"/>
        <w:ind w:left="113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陶翔宇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348.89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0"/>
        <w:rPr>
          <w:rFonts w:ascii="宋体" w:hAnsi="宋体" w:cs="宋体" w:eastAsia="宋体" w:hint="default"/>
          <w:sz w:val="8"/>
          <w:szCs w:val="8"/>
        </w:rPr>
      </w:pPr>
      <w:r>
        <w:rPr/>
        <w:pict>
          <v:group style="position:absolute;margin-left:143.720001pt;margin-top:349.039978pt;width:43pt;height:15.6pt;mso-position-horizontal-relative:page;mso-position-vertical-relative:page;z-index:-988720" coordorigin="2874,6981" coordsize="860,312">
            <v:shape style="position:absolute;left:2874;top:6981;width:860;height:312" coordorigin="2874,6981" coordsize="860,312" path="m2874,7293l3734,7293,3734,6981,2874,6981,2874,7293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580,000</w:t>
            </w:r>
          </w:p>
        </w:tc>
      </w:tr>
      <w:tr>
        <w:trPr>
          <w:trHeight w:val="162" w:hRule="exact"/>
        </w:trPr>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z w:val="18"/>
                <w:szCs w:val="18"/>
              </w:rPr>
              <w:t>公司于报告期内实施限制性股票激励计划，限制性股票授予日为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p>
            <w:pPr>
              <w:pStyle w:val="TableParagraph"/>
              <w:spacing w:line="302" w:lineRule="auto" w:before="61"/>
              <w:ind w:left="15" w:right="21"/>
              <w:jc w:val="left"/>
              <w:rPr>
                <w:rFonts w:ascii="宋体" w:hAnsi="宋体" w:cs="宋体" w:eastAsia="宋体" w:hint="default"/>
                <w:sz w:val="18"/>
                <w:szCs w:val="18"/>
              </w:rPr>
            </w:pPr>
            <w:r>
              <w:rPr>
                <w:rFonts w:ascii="宋体" w:hAnsi="宋体" w:cs="宋体" w:eastAsia="宋体" w:hint="default"/>
                <w:sz w:val="18"/>
                <w:szCs w:val="18"/>
              </w:rPr>
              <w:t>登记上市。本激励计划授予的限制性股票限售期为自股权登记日起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个月，分三年解锁，每年可解锁的比例分</w:t>
            </w:r>
            <w:r>
              <w:rPr>
                <w:rFonts w:ascii="宋体" w:hAnsi="宋体" w:cs="宋体" w:eastAsia="宋体" w:hint="default"/>
                <w:sz w:val="18"/>
                <w:szCs w:val="18"/>
              </w:rPr>
              <w:t> 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703" w:hRule="exact"/>
        </w:trPr>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vMerge/>
            <w:tcBorders>
              <w:left w:val="single" w:sz="10" w:space="0" w:color="D2D2D2"/>
              <w:right w:val="single" w:sz="4" w:space="0" w:color="000000"/>
            </w:tcBorders>
          </w:tcPr>
          <w:p>
            <w:pPr/>
          </w:p>
        </w:tc>
      </w:tr>
      <w:tr>
        <w:trPr>
          <w:trHeight w:val="162" w:hRule="exact"/>
        </w:trPr>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8" w:type="dxa"/>
            <w:gridSpan w:val="10"/>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公司薪酬政策坚持与岗位价值相匹配的基本原则，以管理与专业序列并行的等级制薪酬体系，根据不同类别岗位制定相应的</w:t>
      </w:r>
      <w:r>
        <w:rPr>
          <w:spacing w:val="-64"/>
        </w:rPr>
        <w:t> </w:t>
      </w:r>
      <w:r>
        <w:rPr>
          <w:spacing w:val="-64"/>
        </w:rPr>
      </w:r>
      <w:r>
        <w:rPr/>
        <w:t>薪酬等级体系，在每个薪酬等级体系内根据其管理能力、专业技能水平确定对应的薪酬。 </w:t>
      </w:r>
      <w:r>
        <w:rPr>
          <w:spacing w:val="-2"/>
        </w:rPr>
        <w:t>同时，公司为提升薪资福利的竞争性，能够留住和吸引更多的优秀人才，通过工资和奖金、绩效、福利等激励性的设计激发</w:t>
      </w:r>
      <w:r>
        <w:rPr>
          <w:spacing w:val="-66"/>
        </w:rPr>
        <w:t> </w:t>
      </w:r>
      <w:r>
        <w:rPr>
          <w:spacing w:val="-66"/>
        </w:rPr>
      </w:r>
      <w:r>
        <w:rPr/>
        <w:t>员工工作积极性。一方面，薪资与公司、部门和个人的绩效完成状况密切相关，不同的绩效考评结果会在薪资中准确体现， </w:t>
      </w:r>
      <w:r>
        <w:rPr>
          <w:spacing w:val="-2"/>
        </w:rPr>
        <w:t>实现员工的自我激励与提升，从而最终保障公司整体绩效目标的实现。另一方面，公司将依据经营方向持续设计不同的激励</w:t>
      </w:r>
      <w:r>
        <w:rPr>
          <w:spacing w:val="-66"/>
        </w:rPr>
        <w:t> </w:t>
      </w:r>
      <w:r>
        <w:rPr>
          <w:spacing w:val="-66"/>
        </w:rPr>
      </w:r>
      <w:r>
        <w:rPr>
          <w:spacing w:val="-2"/>
        </w:rPr>
        <w:t>通道，使不同岗位的员工有同等的晋级机会。最终，公司用适当工资成本的增加激发员工创造更多的经济增加值，保障投资</w:t>
      </w:r>
      <w:r>
        <w:rPr>
          <w:spacing w:val="-66"/>
        </w:rPr>
        <w:t> </w:t>
      </w:r>
      <w:r>
        <w:rPr>
          <w:spacing w:val="-66"/>
        </w:rPr>
      </w:r>
      <w:r>
        <w:rPr/>
        <w:t>者的利益，实现可持续发展。</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公司坚持培训是对员工的投资，形成了基本覆盖各层级员工的培训体系，分为内部培训和外部培训，包括岗位培训、技能培</w:t>
      </w:r>
      <w:r>
        <w:rPr>
          <w:spacing w:val="-66"/>
        </w:rPr>
        <w:t> </w:t>
      </w:r>
      <w:r>
        <w:rPr>
          <w:spacing w:val="-66"/>
        </w:rPr>
      </w:r>
      <w:r>
        <w:rPr>
          <w:spacing w:val="-2"/>
        </w:rPr>
        <w:t>训、团队培训等。人力资源部门根据员工自身情况结合工作实际开展中的需求，制定详实可行的培训方案，通过内部讲师跟</w:t>
      </w:r>
      <w:r>
        <w:rPr>
          <w:spacing w:val="-66"/>
        </w:rPr>
        <w:t> </w:t>
      </w:r>
      <w:r>
        <w:rPr>
          <w:spacing w:val="-66"/>
        </w:rPr>
      </w:r>
      <w:r>
        <w:rPr>
          <w:spacing w:val="-2"/>
        </w:rPr>
        <w:t>踪培养、案例教学、内外部管理课程等模式，在最大限度满足企业业务发展需要的同时，为员工提供良好的职业发展通道和</w:t>
      </w:r>
      <w:r>
        <w:rPr>
          <w:spacing w:val="-66"/>
        </w:rPr>
        <w:t> </w:t>
      </w:r>
      <w:r>
        <w:rPr>
          <w:spacing w:val="-66"/>
        </w:rPr>
      </w:r>
      <w:r>
        <w:rPr/>
        <w:t>平台。</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报告期内，公司严格按照《公司法》、《证券法》、《深圳证券交易所创业板股票上市规则》、《深圳证券交易所创业</w:t>
      </w:r>
      <w:r>
        <w:rPr/>
        <w:t> </w:t>
      </w:r>
      <w:r>
        <w:rPr>
          <w:spacing w:val="-2"/>
        </w:rPr>
        <w:t>板上市公司规范运作指引》等法律、法规和中国证监会有关法律法规等的要求，不断完善公司的法人治理结构，建立健全公</w:t>
      </w:r>
      <w:r>
        <w:rPr>
          <w:spacing w:val="-66"/>
        </w:rPr>
        <w:t> </w:t>
      </w:r>
      <w:r>
        <w:rPr>
          <w:spacing w:val="-66"/>
        </w:rPr>
      </w:r>
      <w:r>
        <w:rPr>
          <w:spacing w:val="-2"/>
        </w:rPr>
        <w:t>司内部管理和控制制度，促进公司规范运作，提高公司治理水平。截至报告期内，公司实际状况符合《深圳证券交易所创业</w:t>
      </w:r>
      <w:r>
        <w:rPr>
          <w:spacing w:val="-66"/>
        </w:rPr>
        <w:t> </w:t>
      </w:r>
      <w:r>
        <w:rPr>
          <w:spacing w:val="-66"/>
        </w:rPr>
      </w:r>
      <w:r>
        <w:rPr/>
        <w:t>板上市公司规范运作指引》的要求。</w:t>
      </w:r>
    </w:p>
    <w:p>
      <w:pPr>
        <w:pStyle w:val="BodyText"/>
        <w:spacing w:line="357" w:lineRule="auto" w:before="58"/>
        <w:ind w:left="1493" w:right="0"/>
        <w:jc w:val="left"/>
      </w:pPr>
      <w:r>
        <w:rPr/>
        <w:t>（一）关于股东和股东大会 </w:t>
      </w:r>
      <w:r>
        <w:rPr>
          <w:spacing w:val="-2"/>
        </w:rPr>
        <w:t>公司股东按照公司章程、《股东大会议事规则》的规定按其所持股份享有平等地位，并承担相应的义务。公司治理结构</w:t>
      </w:r>
    </w:p>
    <w:p>
      <w:pPr>
        <w:pStyle w:val="BodyText"/>
        <w:spacing w:line="224" w:lineRule="exact"/>
        <w:ind w:right="0"/>
        <w:jc w:val="left"/>
      </w:pPr>
      <w:r>
        <w:rPr>
          <w:spacing w:val="-4"/>
        </w:rPr>
        <w:t>能够保证所有股东，特别是中小股东享有平等地位，确保股东合法行使权益，保证了股东对公司重大事项的知情权、参与权、</w:t>
      </w:r>
    </w:p>
    <w:p>
      <w:pPr>
        <w:pStyle w:val="BodyText"/>
        <w:spacing w:line="319" w:lineRule="auto" w:before="76"/>
        <w:ind w:right="0"/>
        <w:jc w:val="left"/>
      </w:pPr>
      <w:r>
        <w:rPr>
          <w:spacing w:val="-2"/>
        </w:rPr>
        <w:t>表决权。报告期内的股东大会均由董事会召集召开，根据相关法律、行政法规、部门规章、规范性文件及公司章程等规定应</w:t>
      </w:r>
      <w:r>
        <w:rPr>
          <w:spacing w:val="-66"/>
        </w:rPr>
        <w:t> </w:t>
      </w:r>
      <w:r>
        <w:rPr>
          <w:spacing w:val="-66"/>
        </w:rPr>
      </w:r>
      <w:r>
        <w:rPr/>
        <w:t>由股东大会表决的事项均按照相应的权限审批后交由股东大会审议。</w:t>
      </w:r>
    </w:p>
    <w:p>
      <w:pPr>
        <w:pStyle w:val="BodyText"/>
        <w:spacing w:line="357" w:lineRule="auto" w:before="56"/>
        <w:ind w:left="1493" w:right="0"/>
        <w:jc w:val="left"/>
      </w:pPr>
      <w:r>
        <w:rPr/>
        <w:t>（二）公司和控股股东 </w:t>
      </w:r>
      <w:r>
        <w:rPr>
          <w:spacing w:val="-2"/>
        </w:rPr>
        <w:t>公司控股股东严格规范自己的行为，未超越股东大会直接或间接干预公司的决策和经营活动。公司拥有独立完整的业务</w:t>
      </w:r>
    </w:p>
    <w:p>
      <w:pPr>
        <w:pStyle w:val="BodyText"/>
        <w:spacing w:line="224" w:lineRule="exact"/>
        <w:ind w:right="0"/>
        <w:jc w:val="left"/>
      </w:pPr>
      <w:r>
        <w:rPr/>
        <w:t>和自主经营能力，在业务、人员、资产、机构、财务上独立于控股股东，公司董事会、监事会和内部机构独立运作。报告期</w:t>
      </w:r>
    </w:p>
    <w:p>
      <w:pPr>
        <w:pStyle w:val="BodyText"/>
        <w:spacing w:line="240" w:lineRule="auto" w:before="77"/>
        <w:ind w:right="0"/>
        <w:jc w:val="left"/>
      </w:pPr>
      <w:r>
        <w:rPr/>
        <w:t>内，公司没有为控股股东提供担保，亦不存在控股股东非经营性占用公司资金的行为。</w:t>
      </w:r>
    </w:p>
    <w:p>
      <w:pPr>
        <w:pStyle w:val="BodyText"/>
        <w:spacing w:line="357" w:lineRule="auto" w:before="116"/>
        <w:ind w:left="1493" w:right="1123"/>
        <w:jc w:val="left"/>
      </w:pPr>
      <w:r>
        <w:rPr/>
        <w:t>（三）关于董事和董事会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月完成董事会换届选举工作，第二届董事会设董事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名，董事会的人数及人员构成均</w:t>
      </w:r>
    </w:p>
    <w:p>
      <w:pPr>
        <w:pStyle w:val="BodyText"/>
        <w:spacing w:line="201" w:lineRule="exact"/>
        <w:ind w:right="0"/>
        <w:jc w:val="left"/>
      </w:pPr>
      <w:r>
        <w:rPr/>
        <w:t>符合法律、法规和《公司章程》的要求。各位董事能够依据《董事会议事规则》、《独立董事工作制度》、《深圳证券交易</w:t>
      </w:r>
    </w:p>
    <w:p>
      <w:pPr>
        <w:pStyle w:val="BodyText"/>
        <w:spacing w:line="319" w:lineRule="auto" w:before="76"/>
        <w:ind w:right="0"/>
        <w:jc w:val="left"/>
      </w:pPr>
      <w:r>
        <w:rPr>
          <w:spacing w:val="-2"/>
        </w:rPr>
        <w:t>所创业板上市公司规范运作指引》等开展工作，出席董事会和股东大会，勤勉尽责地履行职务和义务，同时积极参加相关培</w:t>
      </w:r>
      <w:r>
        <w:rPr>
          <w:spacing w:val="-66"/>
        </w:rPr>
        <w:t> </w:t>
      </w:r>
      <w:r>
        <w:rPr>
          <w:spacing w:val="-66"/>
        </w:rPr>
      </w:r>
      <w:r>
        <w:rPr/>
        <w:t>训，熟悉相关法律法规。各董事严格审议相关议案，保证了公司相关事项的科学决策。</w:t>
      </w:r>
    </w:p>
    <w:p>
      <w:pPr>
        <w:pStyle w:val="BodyText"/>
        <w:spacing w:line="357" w:lineRule="auto" w:before="58"/>
        <w:ind w:left="1493" w:right="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名，监事会的人数和人员构成符合法律、法规的要求。各位监事均能够按照《监</w:t>
      </w:r>
    </w:p>
    <w:p>
      <w:pPr>
        <w:pStyle w:val="BodyText"/>
        <w:spacing w:line="201" w:lineRule="exact"/>
        <w:ind w:right="0"/>
        <w:jc w:val="left"/>
      </w:pPr>
      <w:r>
        <w:rPr/>
        <w:t>事会议事规则》的要求，认真履行自己的职责，对公司及董事、高级管理人员履行职责的合法、合规性进行监督，维护公司</w:t>
      </w:r>
    </w:p>
    <w:p>
      <w:pPr>
        <w:pStyle w:val="BodyText"/>
        <w:spacing w:line="240" w:lineRule="auto" w:before="77"/>
        <w:ind w:right="0"/>
        <w:jc w:val="left"/>
      </w:pPr>
      <w:r>
        <w:rPr/>
        <w:t>及股东的合法权益。</w:t>
      </w:r>
    </w:p>
    <w:p>
      <w:pPr>
        <w:pStyle w:val="BodyText"/>
        <w:spacing w:line="240" w:lineRule="auto" w:before="116"/>
        <w:ind w:left="1493" w:right="0"/>
        <w:jc w:val="left"/>
      </w:pPr>
      <w:r>
        <w:rPr/>
        <w:t>（五）关于董事会四个委员会</w:t>
      </w:r>
    </w:p>
    <w:p>
      <w:pPr>
        <w:pStyle w:val="BodyText"/>
        <w:spacing w:line="338" w:lineRule="auto" w:before="117"/>
        <w:ind w:left="1493" w:right="1123"/>
        <w:jc w:val="left"/>
      </w:pPr>
      <w:r>
        <w:rPr>
          <w:rFonts w:ascii="Times New Roman" w:hAnsi="Times New Roman" w:cs="Times New Roman" w:eastAsia="Times New Roman" w:hint="default"/>
        </w:rPr>
        <w:t>1</w:t>
      </w:r>
      <w:r>
        <w:rPr/>
        <w:t>、审计委员会 公司董事会审计委员会设委员</w:t>
      </w:r>
      <w:r>
        <w:rPr>
          <w:rFonts w:ascii="Times New Roman" w:hAnsi="Times New Roman" w:cs="Times New Roman" w:eastAsia="Times New Roman" w:hint="default"/>
        </w:rPr>
        <w:t>3</w:t>
      </w:r>
      <w:r>
        <w:rPr/>
        <w:t>名，审计委员会人数及人员构成符合法律、法规及公司章程的要求。各位委员均能按照</w:t>
      </w:r>
    </w:p>
    <w:p>
      <w:pPr>
        <w:pStyle w:val="BodyText"/>
        <w:spacing w:line="217" w:lineRule="exact"/>
        <w:ind w:left="1134" w:right="0"/>
        <w:jc w:val="left"/>
      </w:pPr>
      <w:r>
        <w:rPr/>
        <w:t>《审计委员会议事规则》的要求，认真履行自己的职责，对公司财务报告、内部控制情况、内外审计机构的工作情况等事项</w:t>
      </w:r>
    </w:p>
    <w:p>
      <w:pPr>
        <w:pStyle w:val="BodyText"/>
        <w:spacing w:line="240" w:lineRule="auto" w:before="77"/>
        <w:ind w:left="1134" w:right="0"/>
        <w:jc w:val="left"/>
      </w:pPr>
      <w:r>
        <w:rPr/>
        <w:t>进行审议，并提交公司董事会审议，配合监事会的审计工作。</w:t>
      </w:r>
    </w:p>
    <w:p>
      <w:pPr>
        <w:pStyle w:val="BodyText"/>
        <w:spacing w:line="338" w:lineRule="auto" w:before="116"/>
        <w:ind w:left="1493" w:right="1123"/>
        <w:jc w:val="left"/>
      </w:pPr>
      <w:r>
        <w:rPr>
          <w:rFonts w:ascii="Times New Roman" w:hAnsi="Times New Roman" w:cs="Times New Roman" w:eastAsia="Times New Roman" w:hint="default"/>
        </w:rPr>
        <w:t>2</w:t>
      </w:r>
      <w:r>
        <w:rPr/>
        <w:t>、战略委员会 公司董事会战略委员会设委员</w:t>
      </w:r>
      <w:r>
        <w:rPr>
          <w:rFonts w:ascii="Times New Roman" w:hAnsi="Times New Roman" w:cs="Times New Roman" w:eastAsia="Times New Roman" w:hint="default"/>
        </w:rPr>
        <w:t>3</w:t>
      </w:r>
      <w:r>
        <w:rPr/>
        <w:t>名，战略委员会人数及人员构成符合法律、法规及公司章程的要求。各位委员均能按照</w:t>
      </w:r>
    </w:p>
    <w:p>
      <w:pPr>
        <w:pStyle w:val="BodyText"/>
        <w:spacing w:line="218" w:lineRule="exact"/>
        <w:ind w:left="1134" w:right="0"/>
        <w:jc w:val="left"/>
      </w:pPr>
      <w:r>
        <w:rPr/>
        <w:t>《战略委员会议事规则》的要求，认真履行自己的职责。</w:t>
      </w:r>
    </w:p>
    <w:p>
      <w:pPr>
        <w:pStyle w:val="BodyText"/>
        <w:spacing w:line="338" w:lineRule="auto" w:before="116"/>
        <w:ind w:left="1493" w:right="1123"/>
        <w:jc w:val="left"/>
      </w:pPr>
      <w:r>
        <w:rPr>
          <w:rFonts w:ascii="Times New Roman" w:hAnsi="Times New Roman" w:cs="Times New Roman" w:eastAsia="Times New Roman" w:hint="default"/>
        </w:rPr>
        <w:t>3</w:t>
      </w:r>
      <w:r>
        <w:rPr/>
        <w:t>、提名委员会 公司董事会提名委员会设委员</w:t>
      </w:r>
      <w:r>
        <w:rPr>
          <w:rFonts w:ascii="Times New Roman" w:hAnsi="Times New Roman" w:cs="Times New Roman" w:eastAsia="Times New Roman" w:hint="default"/>
        </w:rPr>
        <w:t>3</w:t>
      </w:r>
      <w:r>
        <w:rPr/>
        <w:t>名，提名委员会人数及人员构成符合法律、法规及公司章程的要求。各位委员均能按照</w:t>
      </w:r>
    </w:p>
    <w:p>
      <w:pPr>
        <w:pStyle w:val="BodyText"/>
        <w:spacing w:line="218" w:lineRule="exact"/>
        <w:ind w:left="1134" w:right="0"/>
        <w:jc w:val="left"/>
      </w:pPr>
      <w:r>
        <w:rPr>
          <w:spacing w:val="-4"/>
        </w:rPr>
        <w:t>《提名委员会议事规则》的要求，尽职尽责，对公司董事、高级管理人员候选人进行审查，并向公司董事会提出意见和建议。</w:t>
      </w:r>
    </w:p>
    <w:p>
      <w:pPr>
        <w:pStyle w:val="BodyText"/>
        <w:spacing w:line="338" w:lineRule="auto" w:before="116"/>
        <w:ind w:left="1494" w:right="1122"/>
        <w:jc w:val="left"/>
      </w:pPr>
      <w:r>
        <w:rPr>
          <w:rFonts w:ascii="Times New Roman" w:hAnsi="Times New Roman" w:cs="Times New Roman" w:eastAsia="Times New Roman" w:hint="default"/>
        </w:rPr>
        <w:t>4</w:t>
      </w:r>
      <w:r>
        <w:rPr/>
        <w:t>、薪酬与考核委员会 公司董事会薪酬与考核委员会设委员</w:t>
      </w:r>
      <w:r>
        <w:rPr>
          <w:rFonts w:ascii="Times New Roman" w:hAnsi="Times New Roman" w:cs="Times New Roman" w:eastAsia="Times New Roman" w:hint="default"/>
        </w:rPr>
        <w:t>3</w:t>
      </w:r>
      <w:r>
        <w:rPr/>
        <w:t>名，薪酬与考核委员会人数及人员构成符合法律、法规及公司章程的要求。各位</w:t>
      </w:r>
    </w:p>
    <w:p>
      <w:pPr>
        <w:pStyle w:val="BodyText"/>
        <w:spacing w:line="217" w:lineRule="exact"/>
        <w:ind w:left="1134" w:right="0"/>
        <w:jc w:val="left"/>
      </w:pPr>
      <w:r>
        <w:rPr/>
        <w:t>委员均能按照《薪酬与考核委员会议事规则》的要求，根据董事及高级管理人员管理岗位的主要范围、职责及其他企业相关</w:t>
      </w:r>
    </w:p>
    <w:p>
      <w:pPr>
        <w:spacing w:after="0" w:line="217" w:lineRule="exact"/>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岗位的薪酬水平制定薪酬方案，审查公司董事及高级管理人员的履行职责情况，监督公司薪酬制度的执行情况。</w:t>
      </w:r>
    </w:p>
    <w:p>
      <w:pPr>
        <w:pStyle w:val="BodyText"/>
        <w:spacing w:line="357" w:lineRule="auto" w:before="116"/>
        <w:ind w:left="1493" w:right="0"/>
        <w:jc w:val="left"/>
      </w:pPr>
      <w:r>
        <w:rPr/>
        <w:t>（六）关于信息披露与透明度 </w:t>
      </w:r>
      <w:r>
        <w:rPr>
          <w:spacing w:val="-2"/>
        </w:rPr>
        <w:t>公司严格按照有关法律法规及《信息披露事务管理制度》的要求，真实、准确、及时、公平、完整地披露有关信息；并</w:t>
      </w:r>
    </w:p>
    <w:p>
      <w:pPr>
        <w:pStyle w:val="BodyText"/>
        <w:spacing w:line="224" w:lineRule="exact"/>
        <w:ind w:right="0"/>
        <w:jc w:val="left"/>
      </w:pPr>
      <w:r>
        <w:rPr/>
        <w:t>指定公司董事会秘书负责信息披露工作、协调公司与投资者的关系、接待股东来访、回答投资者咨询、向投资者提供公司已</w:t>
      </w:r>
    </w:p>
    <w:p>
      <w:pPr>
        <w:pStyle w:val="BodyText"/>
        <w:spacing w:line="319" w:lineRule="auto" w:before="77"/>
        <w:ind w:right="0"/>
        <w:jc w:val="left"/>
      </w:pPr>
      <w:r>
        <w:rPr>
          <w:spacing w:val="-2"/>
        </w:rPr>
        <w:t>披露的资料；为确保公司所有股东能够以平等的机会获得信息，公司指定《中国证券报》、《证券日报》、《证券时报》和</w:t>
      </w:r>
      <w:r>
        <w:rPr>
          <w:spacing w:val="-69"/>
        </w:rPr>
        <w:t> </w:t>
      </w:r>
      <w:r>
        <w:rPr>
          <w:spacing w:val="-69"/>
        </w:rPr>
      </w:r>
      <w:r>
        <w:rPr/>
        <w:t>巨潮资讯网（</w:t>
      </w:r>
      <w:hyperlink r:id="rId12">
        <w:r>
          <w:rPr>
            <w:rFonts w:ascii="Times New Roman" w:hAnsi="Times New Roman" w:cs="Times New Roman" w:eastAsia="Times New Roman" w:hint="default"/>
          </w:rPr>
          <w:t>www.cninfo.com.cn</w:t>
        </w:r>
      </w:hyperlink>
      <w:r>
        <w:rPr/>
        <w:t>）为公司信息披露媒体。</w:t>
      </w: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753"/>
        <w:jc w:val="left"/>
      </w:pPr>
      <w:r>
        <w:rPr/>
        <w:t>（一）业务方面 公司拥有独立完整的业务体系和自主经营能力，控股股东按照承诺未从事与公司业务相同或相近的业务活动。</w:t>
      </w:r>
    </w:p>
    <w:p>
      <w:pPr>
        <w:pStyle w:val="BodyText"/>
        <w:spacing w:line="357" w:lineRule="auto" w:before="29"/>
        <w:ind w:left="1493" w:right="0"/>
        <w:jc w:val="left"/>
      </w:pPr>
      <w:r>
        <w:rPr/>
        <w:t>（二）人员方面 </w:t>
      </w:r>
      <w:r>
        <w:rPr>
          <w:spacing w:val="-2"/>
        </w:rPr>
        <w:t>公司的总经理、副总经理、财务负责人和董事会秘书等高级管理人员不在控股股东、实际控制人及其控制的其他企业中</w:t>
      </w:r>
    </w:p>
    <w:p>
      <w:pPr>
        <w:pStyle w:val="BodyText"/>
        <w:spacing w:line="224" w:lineRule="exact"/>
        <w:ind w:right="0"/>
        <w:jc w:val="left"/>
      </w:pPr>
      <w:r>
        <w:rPr/>
        <w:t>担任除董事、监事以外的其他职务，不在控股股东、实际控制人及其控制的其他企业领薪；公司的财务人员不在控股股东、</w:t>
      </w:r>
    </w:p>
    <w:p>
      <w:pPr>
        <w:pStyle w:val="BodyText"/>
        <w:spacing w:line="240" w:lineRule="auto" w:before="77"/>
        <w:ind w:right="0"/>
        <w:jc w:val="left"/>
      </w:pPr>
      <w:r>
        <w:rPr/>
        <w:t>实际控制人及其控制的其他企业中兼职。</w:t>
      </w:r>
    </w:p>
    <w:p>
      <w:pPr>
        <w:pStyle w:val="BodyText"/>
        <w:spacing w:line="360" w:lineRule="auto" w:before="116"/>
        <w:ind w:left="1493" w:right="0"/>
        <w:jc w:val="left"/>
      </w:pPr>
      <w:r>
        <w:rPr/>
        <w:t>（三）资产方面 </w:t>
      </w:r>
      <w:r>
        <w:rPr>
          <w:spacing w:val="-4"/>
        </w:rPr>
        <w:t>公司商标、专利、著作权等无形资产及其他有形资产均由本公司拥有，产权界定清晰，和其他关联方之间资产相互独立。</w:t>
      </w:r>
    </w:p>
    <w:p>
      <w:pPr>
        <w:pStyle w:val="BodyText"/>
        <w:spacing w:line="357" w:lineRule="auto" w:before="26"/>
        <w:ind w:left="1494" w:right="0"/>
        <w:jc w:val="left"/>
      </w:pPr>
      <w:r>
        <w:rPr/>
        <w:t>（四）机构独立 </w:t>
      </w:r>
      <w:r>
        <w:rPr>
          <w:spacing w:val="-2"/>
        </w:rPr>
        <w:t>公司已建立健全内部经营管理机构、独立行使经营管理职权，与控股股东和实际控制人及其控制的其他企业间不存在机</w:t>
      </w:r>
    </w:p>
    <w:p>
      <w:pPr>
        <w:pStyle w:val="BodyText"/>
        <w:spacing w:line="225" w:lineRule="exact"/>
        <w:ind w:left="1134" w:right="0"/>
        <w:jc w:val="left"/>
      </w:pPr>
      <w:r>
        <w:rPr/>
        <w:t>构混</w:t>
      </w:r>
      <w:r>
        <w:rPr>
          <w:spacing w:val="-19"/>
        </w:rPr>
        <w:t> </w:t>
      </w:r>
      <w:r>
        <w:rPr/>
        <w:t>同的情形。</w:t>
      </w:r>
    </w:p>
    <w:p>
      <w:pPr>
        <w:pStyle w:val="BodyText"/>
        <w:spacing w:line="338" w:lineRule="auto" w:before="117"/>
        <w:ind w:right="1119" w:firstLine="360"/>
        <w:jc w:val="left"/>
      </w:pPr>
      <w:r>
        <w:rPr/>
        <w:t>（五）财务独立 公司有独立的财务部门，建立了独立的财务管理制度；配备了专职的财务会计人员，独立进行会计核算和财务决策。</w:t>
      </w:r>
      <w:r>
        <w:rPr>
          <w:spacing w:val="4"/>
        </w:rPr>
        <w:t> </w:t>
      </w:r>
      <w:r>
        <w:rPr/>
        <w:t>公司</w:t>
      </w:r>
      <w:r>
        <w:rPr>
          <w:spacing w:val="1"/>
        </w:rPr>
        <w:t> </w:t>
      </w:r>
      <w:r>
        <w:rPr/>
        <w:t>与控股股东在业务、人员、资产、机构、财务等方面完全分开，具有独立完整的业务及自主经营能力。</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2017-047</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2017-079</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2017-097</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欧郁雪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郭其友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13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39"/>
        <w:ind w:right="0"/>
        <w:jc w:val="left"/>
      </w:pPr>
      <w:r>
        <w:rPr/>
        <w:t>独立董事对公司重大事项根据《深圳证券交易所创业板股票上市交易规则》、《深圳证券交易所创业板上市公司规范运作指</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引》等相关规定均发表了事前认可或独立意见，对此意见公司均予以采纳。</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23"/>
        <w:jc w:val="left"/>
      </w:pPr>
      <w:r>
        <w:rPr/>
        <w:t>（一）审计委员会履行职责情况 </w:t>
      </w:r>
      <w:r>
        <w:rPr>
          <w:spacing w:val="-2"/>
        </w:rPr>
        <w:t>报告期内，公司董事会审计委员会依照相关法规及《公司章程》、《审计委员会议事规则》的规定，充分发挥了审核与监督</w:t>
      </w:r>
      <w:r>
        <w:rPr>
          <w:spacing w:val="-70"/>
        </w:rPr>
        <w:t> </w:t>
      </w:r>
      <w:r>
        <w:rPr>
          <w:spacing w:val="-70"/>
        </w:rPr>
      </w:r>
      <w:r>
        <w:rPr/>
        <w:t>作用，主要负责公司财务监督和核查工作及与外部审计机构的沟通、协调工作。报告期内，审计委员会共召开</w:t>
      </w:r>
      <w:r>
        <w:rPr>
          <w:rFonts w:ascii="Times New Roman" w:hAnsi="Times New Roman" w:cs="Times New Roman" w:eastAsia="Times New Roman" w:hint="default"/>
        </w:rPr>
        <w:t>5</w:t>
      </w:r>
      <w:r>
        <w:rPr/>
        <w:t>次会议，就</w:t>
      </w:r>
    </w:p>
    <w:p>
      <w:pPr>
        <w:pStyle w:val="BodyText"/>
        <w:spacing w:line="218" w:lineRule="exact"/>
        <w:ind w:right="0"/>
        <w:jc w:val="left"/>
      </w:pPr>
      <w:r>
        <w:rPr/>
        <w:t>公司关联交易事项、募集资金使用管理等工作进行了监督审核，并重点审议了公司定期报告。</w:t>
      </w:r>
    </w:p>
    <w:p>
      <w:pPr>
        <w:pStyle w:val="BodyText"/>
        <w:spacing w:line="338" w:lineRule="auto" w:before="117"/>
        <w:ind w:right="1123"/>
        <w:jc w:val="left"/>
      </w:pPr>
      <w:r>
        <w:rPr/>
        <w:t>（二）战略委员会履行职责情况 </w:t>
      </w:r>
      <w:r>
        <w:rPr>
          <w:spacing w:val="-2"/>
        </w:rPr>
        <w:t>报告期内，公司董事会战略委员会依照相关法规及《公司章程》、《战略委员会议事规则》的规定，认真履行职责，对公司</w:t>
      </w:r>
      <w:r>
        <w:rPr>
          <w:spacing w:val="-67"/>
        </w:rPr>
        <w:t> </w:t>
      </w:r>
      <w:r>
        <w:rPr>
          <w:spacing w:val="-67"/>
        </w:rPr>
      </w:r>
      <w:r>
        <w:rPr/>
        <w:t>重大事项提出了合理化的建议，促进了公司董事会决策的科学性、高效性。报告期内共召开</w:t>
      </w:r>
      <w:r>
        <w:rPr>
          <w:rFonts w:ascii="Times New Roman" w:hAnsi="Times New Roman" w:cs="Times New Roman" w:eastAsia="Times New Roman" w:hint="default"/>
        </w:rPr>
        <w:t>6</w:t>
      </w:r>
      <w:r>
        <w:rPr/>
        <w:t>次会议，重点对公司组织架构</w:t>
      </w:r>
    </w:p>
    <w:p>
      <w:pPr>
        <w:pStyle w:val="BodyText"/>
        <w:spacing w:line="218" w:lineRule="exact"/>
        <w:ind w:right="0"/>
        <w:jc w:val="left"/>
      </w:pPr>
      <w:r>
        <w:rPr/>
        <w:t>调整、对外投资事项进行了审议。</w:t>
      </w:r>
    </w:p>
    <w:p>
      <w:pPr>
        <w:pStyle w:val="BodyText"/>
        <w:spacing w:line="338" w:lineRule="auto" w:before="116"/>
        <w:ind w:right="0"/>
        <w:jc w:val="left"/>
      </w:pPr>
      <w:r>
        <w:rPr/>
        <w:t>（三）提名委员会的履职情况 </w:t>
      </w:r>
      <w:r>
        <w:rPr>
          <w:spacing w:val="-2"/>
        </w:rPr>
        <w:t>报告期内，公司董事会提名委员会依照相关法规及《公司章程》、《提名委员会议事规则》的规定，积极履行职责，共召开</w:t>
      </w:r>
      <w:r>
        <w:rPr>
          <w:spacing w:val="-67"/>
        </w:rPr>
        <w:t> </w:t>
      </w:r>
      <w:r>
        <w:rPr>
          <w:spacing w:val="-67"/>
        </w:rPr>
      </w:r>
      <w:r>
        <w:rPr>
          <w:rFonts w:ascii="Times New Roman" w:hAnsi="Times New Roman" w:cs="Times New Roman" w:eastAsia="Times New Roman" w:hint="default"/>
        </w:rPr>
        <w:t>2</w:t>
      </w:r>
      <w:r>
        <w:rPr/>
        <w:t>次会议，对公司董事、副总经理和董事会秘书的提名、聘任提出了建设性建议，并对其任职资格进行审查。</w:t>
      </w:r>
    </w:p>
    <w:p>
      <w:pPr>
        <w:pStyle w:val="BodyText"/>
        <w:spacing w:line="338" w:lineRule="auto" w:before="20"/>
        <w:ind w:right="0"/>
        <w:jc w:val="left"/>
      </w:pPr>
      <w:r>
        <w:rPr/>
        <w:t>（四）薪酬与考核委员会的履职情况 </w:t>
      </w:r>
      <w:r>
        <w:rPr>
          <w:spacing w:val="-2"/>
        </w:rPr>
        <w:t>报告期内，公司薪酬与考核委员会依照相关法规及《公司章程》、《薪酬与考核委员会议事规则》的规定，勤勉尽职，共召</w:t>
      </w:r>
      <w:r>
        <w:rPr>
          <w:spacing w:val="-67"/>
        </w:rPr>
        <w:t> </w:t>
      </w:r>
      <w:r>
        <w:rPr>
          <w:spacing w:val="-67"/>
        </w:rPr>
      </w:r>
      <w:r>
        <w:rPr/>
        <w:t>开</w:t>
      </w:r>
      <w:r>
        <w:rPr>
          <w:rFonts w:ascii="Times New Roman" w:hAnsi="Times New Roman" w:cs="Times New Roman" w:eastAsia="Times New Roman" w:hint="default"/>
        </w:rPr>
        <w:t>1</w:t>
      </w:r>
      <w:r>
        <w:rPr/>
        <w:t>次会议，对《</w:t>
      </w:r>
      <w:r>
        <w:rPr>
          <w:rFonts w:ascii="Times New Roman" w:hAnsi="Times New Roman" w:cs="Times New Roman" w:eastAsia="Times New Roman" w:hint="default"/>
        </w:rPr>
        <w:t>2017</w:t>
      </w:r>
      <w:r>
        <w:rPr/>
        <w:t>年限制性股票激励计划（草案）》及其摘要、考核管理办法、激励对象名单进行审核、审议。</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公司建立了科学、完善的高级管理人员考核体系和薪酬管理制度，公司高级管理人员从公司的经营战略出发，负责公司的日</w:t>
      </w:r>
      <w:r>
        <w:rPr>
          <w:spacing w:val="-65"/>
        </w:rPr>
        <w:t> </w:t>
      </w:r>
      <w:r>
        <w:rPr>
          <w:spacing w:val="-65"/>
        </w:rPr>
      </w:r>
      <w:r>
        <w:rPr>
          <w:spacing w:val="-2"/>
        </w:rPr>
        <w:t>常经营管理工作。董事会薪酬与考核委员会根据公司规模、公司业绩、行业薪酬水平等情况，拟定公司高级管理人员的薪酬</w:t>
      </w:r>
      <w:r>
        <w:rPr>
          <w:spacing w:val="-66"/>
        </w:rPr>
        <w:t> </w:t>
      </w:r>
      <w:r>
        <w:rPr>
          <w:spacing w:val="-66"/>
        </w:rPr>
      </w:r>
      <w:r>
        <w:rPr/>
        <w:t>标准及方案。高级管理人员的薪酬根据公司的经营规模、经营业绩、发展战略的不断发展变化而适时调整。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340.662994pt;margin-top:496.119995pt;width:194.25pt;height:62.4pt;mso-position-horizontal-relative:page;mso-position-vertical-relative:page;z-index:-988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重大缺陷：</w:t>
                  </w:r>
                </w:p>
              </w:txbxContent>
            </v:textbox>
            <w10:wrap type="none"/>
          </v:shape>
        </w:pict>
      </w:r>
      <w:r>
        <w:rPr/>
        <w:pict>
          <v:shape style="position:absolute;margin-left:376.720001pt;margin-top:640.539978pt;width:158.2pt;height:62.45pt;mso-position-horizontal-relative:page;mso-position-vertical-relative:page;z-index:-988552"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shape style="position:absolute;margin-left:56.459999pt;margin-top:71.999985pt;width:479.2pt;height:691.7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2" w:right="-3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、财务报告内部控制存在重大缺陷的迹象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4"/>
                            <w:sz w:val="18"/>
                            <w:szCs w:val="18"/>
                          </w:rPr>
                          <w:t>包括：（</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）控制环境无效；（</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监事和高级管理人员舞弊并给公司造成重</w:t>
                        </w:r>
                        <w:r>
                          <w:rPr>
                            <w:rFonts w:ascii="宋体" w:hAnsi="宋体" w:cs="宋体" w:eastAsia="宋体" w:hint="default"/>
                            <w:sz w:val="18"/>
                            <w:szCs w:val="18"/>
                          </w:rPr>
                          <w:t> </w:t>
                        </w:r>
                        <w:r>
                          <w:rPr>
                            <w:rFonts w:ascii="宋体" w:hAnsi="宋体" w:cs="宋体" w:eastAsia="宋体" w:hint="default"/>
                            <w:spacing w:val="-5"/>
                            <w:sz w:val="18"/>
                            <w:szCs w:val="18"/>
                          </w:rPr>
                          <w:t>大损失和不利影响；（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5"/>
                            <w:sz w:val="18"/>
                            <w:szCs w:val="18"/>
                          </w:rPr>
                          <w:t> </w:t>
                        </w:r>
                        <w:r>
                          <w:rPr>
                            <w:rFonts w:ascii="宋体" w:hAnsi="宋体" w:cs="宋体" w:eastAsia="宋体" w:hint="default"/>
                            <w:sz w:val="18"/>
                            <w:szCs w:val="18"/>
                          </w:rPr>
                          <w:t>当期财务报告存在重大错报，而内部控制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w:t>
                        </w:r>
                        <w:r>
                          <w:rPr>
                            <w:rFonts w:ascii="宋体" w:hAnsi="宋体" w:cs="宋体" w:eastAsia="宋体" w:hint="default"/>
                            <w:spacing w:val="-85"/>
                            <w:sz w:val="18"/>
                            <w:szCs w:val="18"/>
                          </w:rPr>
                          <w:t> </w:t>
                        </w:r>
                        <w:r>
                          <w:rPr>
                            <w:rFonts w:ascii="宋体" w:hAnsi="宋体" w:cs="宋体" w:eastAsia="宋体" w:hint="default"/>
                            <w:sz w:val="18"/>
                            <w:szCs w:val="18"/>
                          </w:rPr>
                          <w:t>发现并报告给管理层的重要缺陷在合理的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）审计委员会和内</w:t>
                        </w:r>
                        <w:r>
                          <w:rPr>
                            <w:rFonts w:ascii="宋体" w:hAnsi="宋体" w:cs="宋体" w:eastAsia="宋体" w:hint="default"/>
                            <w:spacing w:val="-85"/>
                            <w:sz w:val="18"/>
                            <w:szCs w:val="18"/>
                          </w:rPr>
                          <w:t> </w:t>
                        </w:r>
                        <w:r>
                          <w:rPr>
                            <w:rFonts w:ascii="宋体" w:hAnsi="宋体" w:cs="宋体" w:eastAsia="宋体" w:hint="default"/>
                            <w:sz w:val="18"/>
                            <w:szCs w:val="18"/>
                          </w:rPr>
                          <w:t>部审计部对公司的内部控制监督无效。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财务报告内部控制存在重要缺陷的迹象包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85"/>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85"/>
                            <w:sz w:val="18"/>
                            <w:szCs w:val="18"/>
                          </w:rPr>
                          <w:t>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）财务报告过程中出现单独或多</w:t>
                        </w:r>
                        <w:r>
                          <w:rPr>
                            <w:rFonts w:ascii="宋体" w:hAnsi="宋体" w:cs="宋体" w:eastAsia="宋体" w:hint="default"/>
                            <w:spacing w:val="-85"/>
                            <w:sz w:val="18"/>
                            <w:szCs w:val="18"/>
                          </w:rPr>
                          <w:t> </w:t>
                        </w:r>
                        <w:r>
                          <w:rPr>
                            <w:rFonts w:ascii="宋体" w:hAnsi="宋体" w:cs="宋体" w:eastAsia="宋体" w:hint="default"/>
                            <w:sz w:val="18"/>
                            <w:szCs w:val="18"/>
                          </w:rPr>
                          <w:t>项缺陷，虽然未达到重大缺陷认定标准， </w:t>
                        </w:r>
                        <w:r>
                          <w:rPr>
                            <w:rFonts w:ascii="宋体" w:hAnsi="宋体" w:cs="宋体" w:eastAsia="宋体" w:hint="default"/>
                            <w:spacing w:val="-6"/>
                            <w:sz w:val="18"/>
                            <w:szCs w:val="18"/>
                          </w:rPr>
                          <w:t>但影响到财务报告达到真实、准确的目标；</w:t>
                        </w:r>
                        <w:r>
                          <w:rPr>
                            <w:rFonts w:ascii="宋体" w:hAnsi="宋体" w:cs="宋体" w:eastAsia="宋体" w:hint="default"/>
                            <w:sz w:val="18"/>
                            <w:szCs w:val="18"/>
                          </w:rPr>
                        </w:r>
                      </w:p>
                      <w:p>
                        <w:pPr>
                          <w:pStyle w:val="TableParagraph"/>
                          <w:spacing w:line="309" w:lineRule="auto" w:before="26"/>
                          <w:ind w:left="22" w:right="2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4"/>
                            <w:sz w:val="18"/>
                            <w:szCs w:val="18"/>
                          </w:rPr>
                          <w:t>相应的补偿性控制。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述重大缺陷、重要缺陷之外的其他控制缺 陷。</w:t>
                        </w:r>
                      </w:p>
                    </w:tc>
                    <w:tc>
                      <w:tcPr>
                        <w:tcW w:w="3039" w:type="dxa"/>
                        <w:vMerge w:val="restart"/>
                        <w:tcBorders>
                          <w:top w:val="single" w:sz="4" w:space="0" w:color="000000"/>
                          <w:left w:val="single" w:sz="9" w:space="0" w:color="FFFFFF"/>
                          <w:right w:val="single" w:sz="4" w:space="0" w:color="000000"/>
                        </w:tcBorders>
                      </w:tcPr>
                      <w:p>
                        <w:pPr>
                          <w:pStyle w:val="TableParagraph"/>
                          <w:spacing w:line="309" w:lineRule="auto" w:before="51"/>
                          <w:ind w:left="4"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、重大缺陷的认定标准：（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）公司重</w:t>
                        </w:r>
                        <w:r>
                          <w:rPr>
                            <w:rFonts w:ascii="宋体" w:hAnsi="宋体" w:cs="宋体" w:eastAsia="宋体" w:hint="default"/>
                            <w:sz w:val="18"/>
                            <w:szCs w:val="18"/>
                          </w:rPr>
                          <w:t> </w:t>
                        </w:r>
                        <w:r>
                          <w:rPr>
                            <w:rFonts w:ascii="宋体" w:hAnsi="宋体" w:cs="宋体" w:eastAsia="宋体" w:hint="default"/>
                            <w:spacing w:val="-4"/>
                            <w:sz w:val="18"/>
                            <w:szCs w:val="18"/>
                          </w:rPr>
                          <w:t>大事项决策违反国家法律法规，决策程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序缺乏集体民主程序，或集体民主决策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程序不规范；（</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）公司决策程序不科学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或决策出现重大失误；（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乏制度控制或制度系统性失效；（</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）中</w:t>
                        </w:r>
                        <w:r>
                          <w:rPr>
                            <w:rFonts w:ascii="宋体" w:hAnsi="宋体" w:cs="宋体" w:eastAsia="宋体" w:hint="default"/>
                            <w:spacing w:val="-81"/>
                            <w:sz w:val="18"/>
                            <w:szCs w:val="18"/>
                          </w:rPr>
                          <w:t> </w:t>
                        </w:r>
                        <w:r>
                          <w:rPr>
                            <w:rFonts w:ascii="宋体" w:hAnsi="宋体" w:cs="宋体" w:eastAsia="宋体" w:hint="default"/>
                            <w:sz w:val="18"/>
                            <w:szCs w:val="18"/>
                          </w:rPr>
                          <w:t>高级管理人员和高级技术人员严重流</w:t>
                        </w:r>
                        <w:r>
                          <w:rPr>
                            <w:rFonts w:ascii="宋体" w:hAnsi="宋体" w:cs="宋体" w:eastAsia="宋体" w:hint="default"/>
                            <w:sz w:val="18"/>
                            <w:szCs w:val="18"/>
                          </w:rPr>
                          <w:t> </w:t>
                        </w:r>
                        <w:r>
                          <w:rPr>
                            <w:rFonts w:ascii="宋体" w:hAnsi="宋体" w:cs="宋体" w:eastAsia="宋体" w:hint="default"/>
                            <w:spacing w:val="-9"/>
                            <w:sz w:val="18"/>
                            <w:szCs w:val="18"/>
                          </w:rPr>
                          <w:t>失；（</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）媒体负面新闻频频曝光，对公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司声誉造成重大损害，或发生严重影响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社会公共利益的事件；（</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价的结果特别是重大缺陷或重要缺陷 </w:t>
                        </w:r>
                        <w:r>
                          <w:rPr>
                            <w:rFonts w:ascii="宋体" w:hAnsi="宋体" w:cs="宋体" w:eastAsia="宋体" w:hint="default"/>
                            <w:spacing w:val="-4"/>
                            <w:sz w:val="18"/>
                            <w:szCs w:val="18"/>
                          </w:rPr>
                          <w:t>未得到整改。</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、重要缺陷的认定标准</w:t>
                        </w:r>
                      </w:p>
                      <w:p>
                        <w:pPr>
                          <w:pStyle w:val="TableParagraph"/>
                          <w:spacing w:line="302" w:lineRule="auto" w:before="5"/>
                          <w:ind w:left="4"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）重要业务制度控制或系统存在缺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）公司违反国家法律、法规、规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章、政府政策等，导致政府或监管机构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的调查，并被处以罚款或罚金；（</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）关</w:t>
                        </w:r>
                        <w:r>
                          <w:rPr>
                            <w:rFonts w:ascii="宋体" w:hAnsi="宋体" w:cs="宋体" w:eastAsia="宋体" w:hint="default"/>
                            <w:spacing w:val="-88"/>
                            <w:sz w:val="18"/>
                            <w:szCs w:val="18"/>
                          </w:rPr>
                          <w:t> </w:t>
                        </w:r>
                        <w:r>
                          <w:rPr>
                            <w:rFonts w:ascii="宋体" w:hAnsi="宋体" w:cs="宋体" w:eastAsia="宋体" w:hint="default"/>
                            <w:spacing w:val="-9"/>
                            <w:sz w:val="18"/>
                            <w:szCs w:val="18"/>
                          </w:rPr>
                          <w:t>键岗位业务人员流失严重；（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现负面新闻，波及局部区域。</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w:t>
                        </w:r>
                        <w:r>
                          <w:rPr>
                            <w:rFonts w:ascii="宋体" w:hAnsi="宋体" w:cs="宋体" w:eastAsia="宋体" w:hint="default"/>
                            <w:spacing w:val="-9"/>
                            <w:sz w:val="18"/>
                            <w:szCs w:val="18"/>
                          </w:rPr>
                          <w:t>缺陷的认定标准：（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）违反企业内部规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章，但未形成损失；（</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）一般业务制度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或系统存在缺陷；（</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）公司一般缺陷未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得到整改。</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87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公司本着是否直接影响财务报告的原则， 以最近一个会计年度合并报告数据为基 数，确定的财务报告错报重要程度的定量 </w:t>
                        </w:r>
                        <w:r>
                          <w:rPr>
                            <w:rFonts w:ascii="宋体" w:hAnsi="宋体" w:cs="宋体" w:eastAsia="宋体" w:hint="default"/>
                            <w:spacing w:val="-13"/>
                            <w:sz w:val="18"/>
                            <w:szCs w:val="18"/>
                          </w:rPr>
                          <w:t>标准：</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、资产总额错报额。（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p>
                      <w:p>
                        <w:pPr>
                          <w:pStyle w:val="TableParagraph"/>
                          <w:spacing w:line="300"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w w:val="99"/>
                            <w:sz w:val="18"/>
                            <w:szCs w:val="18"/>
                          </w:rPr>
                          <w:t>资产总额</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）重要缺陷：</w:t>
                        </w:r>
                        <w:r>
                          <w:rPr>
                            <w:rFonts w:ascii="Times New Roman" w:hAnsi="Times New Roman" w:cs="Times New Roman" w:eastAsia="Times New Roman" w:hint="default"/>
                            <w:w w:val="99"/>
                            <w:sz w:val="18"/>
                            <w:szCs w:val="18"/>
                          </w:rPr>
                          <w:t>0.5%</w:t>
                        </w:r>
                        <w:r>
                          <w:rPr>
                            <w:rFonts w:ascii="宋体" w:hAnsi="宋体" w:cs="宋体" w:eastAsia="宋体" w:hint="default"/>
                            <w:w w:val="99"/>
                            <w:sz w:val="18"/>
                            <w:szCs w:val="18"/>
                          </w:rPr>
                          <w:t>资产 总额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1"/>
                            <w:sz w:val="18"/>
                            <w:szCs w:val="18"/>
                          </w:rPr>
                          <w:t>）</w:t>
                        </w:r>
                        <w:r>
                          <w:rPr>
                            <w:rFonts w:ascii="宋体" w:hAnsi="宋体" w:cs="宋体" w:eastAsia="宋体" w:hint="default"/>
                            <w:sz w:val="18"/>
                            <w:szCs w:val="18"/>
                          </w:rPr>
                          <w:t>一般缺陷</w:t>
                        </w:r>
                        <w:r>
                          <w:rPr>
                            <w:rFonts w:ascii="宋体" w:hAnsi="宋体" w:cs="宋体" w:eastAsia="宋体" w:hint="default"/>
                            <w:spacing w:val="-35"/>
                            <w:sz w:val="18"/>
                            <w:szCs w:val="18"/>
                          </w:rPr>
                          <w:t>：</w:t>
                        </w:r>
                        <w:r>
                          <w:rPr>
                            <w:rFonts w:ascii="宋体" w:hAnsi="宋体" w:cs="宋体" w:eastAsia="宋体" w:hint="default"/>
                            <w:sz w:val="18"/>
                            <w:szCs w:val="18"/>
                          </w:rPr>
                        </w:r>
                      </w:p>
                      <w:p>
                        <w:pPr>
                          <w:pStyle w:val="TableParagraph"/>
                          <w:spacing w:line="300" w:lineRule="auto" w:before="13"/>
                          <w:ind w:left="22" w:right="-28"/>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0.5%</w:t>
                        </w:r>
                        <w:r>
                          <w:rPr>
                            <w:rFonts w:ascii="宋体" w:hAnsi="宋体" w:cs="宋体" w:eastAsia="宋体" w:hint="default"/>
                            <w:spacing w:val="-13"/>
                            <w:sz w:val="18"/>
                            <w:szCs w:val="18"/>
                          </w:rPr>
                          <w:t>资产总额。</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、营业收入错报额。（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pacing w:val="-87"/>
                            <w:sz w:val="18"/>
                            <w:szCs w:val="18"/>
                          </w:rPr>
                          <w:t> </w:t>
                        </w:r>
                        <w:r>
                          <w:rPr>
                            <w:rFonts w:ascii="宋体" w:hAnsi="宋体" w:cs="宋体" w:eastAsia="宋体" w:hint="default"/>
                            <w:spacing w:val="-8"/>
                            <w:sz w:val="18"/>
                            <w:szCs w:val="18"/>
                          </w:rPr>
                          <w:t>重大缺陷：</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营业收入；（</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宋体" w:hAnsi="宋体" w:cs="宋体" w:eastAsia="宋体" w:hint="default"/>
                            <w:spacing w:val="-34"/>
                            <w:w w:val="99"/>
                            <w:sz w:val="18"/>
                            <w:szCs w:val="18"/>
                          </w:rPr>
                          <w:t> </w:t>
                        </w:r>
                        <w:r>
                          <w:rPr>
                            <w:rFonts w:ascii="Times New Roman" w:hAnsi="Times New Roman" w:cs="Times New Roman" w:eastAsia="Times New Roman" w:hint="default"/>
                            <w:spacing w:val="-6"/>
                            <w:w w:val="100"/>
                            <w:sz w:val="18"/>
                            <w:szCs w:val="18"/>
                          </w:rPr>
                          <w:t>1%</w:t>
                        </w:r>
                        <w:r>
                          <w:rPr>
                            <w:rFonts w:ascii="宋体" w:hAnsi="宋体" w:cs="宋体" w:eastAsia="宋体" w:hint="default"/>
                            <w:spacing w:val="-6"/>
                            <w:w w:val="100"/>
                            <w:sz w:val="18"/>
                            <w:szCs w:val="18"/>
                          </w:rPr>
                          <w:t>营业收入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错报＜</w:t>
                        </w:r>
                        <w:r>
                          <w:rPr>
                            <w:rFonts w:ascii="Times New Roman" w:hAnsi="Times New Roman" w:cs="Times New Roman" w:eastAsia="Times New Roman" w:hint="default"/>
                            <w:spacing w:val="-6"/>
                            <w:w w:val="100"/>
                            <w:sz w:val="18"/>
                            <w:szCs w:val="18"/>
                          </w:rPr>
                          <w:t>3%</w:t>
                        </w:r>
                        <w:r>
                          <w:rPr>
                            <w:rFonts w:ascii="宋体" w:hAnsi="宋体" w:cs="宋体" w:eastAsia="宋体" w:hint="default"/>
                            <w:spacing w:val="-6"/>
                            <w:w w:val="100"/>
                            <w:sz w:val="18"/>
                            <w:szCs w:val="18"/>
                          </w:rPr>
                          <w:t>营业收入；（</w:t>
                        </w:r>
                        <w:r>
                          <w:rPr>
                            <w:rFonts w:ascii="Times New Roman" w:hAnsi="Times New Roman" w:cs="Times New Roman" w:eastAsia="Times New Roman" w:hint="default"/>
                            <w:spacing w:val="-6"/>
                            <w:w w:val="100"/>
                            <w:sz w:val="18"/>
                            <w:szCs w:val="18"/>
                          </w:rPr>
                          <w:t>3</w:t>
                        </w:r>
                        <w:r>
                          <w:rPr>
                            <w:rFonts w:ascii="宋体" w:hAnsi="宋体" w:cs="宋体" w:eastAsia="宋体" w:hint="default"/>
                            <w:spacing w:val="-6"/>
                            <w:w w:val="100"/>
                            <w:sz w:val="18"/>
                            <w:szCs w:val="18"/>
                          </w:rPr>
                          <w:t>）一</w:t>
                        </w:r>
                        <w:r>
                          <w:rPr>
                            <w:rFonts w:ascii="宋体" w:hAnsi="宋体" w:cs="宋体" w:eastAsia="宋体" w:hint="default"/>
                            <w:spacing w:val="-74"/>
                            <w:w w:val="100"/>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、利润总额错 </w:t>
                        </w:r>
                        <w:r>
                          <w:rPr>
                            <w:rFonts w:ascii="宋体" w:hAnsi="宋体" w:cs="宋体" w:eastAsia="宋体" w:hint="default"/>
                            <w:spacing w:val="-15"/>
                            <w:w w:val="100"/>
                            <w:sz w:val="18"/>
                            <w:szCs w:val="18"/>
                          </w:rPr>
                          <w:t>报额。（</w:t>
                        </w:r>
                        <w:r>
                          <w:rPr>
                            <w:rFonts w:ascii="Times New Roman" w:hAnsi="Times New Roman" w:cs="Times New Roman" w:eastAsia="Times New Roman" w:hint="default"/>
                            <w:spacing w:val="-15"/>
                            <w:w w:val="100"/>
                            <w:sz w:val="18"/>
                            <w:szCs w:val="18"/>
                          </w:rPr>
                          <w:t>1</w:t>
                        </w:r>
                        <w:r>
                          <w:rPr>
                            <w:rFonts w:ascii="宋体" w:hAnsi="宋体" w:cs="宋体" w:eastAsia="宋体" w:hint="default"/>
                            <w:spacing w:val="-15"/>
                            <w:w w:val="100"/>
                            <w:sz w:val="18"/>
                            <w:szCs w:val="18"/>
                          </w:rPr>
                          <w:t>）重大缺陷：</w:t>
                        </w:r>
                        <w:r>
                          <w:rPr>
                            <w:rFonts w:ascii="Times New Roman" w:hAnsi="Times New Roman" w:cs="Times New Roman" w:eastAsia="Times New Roman" w:hint="default"/>
                            <w:spacing w:val="-15"/>
                            <w:w w:val="100"/>
                            <w:sz w:val="18"/>
                            <w:szCs w:val="18"/>
                          </w:rPr>
                          <w:t>≥</w:t>
                        </w:r>
                        <w:r>
                          <w:rPr>
                            <w:rFonts w:ascii="Times New Roman" w:hAnsi="Times New Roman" w:cs="Times New Roman" w:eastAsia="Times New Roman" w:hint="default"/>
                            <w:spacing w:val="-15"/>
                            <w:w w:val="100"/>
                            <w:sz w:val="18"/>
                            <w:szCs w:val="18"/>
                          </w:rPr>
                          <w:t>10%</w:t>
                        </w:r>
                        <w:r>
                          <w:rPr>
                            <w:rFonts w:ascii="宋体" w:hAnsi="宋体" w:cs="宋体" w:eastAsia="宋体" w:hint="default"/>
                            <w:spacing w:val="-15"/>
                            <w:w w:val="100"/>
                            <w:sz w:val="18"/>
                            <w:szCs w:val="18"/>
                          </w:rPr>
                          <w:t>利润总额；（</w:t>
                        </w:r>
                        <w:r>
                          <w:rPr>
                            <w:rFonts w:ascii="Times New Roman" w:hAnsi="Times New Roman" w:cs="Times New Roman" w:eastAsia="Times New Roman" w:hint="default"/>
                            <w:spacing w:val="-15"/>
                            <w:w w:val="100"/>
                            <w:sz w:val="18"/>
                            <w:szCs w:val="18"/>
                          </w:rPr>
                          <w:t>2</w:t>
                        </w:r>
                        <w:r>
                          <w:rPr>
                            <w:rFonts w:ascii="Times New Roman" w:hAnsi="Times New Roman" w:cs="Times New Roman" w:eastAsia="Times New Roman" w:hint="default"/>
                            <w:spacing w:val="-30"/>
                            <w:w w:val="100"/>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10%</w:t>
                        </w:r>
                        <w:r>
                          <w:rPr>
                            <w:rFonts w:ascii="宋体" w:hAnsi="宋体" w:cs="宋体" w:eastAsia="宋体" w:hint="default"/>
                            <w:sz w:val="18"/>
                            <w:szCs w:val="18"/>
                          </w:rPr>
                          <w:t>利润 </w:t>
                        </w:r>
                        <w:r>
                          <w:rPr>
                            <w:rFonts w:ascii="宋体" w:hAnsi="宋体" w:cs="宋体" w:eastAsia="宋体" w:hint="default"/>
                            <w:spacing w:val="-5"/>
                            <w:sz w:val="18"/>
                            <w:szCs w:val="18"/>
                          </w:rPr>
                          <w:t>总额；（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利润总额。</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1"/>
                          <w:ind w:left="4" w:right="23"/>
                          <w:jc w:val="left"/>
                          <w:rPr>
                            <w:rFonts w:ascii="宋体" w:hAnsi="宋体" w:cs="宋体" w:eastAsia="宋体" w:hint="default"/>
                            <w:sz w:val="18"/>
                            <w:szCs w:val="18"/>
                          </w:rPr>
                        </w:pPr>
                        <w:r>
                          <w:rPr>
                            <w:rFonts w:ascii="宋体" w:hAnsi="宋体" w:cs="宋体" w:eastAsia="宋体" w:hint="default"/>
                            <w:sz w:val="18"/>
                            <w:szCs w:val="18"/>
                          </w:rPr>
                          <w:t>主要根据缺陷可能造成直接财产损失 的绝对金额确定：</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、重要缺陷：净资 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损失金额＜净资产</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、一</w:t>
                        </w:r>
                        <w:r>
                          <w:rPr>
                            <w:rFonts w:ascii="宋体" w:hAnsi="宋体" w:cs="宋体" w:eastAsia="宋体" w:hint="default"/>
                            <w:spacing w:val="-29"/>
                            <w:sz w:val="18"/>
                            <w:szCs w:val="18"/>
                          </w:rPr>
                          <w:t> </w:t>
                        </w:r>
                        <w:r>
                          <w:rPr>
                            <w:rFonts w:ascii="宋体" w:hAnsi="宋体" w:cs="宋体" w:eastAsia="宋体" w:hint="default"/>
                            <w:sz w:val="18"/>
                            <w:szCs w:val="18"/>
                          </w:rPr>
                          <w:t>般缺陷：损失金额＜净资产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87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0"/>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1248" w:lineRule="exact"/>
        <w:ind w:left="765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52.1pt;height:62.4pt;mso-position-horizontal-relative:char;mso-position-vertical-relative:line" coordorigin="0,0" coordsize="3042,1248">
            <v:group style="position:absolute;left:0;top:0;width:3042;height:1248" coordorigin="0,0" coordsize="3042,1248">
              <v:shape style="position:absolute;left:0;top:0;width:3042;height:1248" coordorigin="0,0" coordsize="3042,1248" path="m0,1248l3041,1248,3041,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13"/>
        <w:rPr>
          <w:rFonts w:ascii="宋体" w:hAnsi="宋体" w:cs="宋体" w:eastAsia="宋体" w:hint="default"/>
          <w:sz w:val="26"/>
          <w:szCs w:val="26"/>
        </w:rPr>
      </w:pPr>
    </w:p>
    <w:p>
      <w:pPr>
        <w:spacing w:line="936" w:lineRule="exact"/>
        <w:ind w:left="7679"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49.8pt;height:46.8pt;mso-position-horizontal-relative:char;mso-position-vertical-relative:line" coordorigin="0,0" coordsize="2996,936">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style="position:absolute;left:0;top:624;width:2996;height:312" coordorigin="0,624" coordsize="2996,312">
              <v:shape style="position:absolute;left:0;top:624;width:2996;height:312" coordorigin="0,624" coordsize="2996,312" path="m0,936l2996,936,2996,624,0,624,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11"/>
        <w:rPr>
          <w:rFonts w:ascii="宋体" w:hAnsi="宋体" w:cs="宋体" w:eastAsia="宋体" w:hint="default"/>
          <w:sz w:val="26"/>
          <w:szCs w:val="26"/>
        </w:rPr>
      </w:pPr>
    </w:p>
    <w:p>
      <w:pPr>
        <w:spacing w:line="1248" w:lineRule="exact"/>
        <w:ind w:left="765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52.1pt;height:62.45pt;mso-position-horizontal-relative:char;mso-position-vertical-relative:line" coordorigin="0,0" coordsize="3042,1249">
            <v:group style="position:absolute;left:0;top:0;width:3042;height:1249" coordorigin="0,0" coordsize="3042,1249">
              <v:shape style="position:absolute;left:0;top:0;width:3042;height:1249" coordorigin="0,0" coordsize="3042,1249" path="m0,1248l3041,1248,3041,0,0,0,0,1248xe" filled="true" fillcolor="#ffffff" stroked="false">
                <v:path arrowok="t"/>
                <v:fill type="solid"/>
              </v:shape>
            </v:group>
          </v:group>
        </w:pict>
      </w:r>
      <w:r>
        <w:rPr>
          <w:rFonts w:ascii="宋体" w:hAnsi="宋体" w:cs="宋体" w:eastAsia="宋体" w:hint="default"/>
          <w:position w:val="-24"/>
          <w:sz w:val="20"/>
          <w:szCs w:val="20"/>
        </w:rPr>
      </w:r>
    </w:p>
    <w:p>
      <w:pPr>
        <w:spacing w:after="0" w:line="1248"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一节 财务报告" w:id="150"/>
      <w:bookmarkEnd w:id="150"/>
      <w:r>
        <w:rPr>
          <w:b w:val="0"/>
          <w:bCs w:val="0"/>
        </w:rPr>
      </w:r>
      <w:bookmarkStart w:name="_bookmark10" w:id="151"/>
      <w:bookmarkEnd w:id="15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闽华兴所（</w:t>
            </w:r>
            <w:r>
              <w:rPr>
                <w:rFonts w:ascii="Times New Roman" w:hAnsi="Times New Roman" w:cs="Times New Roman" w:eastAsia="Times New Roman" w:hint="default"/>
                <w:sz w:val="18"/>
                <w:szCs w:val="18"/>
              </w:rPr>
              <w:t>2018</w:t>
            </w:r>
            <w:r>
              <w:rPr>
                <w:rFonts w:ascii="宋体" w:hAnsi="宋体" w:cs="宋体" w:eastAsia="宋体" w:hint="default"/>
                <w:sz w:val="18"/>
                <w:szCs w:val="18"/>
              </w:rPr>
              <w:t>）审字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郑丽惠、郭璇</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line="316" w:lineRule="auto" w:before="0"/>
        <w:ind w:left="1495" w:right="0" w:firstLine="0"/>
        <w:jc w:val="left"/>
        <w:rPr>
          <w:rFonts w:ascii="宋体" w:hAnsi="宋体" w:cs="宋体" w:eastAsia="宋体" w:hint="default"/>
          <w:sz w:val="18"/>
          <w:szCs w:val="18"/>
        </w:rPr>
      </w:pPr>
      <w:r>
        <w:rPr>
          <w:rFonts w:ascii="宋体" w:hAnsi="宋体" w:cs="宋体" w:eastAsia="宋体" w:hint="default"/>
          <w:b/>
          <w:bCs/>
          <w:w w:val="95"/>
          <w:sz w:val="18"/>
          <w:szCs w:val="18"/>
        </w:rPr>
        <w:t>福建博思软件股份有限公司全体股东：</w:t>
      </w:r>
      <w:r>
        <w:rPr>
          <w:rFonts w:ascii="宋体" w:hAnsi="宋体" w:cs="宋体" w:eastAsia="宋体" w:hint="default"/>
          <w:b/>
          <w:bCs/>
          <w:spacing w:val="64"/>
          <w:w w:val="95"/>
          <w:sz w:val="18"/>
          <w:szCs w:val="18"/>
        </w:rPr>
        <w:t> </w:t>
      </w:r>
      <w:r>
        <w:rPr>
          <w:rFonts w:ascii="宋体" w:hAnsi="宋体" w:cs="宋体" w:eastAsia="宋体" w:hint="default"/>
          <w:b/>
          <w:bCs/>
          <w:spacing w:val="64"/>
          <w:w w:val="95"/>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1"/>
        <w:ind w:left="809" w:right="0"/>
        <w:jc w:val="left"/>
      </w:pPr>
      <w:r>
        <w:rPr/>
        <w:br w:type="column"/>
      </w:r>
      <w:r>
        <w:rPr/>
        <w:t>审计报告正文</w:t>
      </w:r>
    </w:p>
    <w:p>
      <w:pPr>
        <w:spacing w:after="0" w:line="240" w:lineRule="auto"/>
        <w:jc w:val="left"/>
        <w:sectPr>
          <w:type w:val="continuous"/>
          <w:pgSz w:w="11910" w:h="16840"/>
          <w:pgMar w:top="1060" w:bottom="1160" w:left="0" w:right="0"/>
          <w:cols w:num="2" w:equalWidth="0">
            <w:col w:w="4565" w:space="40"/>
            <w:col w:w="7305"/>
          </w:cols>
        </w:sectPr>
      </w:pPr>
    </w:p>
    <w:p>
      <w:pPr>
        <w:pStyle w:val="BodyText"/>
        <w:spacing w:line="300" w:lineRule="auto" w:before="19"/>
        <w:ind w:right="1033" w:firstLine="360"/>
        <w:jc w:val="left"/>
      </w:pPr>
      <w:r>
        <w:rPr>
          <w:spacing w:val="2"/>
        </w:rPr>
        <w:t>我们审计了福建博思软件股份有限公司</w:t>
      </w:r>
      <w:r>
        <w:rPr>
          <w:rFonts w:ascii="Times New Roman" w:hAnsi="Times New Roman" w:cs="Times New Roman" w:eastAsia="Times New Roman" w:hint="default"/>
          <w:spacing w:val="2"/>
        </w:rPr>
        <w:t>(</w:t>
      </w:r>
      <w:r>
        <w:rPr>
          <w:spacing w:val="2"/>
        </w:rPr>
        <w:t>以下简称博思软件</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2017</w:t>
      </w:r>
      <w:r>
        <w:rPr/>
        <w:t>年度的合并及母公司利润表、合并及母公司现金流量表和合并及母公司所有者权益变动表以及相关财务报表附注。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我们认为，后附的财务报表在所有重大方面按照企业会计准则的规定编制，公允反映了博思软件</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1493"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阐述了我们在这些准则下的责任。按照中国注册会计师职业道德守则，我们独立于博思软件，并履行了职业道德方面的其他</w:t>
      </w:r>
      <w:r>
        <w:rPr>
          <w:spacing w:val="-66"/>
        </w:rPr>
        <w:t> </w:t>
      </w:r>
      <w:r>
        <w:rPr>
          <w:spacing w:val="-66"/>
        </w:rPr>
      </w:r>
      <w:r>
        <w:rPr/>
        <w:t>责任。我们相信，我们获取的审计证据是充分、适当的，为发表审计意见提供了基础。</w:t>
      </w:r>
    </w:p>
    <w:p>
      <w:pPr>
        <w:pStyle w:val="BodyText"/>
        <w:spacing w:line="316" w:lineRule="auto" w:before="19"/>
        <w:ind w:left="1493"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审计并形成审计意见为背景，我们不对这些事项单独发表意见。</w:t>
      </w:r>
    </w:p>
    <w:p>
      <w:pPr>
        <w:pStyle w:val="BodyText"/>
        <w:spacing w:line="240" w:lineRule="auto" w:before="76"/>
        <w:ind w:left="1494" w:right="0"/>
        <w:jc w:val="left"/>
      </w:pPr>
      <w:r>
        <w:rPr/>
        <w:t>（一）收入确认</w:t>
      </w:r>
    </w:p>
    <w:p>
      <w:pPr>
        <w:pStyle w:val="BodyText"/>
        <w:spacing w:line="300" w:lineRule="auto" w:before="76"/>
        <w:ind w:left="1493" w:right="2333"/>
        <w:jc w:val="left"/>
      </w:pPr>
      <w:r>
        <w:rPr>
          <w:rFonts w:ascii="Times New Roman" w:hAnsi="Times New Roman" w:cs="Times New Roman" w:eastAsia="Times New Roman" w:hint="default"/>
        </w:rPr>
        <w:t>1</w:t>
      </w:r>
      <w:r>
        <w:rPr/>
        <w:t>、事项描述 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w:t>
      </w:r>
      <w:r>
        <w:rPr/>
        <w:t>（二十四）及</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”28</w:t>
      </w:r>
      <w:r>
        <w:rPr/>
        <w:t>。</w:t>
      </w:r>
    </w:p>
    <w:p>
      <w:pPr>
        <w:pStyle w:val="BodyText"/>
        <w:spacing w:line="307" w:lineRule="auto" w:before="13"/>
        <w:ind w:right="1033" w:firstLine="360"/>
        <w:jc w:val="left"/>
      </w:pPr>
      <w:r>
        <w:rPr>
          <w:rFonts w:ascii="Times New Roman" w:hAnsi="Times New Roman" w:cs="Times New Roman" w:eastAsia="Times New Roman" w:hint="default"/>
        </w:rPr>
        <w:t>2017</w:t>
      </w:r>
      <w:r>
        <w:rPr/>
        <w:t>年度博思软件主营业务收入</w:t>
      </w:r>
      <w:r>
        <w:rPr>
          <w:rFonts w:ascii="Times New Roman" w:hAnsi="Times New Roman" w:cs="Times New Roman" w:eastAsia="Times New Roman" w:hint="default"/>
        </w:rPr>
        <w:t>30,837.53</w:t>
      </w:r>
      <w:r>
        <w:rPr/>
        <w:t>万元，较</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16,993.92</w:t>
      </w:r>
      <w:r>
        <w:rPr/>
        <w:t>万元增加</w:t>
      </w:r>
      <w:r>
        <w:rPr>
          <w:rFonts w:ascii="Times New Roman" w:hAnsi="Times New Roman" w:cs="Times New Roman" w:eastAsia="Times New Roman" w:hint="default"/>
        </w:rPr>
        <w:t>13,843.61</w:t>
      </w:r>
      <w:r>
        <w:rPr/>
        <w:t>万元，增幅达</w:t>
      </w:r>
      <w:r>
        <w:rPr>
          <w:rFonts w:ascii="Times New Roman" w:hAnsi="Times New Roman" w:cs="Times New Roman" w:eastAsia="Times New Roman" w:hint="default"/>
        </w:rPr>
        <w:t>81.46%</w:t>
      </w:r>
      <w:r>
        <w:rPr/>
        <w:t>。由于收 </w:t>
      </w:r>
      <w:r>
        <w:rPr>
          <w:spacing w:val="-2"/>
        </w:rPr>
        <w:t>入是博思软件关键业绩指标之一，对财务报表具有重要性；另外，博思软件</w:t>
      </w:r>
      <w:r>
        <w:rPr>
          <w:rFonts w:ascii="Times New Roman" w:hAnsi="Times New Roman" w:cs="Times New Roman" w:eastAsia="Times New Roman" w:hint="default"/>
          <w:spacing w:val="-2"/>
        </w:rPr>
        <w:t>2017</w:t>
      </w:r>
      <w:r>
        <w:rPr>
          <w:spacing w:val="-2"/>
        </w:rPr>
        <w:t>年度实施股权激励计划，所发行的限制性股</w:t>
      </w:r>
      <w:r>
        <w:rPr>
          <w:spacing w:val="-62"/>
        </w:rPr>
        <w:t> </w:t>
      </w:r>
      <w:r>
        <w:rPr>
          <w:spacing w:val="-62"/>
        </w:rPr>
      </w:r>
      <w:r>
        <w:rPr/>
        <w:t>票解除限售的考核指标为限售期内所实现的净利润，存在管理层为达到该特定业绩目标而操纵收入确认期间的风险。因此， 我们将收入确认识别为关键审计事项。</w:t>
      </w:r>
    </w:p>
    <w:p>
      <w:pPr>
        <w:pStyle w:val="BodyText"/>
        <w:spacing w:line="300" w:lineRule="auto" w:before="26"/>
        <w:ind w:left="1493" w:right="6073"/>
        <w:jc w:val="left"/>
      </w:pPr>
      <w:r>
        <w:rPr>
          <w:rFonts w:ascii="Times New Roman" w:hAnsi="Times New Roman" w:cs="Times New Roman" w:eastAsia="Times New Roman" w:hint="default"/>
        </w:rPr>
        <w:t>2</w:t>
      </w:r>
      <w:r>
        <w:rPr/>
        <w:t>、审计应对 我们针对这一关键审计事项实施的主要审计程序如下：</w:t>
      </w:r>
    </w:p>
    <w:p>
      <w:pPr>
        <w:pStyle w:val="BodyText"/>
        <w:spacing w:line="240" w:lineRule="auto" w:before="31"/>
        <w:ind w:left="1494" w:right="0"/>
        <w:jc w:val="left"/>
      </w:pPr>
      <w:r>
        <w:rPr/>
        <w:t>（</w:t>
      </w:r>
      <w:r>
        <w:rPr>
          <w:rFonts w:ascii="Times New Roman" w:hAnsi="Times New Roman" w:cs="Times New Roman" w:eastAsia="Times New Roman" w:hint="default"/>
        </w:rPr>
        <w:t>1</w:t>
      </w:r>
      <w:r>
        <w:rPr/>
        <w:t>）了解管理层与收入确认相关的关键内部控制的设计，并测试其运行的有效性；</w:t>
      </w:r>
    </w:p>
    <w:p>
      <w:pPr>
        <w:pStyle w:val="BodyText"/>
        <w:spacing w:line="300" w:lineRule="auto" w:before="63"/>
        <w:ind w:left="1134" w:right="1122" w:firstLine="360"/>
        <w:jc w:val="left"/>
      </w:pPr>
      <w:r>
        <w:rPr/>
        <w:t>（</w:t>
      </w:r>
      <w:r>
        <w:rPr>
          <w:rFonts w:ascii="Times New Roman" w:hAnsi="Times New Roman" w:cs="Times New Roman" w:eastAsia="Times New Roman" w:hint="default"/>
        </w:rPr>
        <w:t>2</w:t>
      </w:r>
      <w:r>
        <w:rPr/>
        <w:t>）通过审阅销售合同与收入确认相关的主要条款，与管理层的沟通，评价博思软件的收入确认的会计政策是否符合 企业会计准则的要求；</w:t>
      </w:r>
    </w:p>
    <w:p>
      <w:pPr>
        <w:pStyle w:val="BodyText"/>
        <w:spacing w:line="300" w:lineRule="auto" w:before="31"/>
        <w:ind w:left="1134" w:right="1122" w:firstLine="360"/>
        <w:jc w:val="left"/>
      </w:pPr>
      <w:r>
        <w:rPr/>
        <w:t>（</w:t>
      </w:r>
      <w:r>
        <w:rPr>
          <w:rFonts w:ascii="Times New Roman" w:hAnsi="Times New Roman" w:cs="Times New Roman" w:eastAsia="Times New Roman" w:hint="default"/>
        </w:rPr>
        <w:t>3</w:t>
      </w:r>
      <w:r>
        <w:rPr/>
        <w:t>）对收入和成本执行分析程序，包括：本期收入季度间波动较去年同期对比分析，各类产品收入、成本、毛利率与 上期比较分析等；</w:t>
      </w:r>
    </w:p>
    <w:p>
      <w:pPr>
        <w:pStyle w:val="BodyText"/>
        <w:spacing w:line="300" w:lineRule="auto" w:before="31"/>
        <w:ind w:left="1134" w:right="1122" w:firstLine="360"/>
        <w:jc w:val="left"/>
      </w:pPr>
      <w:r>
        <w:rPr/>
        <w:t>（</w:t>
      </w:r>
      <w:r>
        <w:rPr>
          <w:rFonts w:ascii="Times New Roman" w:hAnsi="Times New Roman" w:cs="Times New Roman" w:eastAsia="Times New Roman" w:hint="default"/>
        </w:rPr>
        <w:t>4</w:t>
      </w:r>
      <w:r>
        <w:rPr/>
        <w:t>）针对不同业务收入进行抽样测试，了解业务情况，核对销售合同、收入确认支持性文件，结合函证程序以确认收 入的真实性；</w:t>
      </w:r>
    </w:p>
    <w:p>
      <w:pPr>
        <w:pStyle w:val="BodyText"/>
        <w:spacing w:line="240" w:lineRule="auto" w:before="31"/>
        <w:ind w:left="1493" w:right="0"/>
        <w:jc w:val="left"/>
      </w:pPr>
      <w:r>
        <w:rPr/>
        <w:t>（</w:t>
      </w:r>
      <w:r>
        <w:rPr>
          <w:rFonts w:ascii="Times New Roman" w:hAnsi="Times New Roman" w:cs="Times New Roman" w:eastAsia="Times New Roman" w:hint="default"/>
        </w:rPr>
        <w:t>5</w:t>
      </w:r>
      <w:r>
        <w:rPr/>
        <w:t>）针对资产负债表日前后确认的销售收入执行抽样测试，以评估销售收入是否在恰当的期间确认。</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（二）商誉的减值</w:t>
      </w:r>
    </w:p>
    <w:p>
      <w:pPr>
        <w:pStyle w:val="BodyText"/>
        <w:spacing w:line="300" w:lineRule="auto" w:before="76"/>
        <w:ind w:left="1493" w:right="111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1"/>
        </w:rPr>
        <w:t>参阅财务报表附注</w:t>
      </w:r>
      <w:r>
        <w:rPr>
          <w:rFonts w:ascii="Times New Roman" w:hAnsi="Times New Roman" w:cs="Times New Roman" w:eastAsia="Times New Roman" w:hint="default"/>
          <w:spacing w:val="-1"/>
        </w:rPr>
        <w:t>“</w:t>
      </w:r>
      <w:r>
        <w:rPr>
          <w:spacing w:val="-1"/>
        </w:rPr>
        <w:t>三、重要会计政策及会计估计</w:t>
      </w:r>
      <w:r>
        <w:rPr>
          <w:rFonts w:ascii="Times New Roman" w:hAnsi="Times New Roman" w:cs="Times New Roman" w:eastAsia="Times New Roman" w:hint="default"/>
          <w:spacing w:val="-1"/>
        </w:rPr>
        <w:t>”</w:t>
      </w:r>
      <w:r>
        <w:rPr>
          <w:spacing w:val="-1"/>
        </w:rPr>
        <w:t>（十九）及</w:t>
      </w:r>
      <w:r>
        <w:rPr>
          <w:rFonts w:ascii="Times New Roman" w:hAnsi="Times New Roman" w:cs="Times New Roman" w:eastAsia="Times New Roman" w:hint="default"/>
          <w:spacing w:val="-1"/>
        </w:rPr>
        <w:t>“</w:t>
      </w:r>
      <w:r>
        <w:rPr>
          <w:spacing w:val="-1"/>
        </w:rPr>
        <w:t>五、合并财务报表主要项目注释</w:t>
      </w:r>
      <w:r>
        <w:rPr>
          <w:rFonts w:ascii="Times New Roman" w:hAnsi="Times New Roman" w:cs="Times New Roman" w:eastAsia="Times New Roman" w:hint="default"/>
          <w:spacing w:val="-1"/>
        </w:rPr>
        <w:t>”12</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300" w:lineRule="auto" w:before="13"/>
        <w:ind w:right="1123"/>
        <w:jc w:val="left"/>
      </w:pPr>
      <w:r>
        <w:rPr/>
        <w:t>日，博思软件合并报表中商誉账面价值计</w:t>
      </w:r>
      <w:r>
        <w:rPr>
          <w:rFonts w:ascii="Times New Roman" w:hAnsi="Times New Roman" w:cs="Times New Roman" w:eastAsia="Times New Roman" w:hint="default"/>
        </w:rPr>
        <w:t>6,497.37</w:t>
      </w:r>
      <w:r>
        <w:rPr/>
        <w:t>万元，系以前年度和本期因收购福建博思电子政务科技有限公司、北京支</w:t>
      </w:r>
      <w:r>
        <w:rPr>
          <w:spacing w:val="-85"/>
        </w:rPr>
        <w:t> </w:t>
      </w:r>
      <w:r>
        <w:rPr>
          <w:spacing w:val="-85"/>
        </w:rPr>
      </w:r>
      <w:r>
        <w:rPr/>
        <w:t>点国际咨询投资有限公司、内蒙古金财信息技术有限公司形成的。</w:t>
      </w:r>
    </w:p>
    <w:p>
      <w:pPr>
        <w:pStyle w:val="BodyText"/>
        <w:spacing w:line="316" w:lineRule="auto" w:before="31"/>
        <w:ind w:left="1134" w:right="0" w:firstLine="360"/>
        <w:jc w:val="left"/>
      </w:pPr>
      <w:r>
        <w:rPr>
          <w:spacing w:val="-4"/>
        </w:rPr>
        <w:t>由于商誉对合并财务报表的重要性，计提减值时涉及管理层判断和估计，特别在预测未来现金流量方面包括对预测收入、</w:t>
      </w:r>
      <w:r>
        <w:rPr/>
        <w:t> </w:t>
      </w:r>
      <w:r>
        <w:rPr>
          <w:spacing w:val="-2"/>
        </w:rPr>
        <w:t>长期平均增长率和利润率以及确定恰当的折现率所作的关键假设，这些关键假设具有固有不确定性且可能受到管理层偏向的</w:t>
      </w:r>
      <w:r>
        <w:rPr>
          <w:spacing w:val="-64"/>
        </w:rPr>
        <w:t> </w:t>
      </w:r>
      <w:r>
        <w:rPr>
          <w:spacing w:val="-64"/>
        </w:rPr>
      </w:r>
      <w:r>
        <w:rPr/>
        <w:t>影响。因此我们将评估合并财务报表中商誉的减值识别为关键审计事项。</w:t>
      </w:r>
    </w:p>
    <w:p>
      <w:pPr>
        <w:pStyle w:val="BodyText"/>
        <w:spacing w:line="300" w:lineRule="auto" w:before="19"/>
        <w:ind w:left="1493" w:right="6073"/>
        <w:jc w:val="left"/>
      </w:pPr>
      <w:r>
        <w:rPr>
          <w:rFonts w:ascii="Times New Roman" w:hAnsi="Times New Roman" w:cs="Times New Roman" w:eastAsia="Times New Roman" w:hint="default"/>
        </w:rPr>
        <w:t>2</w:t>
      </w:r>
      <w:r>
        <w:rPr/>
        <w:t>、审计应对 我们针对这一关键审计事项实施的主要审计程序如下：</w:t>
      </w:r>
    </w:p>
    <w:p>
      <w:pPr>
        <w:pStyle w:val="BodyText"/>
        <w:spacing w:line="240" w:lineRule="auto" w:before="31"/>
        <w:ind w:left="1494" w:right="0"/>
        <w:jc w:val="left"/>
      </w:pPr>
      <w:r>
        <w:rPr/>
        <w:t>（</w:t>
      </w:r>
      <w:r>
        <w:rPr>
          <w:rFonts w:ascii="Times New Roman" w:hAnsi="Times New Roman" w:cs="Times New Roman" w:eastAsia="Times New Roman" w:hint="default"/>
        </w:rPr>
        <w:t>1</w:t>
      </w:r>
      <w:r>
        <w:rPr/>
        <w:t>）评估管理层减值测试时估值方法的适当性；</w:t>
      </w:r>
    </w:p>
    <w:p>
      <w:pPr>
        <w:pStyle w:val="BodyText"/>
        <w:spacing w:line="300" w:lineRule="auto" w:before="63"/>
        <w:ind w:left="1134" w:right="1122" w:firstLine="360"/>
        <w:jc w:val="left"/>
      </w:pPr>
      <w:r>
        <w:rPr/>
        <w:t>（</w:t>
      </w:r>
      <w:r>
        <w:rPr>
          <w:rFonts w:ascii="Times New Roman" w:hAnsi="Times New Roman" w:cs="Times New Roman" w:eastAsia="Times New Roman" w:hint="default"/>
        </w:rPr>
        <w:t>2</w:t>
      </w:r>
      <w:r>
        <w:rPr/>
        <w:t>）通过将收入增长率、永续增长率和成本费用上涨等关键值与过往业绩、管理层预算和预测进行比较，审慎评价编 制折现现金流预测中采用的关键假设及判断；</w:t>
      </w:r>
    </w:p>
    <w:p>
      <w:pPr>
        <w:pStyle w:val="BodyText"/>
        <w:spacing w:line="240" w:lineRule="auto" w:before="31"/>
        <w:ind w:left="1494" w:right="0"/>
        <w:jc w:val="left"/>
      </w:pPr>
      <w:r>
        <w:rPr/>
        <w:t>（</w:t>
      </w:r>
      <w:r>
        <w:rPr>
          <w:rFonts w:ascii="Times New Roman" w:hAnsi="Times New Roman" w:cs="Times New Roman" w:eastAsia="Times New Roman" w:hint="default"/>
        </w:rPr>
        <w:t>3</w:t>
      </w:r>
      <w:r>
        <w:rPr/>
        <w:t>）测试未来现金流量净现值的计算是否准确；</w:t>
      </w:r>
    </w:p>
    <w:p>
      <w:pPr>
        <w:pStyle w:val="BodyText"/>
        <w:spacing w:line="240" w:lineRule="auto" w:before="63"/>
        <w:ind w:left="1494" w:right="0"/>
        <w:jc w:val="left"/>
      </w:pPr>
      <w:r>
        <w:rPr/>
        <w:t>（</w:t>
      </w:r>
      <w:r>
        <w:rPr>
          <w:rFonts w:ascii="Times New Roman" w:hAnsi="Times New Roman" w:cs="Times New Roman" w:eastAsia="Times New Roman" w:hint="default"/>
        </w:rPr>
        <w:t>4</w:t>
      </w:r>
      <w:r>
        <w:rPr/>
        <w:t>）核查管理层对商誉的减值估计结果、财务报表的披露是否恰当。</w:t>
      </w:r>
    </w:p>
    <w:p>
      <w:pPr>
        <w:spacing w:line="240" w:lineRule="auto" w:before="0"/>
        <w:rPr>
          <w:rFonts w:ascii="宋体" w:hAnsi="宋体" w:cs="宋体" w:eastAsia="宋体" w:hint="default"/>
          <w:sz w:val="18"/>
          <w:szCs w:val="18"/>
        </w:rPr>
      </w:pPr>
    </w:p>
    <w:p>
      <w:pPr>
        <w:pStyle w:val="BodyText"/>
        <w:spacing w:line="312" w:lineRule="auto" w:before="139"/>
        <w:ind w:left="1493" w:right="1118" w:firstLine="1"/>
        <w:jc w:val="left"/>
      </w:pPr>
      <w:r>
        <w:rPr>
          <w:rFonts w:ascii="宋体" w:hAnsi="宋体" w:cs="宋体" w:eastAsia="宋体" w:hint="default"/>
          <w:b/>
          <w:bCs/>
        </w:rPr>
        <w:t>四、其他信息</w:t>
      </w:r>
      <w:r>
        <w:rPr>
          <w:rFonts w:ascii="宋体" w:hAnsi="宋体" w:cs="宋体" w:eastAsia="宋体" w:hint="default"/>
          <w:b/>
          <w:bCs/>
          <w:w w:val="99"/>
        </w:rPr>
        <w:t> </w:t>
      </w:r>
      <w:r>
        <w:rPr/>
        <w:t>博思软件管理层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对其他信息负责。其他信息包括年度报告中除财务报表和本审计报告以外的信息。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2"/>
        <w:ind w:left="149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1134" w:right="0"/>
        <w:jc w:val="left"/>
      </w:pPr>
      <w:r>
        <w:rPr/>
        <w:t>报告。</w:t>
      </w:r>
    </w:p>
    <w:p>
      <w:pPr>
        <w:spacing w:line="316" w:lineRule="auto" w:before="76"/>
        <w:ind w:left="149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博思软件管理层负责按照企业会计准则的规定编制财务报表，使其实现公允反映，并设计、执行和维护必要的内部控制，</w:t>
      </w:r>
    </w:p>
    <w:p>
      <w:pPr>
        <w:pStyle w:val="BodyText"/>
        <w:spacing w:line="316" w:lineRule="auto" w:before="19"/>
        <w:ind w:left="1494" w:right="0" w:hanging="360"/>
        <w:jc w:val="left"/>
      </w:pPr>
      <w:r>
        <w:rPr/>
        <w:t>以使财务报表不存在由于舞弊或错误导致的重大错报。 </w:t>
      </w:r>
      <w:r>
        <w:rPr>
          <w:spacing w:val="-2"/>
        </w:rPr>
        <w:t>在编制财务报表时，管理层负责评估博思软件的持续经营能力，披露与持续经营相关的事项（如适用），并运用持续经</w:t>
      </w:r>
    </w:p>
    <w:p>
      <w:pPr>
        <w:spacing w:line="316" w:lineRule="auto" w:before="19"/>
        <w:ind w:left="1493" w:right="4813" w:hanging="360"/>
        <w:jc w:val="left"/>
        <w:rPr>
          <w:rFonts w:ascii="宋体" w:hAnsi="宋体" w:cs="宋体" w:eastAsia="宋体" w:hint="default"/>
          <w:sz w:val="18"/>
          <w:szCs w:val="18"/>
        </w:rPr>
      </w:pPr>
      <w:r>
        <w:rPr>
          <w:rFonts w:ascii="宋体" w:hAnsi="宋体" w:cs="宋体" w:eastAsia="宋体" w:hint="default"/>
          <w:sz w:val="18"/>
          <w:szCs w:val="18"/>
        </w:rPr>
        <w:t>营假设，除非管理层计划清算博思软件、终止运营或别无其他现实的选择。 治理层负责监督博思软件的财务报告过程。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1494" w:right="0"/>
        <w:jc w:val="left"/>
      </w:pPr>
      <w:r>
        <w:rPr/>
        <w:t>在按照审计准则执行审计工作的过程中，我们运用职业判断，并保持职业怀疑。同时，我们也执行以下工作：</w:t>
      </w:r>
    </w:p>
    <w:p>
      <w:pPr>
        <w:pStyle w:val="BodyText"/>
        <w:spacing w:line="309" w:lineRule="auto" w:before="76"/>
        <w:ind w:left="113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149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149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left="1134"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）对管理层使用持续经营假设的恰当性得出结论。同时，根据获取的审计证据，就可能导致对博思软件持续经营能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于截至审计报告日可获得的信息。然而，未来的事项或情况可能导致博思软件不能持续经营。</w:t>
      </w:r>
    </w:p>
    <w:p>
      <w:pPr>
        <w:spacing w:after="0" w:line="312"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left="1134" w:right="1131" w:firstLine="360"/>
        <w:jc w:val="both"/>
      </w:pPr>
      <w:r>
        <w:rPr/>
        <w:t>（</w:t>
      </w:r>
      <w:r>
        <w:rPr>
          <w:rFonts w:ascii="Times New Roman" w:hAnsi="Times New Roman" w:cs="Times New Roman" w:eastAsia="Times New Roman" w:hint="default"/>
        </w:rPr>
        <w:t>6</w:t>
      </w:r>
      <w:r>
        <w:rPr/>
        <w:t>）就博思软件中实体或业务活动的财务信息获取充分、适当的审计证据，以对财务报表发表意见。我们负责指导、 监督和执行集团审计，并对审计意见承担全部责任。</w:t>
      </w:r>
    </w:p>
    <w:p>
      <w:pPr>
        <w:pStyle w:val="BodyText"/>
        <w:spacing w:line="319" w:lineRule="auto" w:before="31"/>
        <w:ind w:left="1134" w:right="1131"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7"/>
        <w:ind w:left="113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left="1134"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304" w:type="dxa"/>
        <w:tblLayout w:type="fixed"/>
        <w:tblCellMar>
          <w:top w:w="0" w:type="dxa"/>
          <w:left w:w="0" w:type="dxa"/>
          <w:bottom w:w="0" w:type="dxa"/>
          <w:right w:w="0" w:type="dxa"/>
        </w:tblCellMar>
        <w:tblLook w:val="01E0"/>
      </w:tblPr>
      <w:tblGrid>
        <w:gridCol w:w="3497"/>
        <w:gridCol w:w="3678"/>
      </w:tblGrid>
      <w:tr>
        <w:trPr>
          <w:trHeight w:val="573"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福建华兴会计师事务所</w:t>
            </w:r>
            <w:r>
              <w:rPr>
                <w:rFonts w:ascii="宋体" w:hAnsi="宋体" w:cs="宋体" w:eastAsia="宋体" w:hint="default"/>
                <w:sz w:val="18"/>
                <w:szCs w:val="18"/>
              </w:rPr>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b/>
                <w:bCs/>
                <w:sz w:val="18"/>
                <w:szCs w:val="18"/>
              </w:rPr>
              <w:t>（特殊普通合伙）</w:t>
            </w:r>
            <w:r>
              <w:rPr>
                <w:rFonts w:ascii="宋体" w:hAnsi="宋体" w:cs="宋体" w:eastAsia="宋体" w:hint="default"/>
                <w:sz w:val="18"/>
                <w:szCs w:val="18"/>
              </w:rPr>
            </w:r>
          </w:p>
        </w:tc>
        <w:tc>
          <w:tcPr>
            <w:tcW w:w="3678" w:type="dxa"/>
            <w:tcBorders>
              <w:top w:val="nil" w:sz="6" w:space="0" w:color="auto"/>
              <w:left w:val="nil" w:sz="6" w:space="0" w:color="auto"/>
              <w:bottom w:val="nil" w:sz="6" w:space="0" w:color="auto"/>
              <w:right w:val="nil" w:sz="6" w:space="0" w:color="auto"/>
            </w:tcBorders>
          </w:tcPr>
          <w:p>
            <w:pPr>
              <w:pStyle w:val="TableParagraph"/>
              <w:spacing w:line="180" w:lineRule="exact"/>
              <w:ind w:left="1491" w:right="0"/>
              <w:jc w:val="left"/>
              <w:rPr>
                <w:rFonts w:ascii="宋体" w:hAnsi="宋体" w:cs="宋体" w:eastAsia="宋体" w:hint="default"/>
                <w:sz w:val="18"/>
                <w:szCs w:val="18"/>
              </w:rPr>
            </w:pPr>
            <w:r>
              <w:rPr>
                <w:rFonts w:ascii="宋体" w:hAnsi="宋体" w:cs="宋体" w:eastAsia="宋体" w:hint="default"/>
                <w:b/>
                <w:bCs/>
                <w:sz w:val="18"/>
                <w:szCs w:val="18"/>
              </w:rPr>
              <w:t>中国注册会计师：郑丽惠</w:t>
            </w:r>
            <w:r>
              <w:rPr>
                <w:rFonts w:ascii="宋体" w:hAnsi="宋体" w:cs="宋体" w:eastAsia="宋体" w:hint="default"/>
                <w:sz w:val="18"/>
                <w:szCs w:val="18"/>
              </w:rPr>
            </w:r>
          </w:p>
          <w:p>
            <w:pPr>
              <w:pStyle w:val="TableParagraph"/>
              <w:spacing w:line="240" w:lineRule="auto" w:before="76"/>
              <w:ind w:left="15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项目合伙人</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7" w:hRule="exact"/>
        </w:trPr>
        <w:tc>
          <w:tcPr>
            <w:tcW w:w="3497" w:type="dxa"/>
            <w:tcBorders>
              <w:top w:val="nil" w:sz="6" w:space="0" w:color="auto"/>
              <w:left w:val="nil" w:sz="6" w:space="0" w:color="auto"/>
              <w:bottom w:val="nil" w:sz="6" w:space="0" w:color="auto"/>
              <w:right w:val="nil" w:sz="6" w:space="0" w:color="auto"/>
            </w:tcBorders>
          </w:tcPr>
          <w:p>
            <w:pP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91" w:right="0"/>
              <w:jc w:val="left"/>
              <w:rPr>
                <w:rFonts w:ascii="宋体" w:hAnsi="宋体" w:cs="宋体" w:eastAsia="宋体" w:hint="default"/>
                <w:sz w:val="18"/>
                <w:szCs w:val="18"/>
              </w:rPr>
            </w:pPr>
            <w:r>
              <w:rPr>
                <w:rFonts w:ascii="宋体" w:hAnsi="宋体" w:cs="宋体" w:eastAsia="宋体" w:hint="default"/>
                <w:b/>
                <w:bCs/>
                <w:sz w:val="18"/>
                <w:szCs w:val="18"/>
              </w:rPr>
              <w:t>中国注册会计师：郭璇</w:t>
            </w:r>
            <w:r>
              <w:rPr>
                <w:rFonts w:ascii="宋体" w:hAnsi="宋体" w:cs="宋体" w:eastAsia="宋体" w:hint="default"/>
                <w:sz w:val="18"/>
                <w:szCs w:val="18"/>
              </w:rPr>
            </w:r>
          </w:p>
        </w:tc>
      </w:tr>
      <w:tr>
        <w:trPr>
          <w:trHeight w:val="266" w:hRule="exact"/>
        </w:trPr>
        <w:tc>
          <w:tcPr>
            <w:tcW w:w="34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0" w:right="0"/>
              <w:jc w:val="left"/>
              <w:rPr>
                <w:rFonts w:ascii="宋体" w:hAnsi="宋体" w:cs="宋体" w:eastAsia="宋体" w:hint="default"/>
                <w:sz w:val="18"/>
                <w:szCs w:val="18"/>
              </w:rPr>
            </w:pPr>
            <w:r>
              <w:rPr>
                <w:rFonts w:ascii="宋体" w:hAnsi="宋体" w:cs="宋体" w:eastAsia="宋体" w:hint="default"/>
                <w:b/>
                <w:bCs/>
                <w:sz w:val="18"/>
                <w:szCs w:val="18"/>
              </w:rPr>
              <w:t>中国福州市</w:t>
            </w:r>
            <w:r>
              <w:rPr>
                <w:rFonts w:ascii="宋体" w:hAnsi="宋体" w:cs="宋体" w:eastAsia="宋体" w:hint="default"/>
                <w:sz w:val="18"/>
                <w:szCs w:val="18"/>
              </w:rPr>
            </w:r>
          </w:p>
        </w:tc>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91"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一八年四月二十三日</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2"/>
        <w:spacing w:line="240" w:lineRule="auto" w:before="26"/>
        <w:ind w:left="1134"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编制单位：福建博思软件股份有限公司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303,161,159.47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259,634,866.04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107,955,135.97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47,674,161.56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5,912,730.25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3,779,573.03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316,273.98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4,793,812.17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4,574,851.70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13,142,743.91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7,079,537.78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90,004,954.71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525,286,810.46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322,756,214.92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29,082,227.38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2,206,533.72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11,926,645.46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12,340,722.32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143,469,575.12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120,993,234.97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21,626,285.90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6,152,610.52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64,973,678.98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14,557,373.14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1,370,106.42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6,825,972.40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1,435,424.98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279,274,491.66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157,685,899.65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804,561,302.12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480,442,114.57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29,545,162.30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15,386,872.04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13,299,983.59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7,974,858.01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33,512,344.28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17,035,537.68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19,393,960.59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6,873,334.36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16,798,666.11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131,727,791.26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2,557,033.80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244,277,908.13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50,827,635.89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48,693,960.00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4,662,531.62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53,356,491.62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297,634,399.75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50,827,635.89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72,032,000.00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324,827,268.91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194,601,481.65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18,968,168.16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13,943,396.06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195,201,855.98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145,541,481.37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481,275,603.05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422,225,359.08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25,651,299.32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7,389,119.60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506,926,902.37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429,614,478.68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804,561,302.12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480,442,114.57</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法定代表人：陈航</w:t>
        <w:tab/>
        <w:t>主管会计工作负责人：郑升尉</w:t>
        <w:tab/>
        <w:t>会计机构负责人：朱红玉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191,431,903.39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202,267,280.03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82,744,837.96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37,912,156.10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4,086,920.82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2,539,682.70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316,273.98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3,696,529.57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3,819,092.89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7,376,173.36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6,270,511.09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90,004,954.71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379,657,593.79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252,808,722.81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155,412,853.00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32,504,873.60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15,901,777.46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16,454,296.40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115,165,819.04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115,627,460.80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6,203,034.57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6,047,610.52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1,294,506.42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3,210,617.94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297,188,608.43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171,743,306.32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676,846,202.22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424,552,029.13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22,887,222.64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13,085,202.35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2,735,806.57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7,137,114.23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19,013,399.61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11,629,436.14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10,519,537.24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3,977,138.27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129,826,321.48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176,495.99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184,982,287.54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36,005,386.98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48,693,960.00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48,693,960.00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233,676,247.54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36,005,386.98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72,032,000.00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68,139,000.00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324,837,763.15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194,601,481.65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18,968,168.16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13,943,396.06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05.719971pt;width:157.7pt;height:19.650pt;mso-position-horizontal-relative:page;mso-position-vertical-relative:page;z-index:-988504" coordorigin="4242,14114" coordsize="3154,393">
            <v:shape style="position:absolute;left:4242;top:14114;width:3154;height:393" coordorigin="4242,14114" coordsize="3154,393" path="m4242,14507l7396,14507,7396,14114,4242,14114,4242,145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157,085,713.37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111,862,764.44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443,169,954.68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388,546,642.15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676,846,202.22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424,552,029.13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309,882,371.93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171,251,296.12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309,882,371.93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171,251,296.12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257,665,690.16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137,630,341.99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97,383,817.55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52,686,548.51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4,700,632.37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2,399,994.96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55,209,517.05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27,822,307.75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95,095,448.67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50,892,384.84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-1,290,112.94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-741,678.62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6,566,387.46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4,570,784.55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3,958,491.36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288,270.84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2,457,239.40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288,270.84</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52.899979pt;width:157.7pt;height:19.650pt;mso-position-horizontal-relative:page;mso-position-vertical-relative:page;z-index:-988480" coordorigin="4242,3058" coordsize="3154,393">
            <v:shape style="position:absolute;left:4242;top:3058;width:3154;height:393" coordorigin="4242,3058" coordsize="3154,393" path="m4242,3450l7396,3450,7396,3058,4242,3058,4242,3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7,237,978.49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63,413,151.62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33,909,224.97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223,159.63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9,390,733.04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143,252.93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2,193.46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63,493,058.32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43,297,764.55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6,566,848.16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5,669,413.01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56,926,210.16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37,628,351.54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56,926,210.16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37,628,351.54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54,685,146.71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38,301,620.49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2,241,063.45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-673,268.95</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56,926,210.16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37,628,351.54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54,685,146.71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38,301,620.49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2,241,063.45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-673,268.95</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0.6585</w:t>
            </w:r>
          </w:p>
        </w:tc>
      </w:tr>
    </w:tbl>
    <w:p>
      <w:pPr>
        <w:pStyle w:val="BodyText"/>
        <w:tabs>
          <w:tab w:pos="446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法定代表人：陈航</w:t>
        <w:tab/>
        <w:t>主管会计工作负责人：郑升尉</w:t>
        <w:tab/>
        <w:t>会计机构负责人：朱红玉</w:t>
      </w:r>
    </w:p>
    <w:p>
      <w:pPr>
        <w:pStyle w:val="Heading3"/>
        <w:spacing w:line="240" w:lineRule="auto" w:before="63"/>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184,920,965.73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123,512,286.56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56,125,812.42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42,554,317.10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3,245,744.19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1,903,950.29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41,128,392.73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23,202,408.41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52,148,248.26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36,258,324.67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-837,039.66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-474,682.87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5,860,752.97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3,543,580.82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20,960,037.10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6,288,270.84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2,457,239.40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288,270.84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6,523,793.35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54,732,885.27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22,812,658.98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153,159.81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8,011,926.63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142,108.37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54,743,936.71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30,824,585.61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4,496,215.68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2,874,324.95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50,247,721.03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27,950,260.66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50,247,721.03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27,950,260.66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50,247,721.03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27,950,260.66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55"/>
        <w:gridCol w:w="3302"/>
        <w:gridCol w:w="3290"/>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2" w:right="0"/>
              <w:jc w:val="left"/>
              <w:rPr>
                <w:rFonts w:ascii="Times New Roman" w:hAnsi="Times New Roman" w:cs="Times New Roman" w:eastAsia="Times New Roman" w:hint="default"/>
                <w:sz w:val="18"/>
                <w:szCs w:val="18"/>
              </w:rPr>
            </w:pPr>
            <w:r>
              <w:rPr>
                <w:rFonts w:ascii="Times New Roman"/>
                <w:sz w:val="18"/>
              </w:rPr>
              <w:t>298,752,929.35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162,640,925.35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6,467,119.27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6,680,352.38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21,177,526.87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11,372,902.17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326,397,575.49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180,694,179.90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52,957,722.35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22,563,798.64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115,442,468.93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62,265,267.13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27,539,909.81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18,320,064.86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74,269,569.44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44,547,956.72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270,209,670.53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147,697,087.35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56,187,904.96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32,997,092.55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1,166,523.72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70,620.62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1,237,144.34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10,470,164.00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16,374,168.11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109,900,875.00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26,504,791.39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3,200,847.48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146,875,830.39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19,575,015.59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-145,638,686.05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-19,565,015.59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132,943,690.00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182,198,000.00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132,943,690.00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182,198,000.00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983,213.20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13,692,566.66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447,986.35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7,611,756.05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2,431,199.55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24,304,322.71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130,512,490.45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157,893,677.29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41,061,709.36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171,325,754.25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259,427,006.04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88,101,251.79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300,488,715.40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259,427,006.04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147,320,347.06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113,977,797.56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5,753,793.35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5,828,492.77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11,578,147.70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20,308,505.42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164,652,288.11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140,114,795.75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27,326,238.71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18,329,447.55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67,110,842.14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45,318,182.69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15,862,546.13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12,936,844.78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49,950,570.35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45,487,885.17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160,250,197.33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122,072,360.19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4,402,090.78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18,042,435.56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18,186,523.72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19,417.46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18,205,941.18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8,432,937.25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16,123,102.16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156,780,875.00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165,213,812.25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35,998,602.16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-147,007,871.07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-29,988,602.16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180,728,000.00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180,728,000.00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13,679,371.66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447,846.35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7,611,636.05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447,846.35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24,291,007.71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129,305,843.65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156,436,992.29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-13,299,936.64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144,490,825.69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202,067,280.03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57,576,454.34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188,767,343.39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202,067,280.03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194,601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396.06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145,541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7,389,1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429,614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,478.68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194,601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396.06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145,541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7,389,1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19.60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429,614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,478.68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130,225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374.61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179.72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77,312,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423.69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54,685,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2,241,0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56,926,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210.16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130,225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16,021,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20,386,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213.53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3,893,</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125,860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3,190,0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3,190,0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3,324,9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3,324,9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17.40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1,040,1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296.13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72.10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72.10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324,827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,268.91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168.16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195,201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299.32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,902.37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41,078,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592.22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,686.95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3,023,4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83.32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229,952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,132.48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41,078,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592.22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,686.95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3,023,4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83.32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229,952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,132.48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153,522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21,878,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794.42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4,365,6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36.28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199,662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,346.20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38,301,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620.49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-673,26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37,628,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351.54</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153,522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,889.43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5,038,9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05.23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175,661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,794.66</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153,522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,889.43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5,038,9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05.23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175,661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,794.66</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26.07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-16,422,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826.07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26.07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194,601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13,943,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396.06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145,541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,481.37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7,389,1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19.60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429,614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,478.68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68,139,0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194,601,4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81.65</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13,943,39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111,862,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764.44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388,546,6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42.15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68,139,0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194,601,4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13,943,39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111,862,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764.44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388,546,6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42.15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130,236,2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5,024,772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45,222,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948.93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54,623,31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2.53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721.03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50,247,72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130,236,2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4,375,591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3,893,00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125,860,6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3,560,970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3,560,970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814,621.5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814,621.5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5,024,772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72.10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5,024,772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-5,024,7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72.10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72,032,0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324,837,7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129,753,6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18,968,16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157,085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,713.37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443,169,9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54.68</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51,039,0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41,078,59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11,148,36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100,335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,329.85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203,601,2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92.06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51,039,0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41,078,59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11,148,36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100,335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,329.85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203,601,2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92.06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17,100,0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153,522,8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2,795,026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11,527,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184,945,3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50.09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260.66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27,950,26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17,100,0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153,522,8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170,622,8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89.43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17,100,0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153,522,8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170,622,8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89.43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-16,422,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826.07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-13,627,8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2,795,026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-2,795,0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26.07</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-13,627,8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68,139,0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194,601,4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13,943,39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111,862,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764.44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388,546,6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42.15</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93" w:right="1118"/>
        <w:jc w:val="left"/>
      </w:pPr>
      <w:r>
        <w:rPr>
          <w:rFonts w:ascii="Times New Roman" w:hAnsi="Times New Roman" w:cs="Times New Roman" w:eastAsia="Times New Roman" w:hint="default"/>
        </w:rPr>
        <w:t>1</w:t>
      </w:r>
      <w:r>
        <w:rPr/>
        <w:t>、公司概况 </w:t>
      </w:r>
      <w:r>
        <w:rPr>
          <w:spacing w:val="-2"/>
        </w:rPr>
        <w:t>福建博思软件股份有限公司（以下简称公司或博思软件）是由福州博思软件开发有限公司（以下简称博思有限）以整体</w:t>
      </w:r>
    </w:p>
    <w:p>
      <w:pPr>
        <w:pStyle w:val="BodyText"/>
        <w:spacing w:line="300" w:lineRule="auto" w:before="31"/>
        <w:ind w:right="1130"/>
        <w:jc w:val="both"/>
      </w:pPr>
      <w:r>
        <w:rPr/>
        <w:t>变更方式设立的股份有限公司，现持有福州市工商行政管理局核发的《营业执照》，注册号为</w:t>
      </w:r>
      <w:r>
        <w:rPr>
          <w:rFonts w:ascii="Times New Roman" w:hAnsi="Times New Roman" w:cs="Times New Roman" w:eastAsia="Times New Roman" w:hint="default"/>
        </w:rPr>
        <w:t>91350100731844207Y</w:t>
      </w:r>
      <w:r>
        <w:rPr/>
        <w:t>，住所</w:t>
      </w:r>
      <w:r>
        <w:rPr>
          <w:spacing w:val="-37"/>
        </w:rPr>
        <w:t> </w:t>
      </w:r>
      <w:r>
        <w:rPr>
          <w:spacing w:val="-37"/>
        </w:rPr>
      </w:r>
      <w:r>
        <w:rPr/>
        <w:t>为福建省闽侯县上街镇科技东路福州高新技术产业开发区</w:t>
      </w:r>
      <w:r>
        <w:rPr>
          <w:rFonts w:ascii="Times New Roman" w:hAnsi="Times New Roman" w:cs="Times New Roman" w:eastAsia="Times New Roman" w:hint="default"/>
        </w:rPr>
        <w:t>“</w:t>
      </w:r>
      <w:r>
        <w:rPr/>
        <w:t>海西高新技术产业园</w:t>
      </w:r>
      <w:r>
        <w:rPr>
          <w:rFonts w:ascii="Times New Roman" w:hAnsi="Times New Roman" w:cs="Times New Roman" w:eastAsia="Times New Roman" w:hint="default"/>
        </w:rPr>
        <w:t>”</w:t>
      </w:r>
      <w:r>
        <w:rPr/>
        <w:t>创业大厦</w:t>
      </w:r>
      <w:r>
        <w:rPr>
          <w:rFonts w:ascii="Times New Roman" w:hAnsi="Times New Roman" w:cs="Times New Roman" w:eastAsia="Times New Roman" w:hint="default"/>
        </w:rPr>
        <w:t>A</w:t>
      </w:r>
      <w:r>
        <w:rPr/>
        <w:t>区</w:t>
      </w:r>
      <w:r>
        <w:rPr>
          <w:rFonts w:ascii="Times New Roman" w:hAnsi="Times New Roman" w:cs="Times New Roman" w:eastAsia="Times New Roman" w:hint="default"/>
        </w:rPr>
        <w:t>7</w:t>
      </w:r>
      <w:r>
        <w:rPr/>
        <w:t>层，法定代表人为陈航，注</w:t>
      </w:r>
      <w:r>
        <w:rPr>
          <w:spacing w:val="-23"/>
        </w:rPr>
        <w:t> </w:t>
      </w:r>
      <w:r>
        <w:rPr>
          <w:spacing w:val="-23"/>
        </w:rPr>
      </w:r>
      <w:r>
        <w:rPr/>
        <w:t>册资本人民币</w:t>
      </w:r>
      <w:r>
        <w:rPr>
          <w:rFonts w:ascii="Times New Roman" w:hAnsi="Times New Roman" w:cs="Times New Roman" w:eastAsia="Times New Roman" w:hint="default"/>
        </w:rPr>
        <w:t>7,203.20</w:t>
      </w:r>
      <w:r>
        <w:rPr/>
        <w:t>万元。</w:t>
      </w:r>
    </w:p>
    <w:p>
      <w:pPr>
        <w:pStyle w:val="BodyText"/>
        <w:spacing w:line="309" w:lineRule="auto" w:before="13"/>
        <w:ind w:left="1493" w:right="7873"/>
        <w:jc w:val="left"/>
      </w:pPr>
      <w:r>
        <w:rPr>
          <w:rFonts w:ascii="Times New Roman" w:hAnsi="Times New Roman" w:cs="Times New Roman" w:eastAsia="Times New Roman" w:hint="default"/>
        </w:rPr>
        <w:t>2</w:t>
      </w:r>
      <w:r>
        <w:rPr/>
        <w:t>、行业性质 公司属于软件和信息技术服务业 </w:t>
      </w:r>
      <w:r>
        <w:rPr>
          <w:rFonts w:ascii="Times New Roman" w:hAnsi="Times New Roman" w:cs="Times New Roman" w:eastAsia="Times New Roman" w:hint="default"/>
        </w:rPr>
        <w:t>3</w:t>
      </w:r>
      <w:r>
        <w:rPr/>
        <w:t>、经营范围</w:t>
      </w:r>
    </w:p>
    <w:p>
      <w:pPr>
        <w:pStyle w:val="BodyText"/>
        <w:spacing w:line="316" w:lineRule="auto" w:before="5"/>
        <w:ind w:right="1130" w:firstLine="360"/>
        <w:jc w:val="both"/>
      </w:pPr>
      <w:r>
        <w:rPr>
          <w:spacing w:val="-2"/>
        </w:rPr>
        <w:t>公司经营范围：电子计算机软、硬件开发、销售；电子计算机网络工程技术咨询、技术服务；第二类增值电信业务中的</w:t>
      </w:r>
      <w:r>
        <w:rPr/>
        <w:t> </w:t>
      </w:r>
      <w:r>
        <w:rPr>
          <w:spacing w:val="-2"/>
        </w:rPr>
        <w:t>信息服务业务（仅限互联网信息服务）；信息系统集成服务；测绘服务；自有房屋租赁。（依法须经批准的项目，经相关部</w:t>
      </w:r>
      <w:r>
        <w:rPr>
          <w:spacing w:val="-67"/>
        </w:rPr>
        <w:t> </w:t>
      </w:r>
      <w:r>
        <w:rPr>
          <w:spacing w:val="-67"/>
        </w:rPr>
      </w:r>
      <w:r>
        <w:rPr/>
        <w:t>门批准后方可开展经营活动）。</w:t>
      </w:r>
    </w:p>
    <w:p>
      <w:pPr>
        <w:pStyle w:val="BodyText"/>
        <w:spacing w:line="300" w:lineRule="auto" w:before="19"/>
        <w:ind w:left="1494" w:right="0"/>
        <w:jc w:val="left"/>
      </w:pPr>
      <w:r>
        <w:rPr>
          <w:rFonts w:ascii="Times New Roman" w:hAnsi="Times New Roman" w:cs="Times New Roman" w:eastAsia="Times New Roman" w:hint="default"/>
        </w:rPr>
        <w:t>4</w:t>
      </w:r>
      <w:r>
        <w:rPr/>
        <w:t>、主要产品或提供的劳务 </w:t>
      </w:r>
      <w:r>
        <w:rPr>
          <w:spacing w:val="-2"/>
        </w:rPr>
        <w:t>公司主营业务为软件产品的开发、销售与服务，软件产品主要应用于在财政非税收入和政府采购等领域。在财政非税收</w:t>
      </w:r>
    </w:p>
    <w:p>
      <w:pPr>
        <w:pStyle w:val="BodyText"/>
        <w:spacing w:line="314" w:lineRule="auto" w:before="31"/>
        <w:ind w:right="1033"/>
        <w:jc w:val="left"/>
      </w:pPr>
      <w:r>
        <w:rPr>
          <w:spacing w:val="-2"/>
        </w:rPr>
        <w:t>入领域，主要面向财政票据电子化管理、财政电子票据管理、政府非税收入管理信息化及公共缴费服务领域，为财政票据用</w:t>
      </w:r>
      <w:r>
        <w:rPr>
          <w:spacing w:val="-66"/>
        </w:rPr>
        <w:t> </w:t>
      </w:r>
      <w:r>
        <w:rPr>
          <w:spacing w:val="-66"/>
        </w:rPr>
      </w:r>
      <w:r>
        <w:rPr>
          <w:spacing w:val="-2"/>
        </w:rPr>
        <w:t>票单位、各级财政部门提供财政票据电子化管理及政府非税收入信息化管理相关的软件产品和服务，在此基础上通过公司自</w:t>
      </w:r>
      <w:r>
        <w:rPr>
          <w:spacing w:val="-64"/>
        </w:rPr>
        <w:t> </w:t>
      </w:r>
      <w:r>
        <w:rPr>
          <w:spacing w:val="-64"/>
        </w:rPr>
      </w:r>
      <w:r>
        <w:rPr/>
        <w:t>主研发的</w:t>
      </w:r>
      <w:r>
        <w:rPr>
          <w:rFonts w:ascii="Times New Roman" w:hAnsi="Times New Roman" w:cs="Times New Roman" w:eastAsia="Times New Roman" w:hint="default"/>
        </w:rPr>
        <w:t>e</w:t>
      </w:r>
      <w:r>
        <w:rPr/>
        <w:t>缴通公共缴费网与执收单位网上业务系统、非税收入管理系统和银行网上支付系统的互联互通，为社会公众提供</w:t>
      </w:r>
      <w:r>
        <w:rPr>
          <w:spacing w:val="-77"/>
        </w:rPr>
        <w:t> </w:t>
      </w:r>
      <w:r>
        <w:rPr>
          <w:spacing w:val="-77"/>
        </w:rPr>
      </w:r>
      <w:r>
        <w:rPr/>
        <w:t>公共缴费、网上业务办理及相关增值服务。在政府采购领域，公司主要面向参与政府采购的财政部门、公共资源交易中心、 采购人、社会代理机构、供应商等相关主体提供政府采购信息化监管和电子交易平台建设。</w:t>
      </w:r>
    </w:p>
    <w:p>
      <w:pPr>
        <w:pStyle w:val="BodyText"/>
        <w:spacing w:line="300" w:lineRule="auto" w:before="20"/>
        <w:ind w:left="1494" w:right="4182"/>
        <w:jc w:val="left"/>
      </w:pPr>
      <w:r>
        <w:rPr>
          <w:rFonts w:ascii="Times New Roman" w:hAnsi="Times New Roman" w:cs="Times New Roman" w:eastAsia="Times New Roman" w:hint="default"/>
        </w:rPr>
        <w:t>5</w:t>
      </w:r>
      <w:r>
        <w:rPr/>
        <w:t>、财务报告的批准报出 公司财务报告发于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日经公司第二届董事会第十九次会议批准通过。</w:t>
      </w:r>
    </w:p>
    <w:p>
      <w:pPr>
        <w:pStyle w:val="BodyText"/>
        <w:spacing w:line="240" w:lineRule="auto" w:before="13"/>
        <w:ind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日，公司合并财务报表范围内子公司如下：</w:t>
      </w:r>
    </w:p>
    <w:p>
      <w:pPr>
        <w:spacing w:line="240" w:lineRule="auto" w:before="13"/>
        <w:rPr>
          <w:rFonts w:ascii="宋体" w:hAnsi="宋体" w:cs="宋体" w:eastAsia="宋体" w:hint="default"/>
          <w:sz w:val="3"/>
          <w:szCs w:val="3"/>
        </w:rPr>
      </w:pPr>
    </w:p>
    <w:tbl>
      <w:tblPr>
        <w:tblW w:w="0" w:type="auto"/>
        <w:jc w:val="left"/>
        <w:tblInd w:w="1124" w:type="dxa"/>
        <w:tblLayout w:type="fixed"/>
        <w:tblCellMar>
          <w:top w:w="0" w:type="dxa"/>
          <w:left w:w="0" w:type="dxa"/>
          <w:bottom w:w="0" w:type="dxa"/>
          <w:right w:w="0" w:type="dxa"/>
        </w:tblCellMar>
        <w:tblLook w:val="01E0"/>
      </w:tblPr>
      <w:tblGrid>
        <w:gridCol w:w="771"/>
        <w:gridCol w:w="3776"/>
        <w:gridCol w:w="2226"/>
        <w:gridCol w:w="2224"/>
      </w:tblGrid>
      <w:tr>
        <w:trPr>
          <w:trHeight w:val="353" w:hRule="exact"/>
        </w:trPr>
        <w:tc>
          <w:tcPr>
            <w:tcW w:w="771" w:type="dxa"/>
            <w:vMerge w:val="restart"/>
            <w:tcBorders>
              <w:top w:val="single" w:sz="8" w:space="0" w:color="000000"/>
              <w:left w:val="single" w:sz="8" w:space="0" w:color="000000"/>
              <w:right w:val="single" w:sz="8"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76" w:type="dxa"/>
            <w:vMerge w:val="restart"/>
            <w:tcBorders>
              <w:top w:val="single" w:sz="8" w:space="0" w:color="000000"/>
              <w:left w:val="single" w:sz="8" w:space="0" w:color="000000"/>
              <w:right w:val="single" w:sz="8" w:space="0" w:color="000000"/>
            </w:tcBorders>
          </w:tcPr>
          <w:p>
            <w:pPr>
              <w:pStyle w:val="TableParagraph"/>
              <w:spacing w:line="240" w:lineRule="auto" w:before="21"/>
              <w:ind w:left="100"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445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02"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771" w:type="dxa"/>
            <w:vMerge/>
            <w:tcBorders>
              <w:left w:val="single" w:sz="8" w:space="0" w:color="000000"/>
              <w:bottom w:val="single" w:sz="8" w:space="0" w:color="000000"/>
              <w:right w:val="single" w:sz="8" w:space="0" w:color="000000"/>
            </w:tcBorders>
          </w:tcPr>
          <w:p>
            <w:pPr/>
          </w:p>
        </w:tc>
        <w:tc>
          <w:tcPr>
            <w:tcW w:w="3776" w:type="dxa"/>
            <w:vMerge/>
            <w:tcBorders>
              <w:left w:val="single" w:sz="8" w:space="0" w:color="000000"/>
              <w:bottom w:val="single" w:sz="8" w:space="0" w:color="000000"/>
              <w:right w:val="single" w:sz="8" w:space="0" w:color="000000"/>
            </w:tcBorders>
          </w:tcPr>
          <w:p>
            <w:pP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0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22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02"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4" w:type="dxa"/>
        <w:tblLayout w:type="fixed"/>
        <w:tblCellMar>
          <w:top w:w="0" w:type="dxa"/>
          <w:left w:w="0" w:type="dxa"/>
          <w:bottom w:w="0" w:type="dxa"/>
          <w:right w:w="0" w:type="dxa"/>
        </w:tblCellMar>
        <w:tblLook w:val="01E0"/>
      </w:tblPr>
      <w:tblGrid>
        <w:gridCol w:w="771"/>
        <w:gridCol w:w="3776"/>
        <w:gridCol w:w="2226"/>
        <w:gridCol w:w="2224"/>
      </w:tblGrid>
      <w:tr>
        <w:trPr>
          <w:trHeight w:val="352"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1</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2</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3</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4</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5</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6</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7</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51.04</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8</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51.00</w:t>
            </w:r>
          </w:p>
        </w:tc>
        <w:tc>
          <w:tcPr>
            <w:tcW w:w="222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z w:val="18"/>
              </w:rPr>
              <w:t>9</w:t>
            </w:r>
          </w:p>
        </w:tc>
        <w:tc>
          <w:tcPr>
            <w:tcW w:w="3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2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70.00</w:t>
            </w:r>
          </w:p>
        </w:tc>
        <w:tc>
          <w:tcPr>
            <w:tcW w:w="2224"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360"/>
        <w:jc w:val="left"/>
      </w:pPr>
      <w:r>
        <w:rPr/>
        <w:t>公司以持续经营为基础，根据实际发生的交易和事项，按照《企业会计准则</w:t>
      </w:r>
      <w:r>
        <w:rPr>
          <w:rFonts w:ascii="Times New Roman" w:hAnsi="Times New Roman" w:cs="Times New Roman" w:eastAsia="Times New Roman" w:hint="default"/>
        </w:rPr>
        <w:t>——</w:t>
      </w:r>
      <w:r>
        <w:rPr/>
        <w:t>基本准则》和其他各项具体会计准则、 </w:t>
      </w:r>
      <w:r>
        <w:rPr>
          <w:spacing w:val="-2"/>
        </w:rPr>
        <w:t>应用指南、准则解释及其他相关规定（以下合称企业会计准则）进行确认和计量，在此基础上结合中国证券监督管理委员会</w:t>
      </w:r>
    </w:p>
    <w:p>
      <w:pPr>
        <w:pStyle w:val="BodyText"/>
        <w:spacing w:line="240" w:lineRule="auto" w:before="31"/>
        <w:ind w:right="0"/>
        <w:jc w:val="left"/>
      </w:pPr>
      <w:r>
        <w:rPr/>
        <w:t>《公开发行证券的公司信息披露编报规则第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公司自本报告期末起至少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9"/>
        <w:ind w:right="4633"/>
        <w:jc w:val="left"/>
      </w:pPr>
      <w:r>
        <w:rPr/>
        <w:t>具体会计政策和会计估计提示： 具体会计政策和会计估计详见本节五、第</w:t>
      </w:r>
      <w:r>
        <w:rPr>
          <w:rFonts w:ascii="Times New Roman" w:hAnsi="Times New Roman" w:cs="Times New Roman" w:eastAsia="Times New Roman" w:hint="default"/>
        </w:rPr>
        <w:t>33</w:t>
      </w:r>
      <w:r>
        <w:rPr/>
        <w:t>点重要会计政策和会计估计变更。</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spacing w:val="-4"/>
        </w:rPr>
        <w:t>公司编制的财务报表符合企业会计准则的要求，真实、完整地反映了公司的财务状况、经营成果和现金流量等有关信息。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公司会计年度自公历每年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公司以</w:t>
      </w:r>
      <w:r>
        <w:rPr>
          <w:rFonts w:ascii="Times New Roman" w:hAnsi="Times New Roman" w:cs="Times New Roman" w:eastAsia="Times New Roman" w:hint="default"/>
        </w:rPr>
        <w:t>12</w:t>
      </w:r>
      <w:r>
        <w:rPr/>
        <w:t>个月作为一个营业周期。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2" w:firstLine="360"/>
        <w:jc w:val="both"/>
      </w:pPr>
      <w:r>
        <w:rPr>
          <w:rFonts w:ascii="Times New Roman" w:hAnsi="Times New Roman" w:cs="Times New Roman" w:eastAsia="Times New Roman" w:hint="default"/>
        </w:rPr>
        <w:t>(1)</w:t>
      </w:r>
      <w:r>
        <w:rPr/>
        <w:t>、同一控制下企业合并：本公司在企业合并中取得的资产和负债，按照合并日在被合并方资产、负债（包括最终控</w:t>
      </w:r>
      <w:r>
        <w:rPr>
          <w:w w:val="99"/>
        </w:rPr>
        <w:t> </w:t>
      </w:r>
      <w:r>
        <w:rPr>
          <w:spacing w:val="-2"/>
        </w:rPr>
        <w:t>制方收购被合并方而形成的商誉）在最终控制方合并财务报表中的账面价值计量。在合并中取得的净资产账面价值与支付的</w:t>
      </w:r>
      <w:r>
        <w:rPr>
          <w:spacing w:val="-65"/>
        </w:rPr>
        <w:t> </w:t>
      </w:r>
      <w:r>
        <w:rPr>
          <w:spacing w:val="-65"/>
        </w:rPr>
      </w:r>
      <w:r>
        <w:rPr>
          <w:spacing w:val="-2"/>
        </w:rPr>
        <w:t>合并对价账面价值（或发行股份面值总额）的差额，调整资本公积中的股本溢价，资本公积中的股本溢价不足冲减的，调整</w:t>
      </w:r>
      <w:r>
        <w:rPr>
          <w:spacing w:val="-67"/>
        </w:rPr>
        <w:t> </w:t>
      </w:r>
      <w:r>
        <w:rPr>
          <w:spacing w:val="-67"/>
        </w:rPr>
      </w:r>
      <w:r>
        <w:rPr/>
        <w:t>留存收益。</w:t>
      </w:r>
    </w:p>
    <w:p>
      <w:pPr>
        <w:pStyle w:val="BodyText"/>
        <w:spacing w:line="314" w:lineRule="auto" w:before="22"/>
        <w:ind w:right="0" w:firstLine="360"/>
        <w:jc w:val="left"/>
      </w:pPr>
      <w:r>
        <w:rPr>
          <w:rFonts w:ascii="Times New Roman" w:hAnsi="Times New Roman" w:cs="Times New Roman" w:eastAsia="Times New Roman" w:hint="default"/>
          <w:spacing w:val="-1"/>
        </w:rPr>
        <w:t>(2)</w:t>
      </w:r>
      <w:r>
        <w:rPr>
          <w:spacing w:val="-1"/>
        </w:rPr>
        <w:t>、非同一控制下企业合并：本公司在购买日对作为企业合并对价付出的资产、发生或承担的负债按照公允价值计量，</w:t>
      </w:r>
      <w:r>
        <w:rPr>
          <w:w w:val="99"/>
        </w:rPr>
        <w:t> </w:t>
      </w:r>
      <w:r>
        <w:rPr>
          <w:spacing w:val="-2"/>
        </w:rPr>
        <w:t>公允价值与其账面价值的差额，计入当期损益。本公司对合并成本大于合并中取得的被购买方可辨认净资产公允价值份额的</w:t>
      </w:r>
      <w:r>
        <w:rPr>
          <w:spacing w:val="-65"/>
        </w:rPr>
        <w:t> </w:t>
      </w:r>
      <w:r>
        <w:rPr>
          <w:spacing w:val="-65"/>
        </w:rPr>
      </w:r>
      <w:r>
        <w:rPr>
          <w:spacing w:val="-2"/>
        </w:rPr>
        <w:t>差额，确认为商誉；合并成本小于合并中取得的被购买方可辨认净资产公允价值份额的差额，对合并中取得的资产、负债的</w:t>
      </w:r>
      <w:r>
        <w:rPr>
          <w:spacing w:val="-67"/>
        </w:rPr>
        <w:t> </w:t>
      </w:r>
      <w:r>
        <w:rPr>
          <w:spacing w:val="-67"/>
        </w:rPr>
      </w:r>
      <w:r>
        <w:rPr>
          <w:spacing w:val="-2"/>
        </w:rPr>
        <w:t>公允价值、作为合并对价的非现金资产或发行的权益性证券等的公允价值进行复核，复核结果表明所确定的各项可辨认资产</w:t>
      </w:r>
      <w:r>
        <w:rPr>
          <w:spacing w:val="-65"/>
        </w:rPr>
        <w:t> </w:t>
      </w:r>
      <w:r>
        <w:rPr>
          <w:spacing w:val="-65"/>
        </w:rPr>
      </w:r>
      <w:r>
        <w:rPr>
          <w:spacing w:val="-2"/>
        </w:rPr>
        <w:t>和负债的公允价值确定是恰当的，将企业合并成本低于取得的被购买方可辨认净资产公允价值份额之间的差额，计入合并当</w:t>
      </w:r>
      <w:r>
        <w:rPr>
          <w:spacing w:val="-65"/>
        </w:rPr>
        <w:t> </w:t>
      </w:r>
      <w:r>
        <w:rPr>
          <w:spacing w:val="-65"/>
        </w:rPr>
      </w:r>
      <w:r>
        <w:rPr/>
        <w:t>期的营业外收入。</w:t>
      </w:r>
    </w:p>
    <w:p>
      <w:pPr>
        <w:pStyle w:val="BodyText"/>
        <w:spacing w:line="316" w:lineRule="auto" w:before="21"/>
        <w:ind w:right="1130" w:firstLine="360"/>
        <w:jc w:val="both"/>
      </w:pPr>
      <w:r>
        <w:rPr>
          <w:spacing w:val="-2"/>
        </w:rPr>
        <w:t>通过多次交易分步实现非同一控制下的企业合并：①在个别财务报表中，以购买日之前所持被购买方的股权投资的账面</w:t>
      </w:r>
      <w:r>
        <w:rPr/>
        <w:t> </w:t>
      </w:r>
      <w:r>
        <w:rPr>
          <w:spacing w:val="-2"/>
        </w:rPr>
        <w:t>价值与购买日新增投资成本之和，作为该项投资的初始投资成本。购买日之前持有的股权投资因采用权益法核算而确认的其</w:t>
      </w:r>
      <w:r>
        <w:rPr>
          <w:spacing w:val="-64"/>
        </w:rPr>
        <w:t> </w:t>
      </w:r>
      <w:r>
        <w:rPr>
          <w:spacing w:val="-64"/>
        </w:rPr>
      </w:r>
      <w:r>
        <w:rPr>
          <w:spacing w:val="-2"/>
        </w:rPr>
        <w:t>他综合收益，应当在处置该项投资时采用与被投资单位直接处置相关资产或负债相同的基础进行会计处理；因被投资方除净</w:t>
      </w:r>
      <w:r>
        <w:rPr>
          <w:spacing w:val="-64"/>
        </w:rPr>
        <w:t> </w:t>
      </w:r>
      <w:r>
        <w:rPr>
          <w:spacing w:val="-64"/>
        </w:rPr>
      </w:r>
      <w:r>
        <w:rPr>
          <w:spacing w:val="-2"/>
        </w:rPr>
        <w:t>损益、其他综合收益和利润分配以外的其他所有者权益变动而确认的所有者权益，在处置该项投资时转入处置期间的当期损</w:t>
      </w:r>
      <w:r>
        <w:rPr>
          <w:spacing w:val="-64"/>
        </w:rPr>
        <w:t> </w:t>
      </w:r>
      <w:r>
        <w:rPr>
          <w:spacing w:val="-64"/>
        </w:rPr>
      </w:r>
      <w:r>
        <w:rPr>
          <w:spacing w:val="-2"/>
        </w:rPr>
        <w:t>益。购买日之前持有的股权投资按照《企业会计准则第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spacing w:val="-64"/>
        </w:rPr>
        <w:t> </w:t>
      </w:r>
      <w:r>
        <w:rPr>
          <w:spacing w:val="-64"/>
        </w:rPr>
      </w:r>
      <w:r>
        <w:rPr>
          <w:spacing w:val="-2"/>
        </w:rPr>
        <w:t>其他综合收益的累计公允价值变动在改按成本法核算时转入当期损益。②在合并财务报表中，合并成本为购买日支付的对价</w:t>
      </w:r>
      <w:r>
        <w:rPr>
          <w:spacing w:val="-63"/>
        </w:rPr>
        <w:t> </w:t>
      </w:r>
      <w:r>
        <w:rPr>
          <w:spacing w:val="-63"/>
        </w:rPr>
      </w:r>
      <w:r>
        <w:rPr>
          <w:spacing w:val="-2"/>
        </w:rPr>
        <w:t>与购买日之前已经持有的被购买方的股权在购买日的公允价值之和；对于购买日之前已经持有的被购买方的股权，按照购买</w:t>
      </w:r>
      <w:r>
        <w:rPr>
          <w:spacing w:val="-64"/>
        </w:rPr>
        <w:t> </w:t>
      </w:r>
      <w:r>
        <w:rPr>
          <w:spacing w:val="-64"/>
        </w:rPr>
      </w:r>
      <w:r>
        <w:rPr>
          <w:spacing w:val="-2"/>
        </w:rPr>
        <w:t>日的公允价值进行重新计量，公允价值与其账面价值之间的差额计入当期收益；购买日之前已经持有的被购买方的股权涉及</w:t>
      </w:r>
      <w:r>
        <w:rPr>
          <w:spacing w:val="-64"/>
        </w:rPr>
        <w:t> </w:t>
      </w:r>
      <w:r>
        <w:rPr>
          <w:spacing w:val="-64"/>
        </w:rPr>
      </w:r>
      <w:r>
        <w:rPr>
          <w:spacing w:val="-2"/>
        </w:rPr>
        <w:t>其他综合收益、其他所有者权益变动应当转为购买日当期收益，由于被投资方重新计量设定收益计划净负债或净资产变动而</w:t>
      </w:r>
      <w:r>
        <w:rPr>
          <w:spacing w:val="-64"/>
        </w:rPr>
        <w:t> </w:t>
      </w:r>
      <w:r>
        <w:rPr>
          <w:spacing w:val="-64"/>
        </w:rPr>
      </w:r>
      <w:r>
        <w:rPr/>
        <w:t>产生的其他综合收益除外。</w:t>
      </w:r>
    </w:p>
    <w:p>
      <w:pPr>
        <w:pStyle w:val="BodyText"/>
        <w:spacing w:line="316" w:lineRule="auto" w:before="19"/>
        <w:ind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、合并报表编制范围</w:t>
      </w:r>
      <w:r>
        <w:rPr>
          <w:w w:val="99"/>
        </w:rPr>
        <w:t> </w:t>
      </w:r>
      <w:r>
        <w:rPr>
          <w:spacing w:val="-2"/>
        </w:rPr>
        <w:t>合并财务报表的合并范围以控制为基础予以确定，不仅包括根据表决权（或类似权利）本身或者结合其他安排确定的子</w:t>
      </w:r>
    </w:p>
    <w:p>
      <w:pPr>
        <w:pStyle w:val="BodyText"/>
        <w:spacing w:line="300" w:lineRule="auto" w:before="32"/>
        <w:ind w:right="0"/>
        <w:jc w:val="left"/>
      </w:pPr>
      <w:r>
        <w:rPr/>
        <w:t>公司，也包括基于一项或多项合同安排决定的结构化主体。控制，是指投资方拥有对被投资方的权力</w:t>
      </w:r>
      <w:r>
        <w:rPr>
          <w:rFonts w:ascii="Times New Roman" w:hAnsi="Times New Roman" w:cs="Times New Roman" w:eastAsia="Times New Roman" w:hint="default"/>
        </w:rPr>
        <w:t>,</w:t>
      </w:r>
      <w:r>
        <w:rPr/>
        <w:t>通过参与被投资方的</w:t>
      </w:r>
      <w:r>
        <w:rPr>
          <w:spacing w:val="-42"/>
        </w:rPr>
        <w:t> </w:t>
      </w:r>
      <w:r>
        <w:rPr>
          <w:spacing w:val="-42"/>
        </w:rPr>
      </w:r>
      <w:r>
        <w:rPr/>
        <w:t>相关活动而享有可变回报，并且有能力运用对被投资方的权力影响其回报金额。</w:t>
      </w:r>
    </w:p>
    <w:p>
      <w:pPr>
        <w:pStyle w:val="BodyText"/>
        <w:spacing w:line="240" w:lineRule="auto" w:before="31"/>
        <w:ind w:left="1493" w:right="0"/>
        <w:jc w:val="left"/>
      </w:pPr>
      <w:r>
        <w:rPr>
          <w:rFonts w:ascii="Times New Roman" w:hAnsi="Times New Roman" w:cs="Times New Roman" w:eastAsia="Times New Roman" w:hint="default"/>
        </w:rPr>
        <w:t>(2)</w:t>
      </w:r>
      <w:r>
        <w:rPr/>
        <w:t>、合并程序</w:t>
      </w:r>
    </w:p>
    <w:p>
      <w:pPr>
        <w:pStyle w:val="BodyText"/>
        <w:spacing w:line="316" w:lineRule="auto" w:before="63"/>
        <w:ind w:left="1493" w:right="0"/>
        <w:jc w:val="left"/>
      </w:pPr>
      <w:r>
        <w:rPr/>
        <w:t>合并财务报表以公司和其子公司的财务报表为基础，根据其他有关资料，</w:t>
      </w:r>
      <w:r>
        <w:rPr>
          <w:spacing w:val="-17"/>
        </w:rPr>
        <w:t> </w:t>
      </w:r>
      <w:r>
        <w:rPr/>
        <w:t>编制合并财务报表。</w:t>
      </w:r>
      <w:r>
        <w:rPr/>
        <w:t> </w:t>
      </w:r>
      <w:r>
        <w:rPr>
          <w:spacing w:val="-2"/>
        </w:rPr>
        <w:t>公司统一子公司所采用的会计政策及会计期间，使子公司采用的会计政策、会计期间与公司保持一致。在编制合并会计</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1033" w:hanging="360"/>
        <w:jc w:val="left"/>
      </w:pPr>
      <w:r>
        <w:rPr/>
        <w:t>报表时，遵循重要性原则，抵销母公司与子公司、子公司与子公司之间的内部往来、内部交易及权益性投资项目。 子公司少数股东应占的权益和损益分别在合并资产负债表中所有者权益项目下和合并利润表中净利润项目下单独列示。</w:t>
      </w:r>
    </w:p>
    <w:p>
      <w:pPr>
        <w:pStyle w:val="BodyText"/>
        <w:spacing w:line="316" w:lineRule="auto" w:before="19"/>
        <w:ind w:right="1141"/>
        <w:jc w:val="both"/>
      </w:pPr>
      <w:r>
        <w:rPr/>
        <w:t>子公司少数股东分担的当期亏损超过了少数股东在该子公司期初所有者权益中所享有份额而形成的余额，冲减少数股东权</w:t>
      </w:r>
      <w:r>
        <w:rPr>
          <w:spacing w:val="-9"/>
        </w:rPr>
        <w:t> </w:t>
      </w:r>
      <w:r>
        <w:rPr>
          <w:spacing w:val="-9"/>
        </w:rPr>
      </w:r>
      <w:r>
        <w:rPr/>
        <w:t>益。</w:t>
      </w:r>
    </w:p>
    <w:p>
      <w:pPr>
        <w:pStyle w:val="BodyText"/>
        <w:spacing w:line="316" w:lineRule="auto" w:before="19"/>
        <w:ind w:left="1494" w:right="0"/>
        <w:jc w:val="left"/>
      </w:pPr>
      <w:r>
        <w:rPr/>
        <w:t>①增加子公司以及业务 </w:t>
      </w:r>
      <w:r>
        <w:rPr>
          <w:spacing w:val="-2"/>
        </w:rPr>
        <w:t>在报告期内因同一控制下企业合并增加的子公司以及业务，编制合并资产负债表时，调整合并资产负债表的期初数；编</w:t>
      </w:r>
    </w:p>
    <w:p>
      <w:pPr>
        <w:pStyle w:val="BodyText"/>
        <w:spacing w:line="316" w:lineRule="auto" w:before="19"/>
        <w:ind w:left="1134" w:right="1132"/>
        <w:jc w:val="both"/>
      </w:pPr>
      <w:r>
        <w:rPr>
          <w:spacing w:val="-2"/>
        </w:rPr>
        <w:t>制利润表时，将该子公司以及业务合并当期期初至报告期末的收入、费用、利润纳入合并利润表；合并现金流量表时，将该</w:t>
      </w:r>
      <w:r>
        <w:rPr>
          <w:spacing w:val="-66"/>
        </w:rPr>
        <w:t> </w:t>
      </w:r>
      <w:r>
        <w:rPr>
          <w:spacing w:val="-66"/>
        </w:rPr>
      </w:r>
      <w:r>
        <w:rPr>
          <w:spacing w:val="-2"/>
        </w:rPr>
        <w:t>子公司以及业务合并当期期初至报告期末的现金流量纳入合并现金流量表；同时应当对比较报表的相关项目进行调整，视同</w:t>
      </w:r>
      <w:r>
        <w:rPr>
          <w:spacing w:val="-64"/>
        </w:rPr>
        <w:t> </w:t>
      </w:r>
      <w:r>
        <w:rPr>
          <w:spacing w:val="-64"/>
        </w:rPr>
      </w:r>
      <w:r>
        <w:rPr/>
        <w:t>合并后的报告主体自最终控制方开始控制时点起一直存在。</w:t>
      </w:r>
    </w:p>
    <w:p>
      <w:pPr>
        <w:pStyle w:val="BodyText"/>
        <w:spacing w:line="316" w:lineRule="auto" w:before="19"/>
        <w:ind w:left="1134" w:right="0" w:firstLine="360"/>
        <w:jc w:val="left"/>
      </w:pPr>
      <w:r>
        <w:rPr>
          <w:spacing w:val="-2"/>
        </w:rPr>
        <w:t>在报告期内因非同一控制下企业合并或其他方式增加的子公司以及业务，编制合并资产负债表时，不调整合并资产负债</w:t>
      </w:r>
      <w:r>
        <w:rPr/>
        <w:t> </w:t>
      </w:r>
      <w:r>
        <w:rPr>
          <w:spacing w:val="-4"/>
        </w:rPr>
        <w:t>表的期初数。编制利润表时，将该子公司以及业务购买日至报告期末的收入、费用、利润纳入合并利润表。编制现金流表时，</w:t>
      </w:r>
      <w:r>
        <w:rPr>
          <w:spacing w:val="-44"/>
        </w:rPr>
        <w:t> </w:t>
      </w:r>
      <w:r>
        <w:rPr>
          <w:spacing w:val="-44"/>
        </w:rPr>
      </w:r>
      <w:r>
        <w:rPr/>
        <w:t>将该子公司购买日至报告期末的现金流量纳入合并现金流量表。</w:t>
      </w:r>
    </w:p>
    <w:p>
      <w:pPr>
        <w:pStyle w:val="BodyText"/>
        <w:spacing w:line="316" w:lineRule="auto" w:before="19"/>
        <w:ind w:left="1134" w:right="1131" w:firstLine="360"/>
        <w:jc w:val="both"/>
      </w:pPr>
      <w:r>
        <w:rPr>
          <w:spacing w:val="-2"/>
        </w:rPr>
        <w:t>公司以子公司的个别财务报表反映为在购买日公允价值基础上确定的可辨认资产、负债及或有负债在本期资产负债表日</w:t>
      </w:r>
      <w:r>
        <w:rPr/>
        <w:t> </w:t>
      </w:r>
      <w:r>
        <w:rPr>
          <w:spacing w:val="-2"/>
        </w:rPr>
        <w:t>的金额进行编制合并报表。对合并成本大于合并中取得的被购买方可辨认净资产公允价值份额的差额，确认为商誉。合并成</w:t>
      </w:r>
      <w:r>
        <w:rPr>
          <w:spacing w:val="-66"/>
        </w:rPr>
        <w:t> </w:t>
      </w:r>
      <w:r>
        <w:rPr>
          <w:spacing w:val="-66"/>
        </w:rPr>
      </w:r>
      <w:r>
        <w:rPr/>
        <w:t>本小于合并中取得的被购买方可辨认净资产公允价值份额的差额，经复核后，计入当期损益。</w:t>
      </w:r>
    </w:p>
    <w:p>
      <w:pPr>
        <w:pStyle w:val="BodyText"/>
        <w:spacing w:line="316" w:lineRule="auto" w:before="19"/>
        <w:ind w:right="1132" w:firstLine="360"/>
        <w:jc w:val="both"/>
      </w:pPr>
      <w:r>
        <w:rPr>
          <w:spacing w:val="-2"/>
        </w:rPr>
        <w:t>通过多次交易分步实现非同一控制下企业合并的，在合并财务报表中，对于购买日之前持有的被购买方的股权，应当按</w:t>
      </w:r>
      <w:r>
        <w:rPr/>
        <w:t> </w:t>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的股权涉及权益法核算下的其他综合收益、其他所有者权益变动的，应当转为购买日所属当期投资收益，由于被投资方重新</w:t>
      </w:r>
      <w:r>
        <w:rPr>
          <w:spacing w:val="-66"/>
        </w:rPr>
        <w:t> </w:t>
      </w:r>
      <w:r>
        <w:rPr>
          <w:spacing w:val="-66"/>
        </w:rPr>
      </w:r>
      <w:r>
        <w:rPr/>
        <w:t>计量设定受益计划净负债或净资产变动而产生的其他综合收益除外。</w:t>
      </w:r>
    </w:p>
    <w:p>
      <w:pPr>
        <w:pStyle w:val="BodyText"/>
        <w:spacing w:line="240" w:lineRule="auto" w:before="19"/>
        <w:ind w:left="1494" w:right="0"/>
        <w:jc w:val="left"/>
      </w:pPr>
      <w:r>
        <w:rPr/>
        <w:t>②处置子公司以及业务</w:t>
      </w:r>
    </w:p>
    <w:p>
      <w:pPr>
        <w:pStyle w:val="BodyText"/>
        <w:spacing w:line="300" w:lineRule="auto" w:before="76"/>
        <w:ind w:left="1494" w:right="0" w:firstLine="73"/>
        <w:jc w:val="left"/>
      </w:pPr>
      <w:r>
        <w:rPr>
          <w:rFonts w:ascii="Times New Roman" w:hAnsi="Times New Roman" w:cs="Times New Roman" w:eastAsia="Times New Roman" w:hint="default"/>
        </w:rPr>
        <w:t>A.</w:t>
      </w:r>
      <w:r>
        <w:rPr/>
        <w:t>一般处理方法 </w:t>
      </w:r>
      <w:r>
        <w:rPr>
          <w:spacing w:val="-2"/>
        </w:rPr>
        <w:t>在报告期内，本公司处置子公司以及业务，则该子公司以及业务期初至处置日的收入、费用、利润纳入合并利润表；该</w:t>
      </w:r>
    </w:p>
    <w:p>
      <w:pPr>
        <w:pStyle w:val="BodyText"/>
        <w:spacing w:line="316" w:lineRule="auto" w:before="32"/>
        <w:ind w:left="1494" w:right="0" w:hanging="360"/>
        <w:jc w:val="left"/>
      </w:pPr>
      <w:r>
        <w:rPr/>
        <w:t>子公司以及业务期初至处置日的现金流量纳入合并现金流量表。 </w:t>
      </w:r>
      <w:r>
        <w:rPr>
          <w:spacing w:val="-2"/>
        </w:rPr>
        <w:t>公司因处置部分股权投资等原因丧失了对原有子公司控制权的，在合并财务报表中，对于剩余股权，按照其在丧失控制</w:t>
      </w:r>
    </w:p>
    <w:p>
      <w:pPr>
        <w:pStyle w:val="BodyText"/>
        <w:spacing w:line="316" w:lineRule="auto" w:before="19"/>
        <w:ind w:left="1134" w:right="1131"/>
        <w:jc w:val="both"/>
      </w:pPr>
      <w:r>
        <w:rPr>
          <w:spacing w:val="-2"/>
        </w:rPr>
        <w:t>权日的公允价值进行重新计量。处置股权取得的对价和剩余股权公允价值之和，减去按原持股比例计算应享有原有子公司自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spacing w:val="-2"/>
        </w:rPr>
        <w:t>股权投资相关的其他综合收益、其他所有者权益变动，在丧失控制权时转为当期投资收益，由于被投资方重新计量设定受益</w:t>
      </w:r>
      <w:r>
        <w:rPr>
          <w:spacing w:val="-66"/>
        </w:rPr>
        <w:t> </w:t>
      </w:r>
      <w:r>
        <w:rPr>
          <w:spacing w:val="-66"/>
        </w:rPr>
      </w:r>
      <w:r>
        <w:rPr/>
        <w:t>计划净负债或净资产变动而产生的其他综合收益除外。</w:t>
      </w:r>
    </w:p>
    <w:p>
      <w:pPr>
        <w:pStyle w:val="BodyText"/>
        <w:spacing w:line="300" w:lineRule="auto" w:before="19"/>
        <w:ind w:left="1494" w:right="0"/>
        <w:jc w:val="left"/>
      </w:pPr>
      <w:r>
        <w:rPr>
          <w:rFonts w:ascii="Times New Roman" w:hAnsi="Times New Roman" w:cs="Times New Roman" w:eastAsia="Times New Roman" w:hint="default"/>
        </w:rPr>
        <w:t>B.</w:t>
      </w:r>
      <w:r>
        <w:rPr/>
        <w:t>分步处置股权至丧失控制权 </w:t>
      </w:r>
      <w:r>
        <w:rPr>
          <w:spacing w:val="-2"/>
        </w:rPr>
        <w:t>企业通过多次交易分步处置对子公司股权投资直至丧失控制权的，如果处置对子公司股权投资直至丧失控制权的各项交</w:t>
      </w:r>
    </w:p>
    <w:p>
      <w:pPr>
        <w:pStyle w:val="BodyText"/>
        <w:spacing w:line="316" w:lineRule="auto" w:before="31"/>
        <w:ind w:left="1134" w:right="1132"/>
        <w:jc w:val="both"/>
      </w:pPr>
      <w:r>
        <w:rPr>
          <w:spacing w:val="-2"/>
        </w:rPr>
        <w:t>易属于一揽子交易的，应当将各项交易作为一项处置子公司并丧失控制权的交易进行会计处理；但是，在丧失控制权之前每</w:t>
      </w:r>
      <w:r>
        <w:rPr>
          <w:spacing w:val="-66"/>
        </w:rPr>
        <w:t> </w:t>
      </w:r>
      <w:r>
        <w:rPr>
          <w:spacing w:val="-66"/>
        </w:rPr>
      </w:r>
      <w:r>
        <w:rPr>
          <w:spacing w:val="-2"/>
        </w:rPr>
        <w:t>一次处置价款与处置投资对应的享有该子公司净资产份额的差额，在合并财务报表中确认为其他综合收益，在丧失控制权时</w:t>
      </w:r>
      <w:r>
        <w:rPr>
          <w:spacing w:val="-64"/>
        </w:rPr>
        <w:t> </w:t>
      </w:r>
      <w:r>
        <w:rPr>
          <w:spacing w:val="-64"/>
        </w:rPr>
      </w:r>
      <w:r>
        <w:rPr/>
        <w:t>一并转入丧失控制权当期的损益。</w:t>
      </w:r>
    </w:p>
    <w:p>
      <w:pPr>
        <w:pStyle w:val="BodyText"/>
        <w:spacing w:line="316" w:lineRule="auto" w:before="19"/>
        <w:ind w:left="1134" w:right="0" w:firstLine="360"/>
        <w:jc w:val="left"/>
      </w:pPr>
      <w:r>
        <w:rPr>
          <w:spacing w:val="-2"/>
        </w:rPr>
        <w:t>处置对子公司股权投资的各项交易的条款、条件以及经济影响符合下列一种或多种情况，通常表明应将多次交易事项作</w:t>
      </w:r>
      <w:r>
        <w:rPr/>
        <w:t> 为一揽子交易进行会计处理：</w:t>
      </w:r>
    </w:p>
    <w:p>
      <w:pPr>
        <w:pStyle w:val="BodyText"/>
        <w:spacing w:line="240" w:lineRule="auto" w:before="19"/>
        <w:ind w:left="1494" w:right="0"/>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1494" w:right="0"/>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1494" w:right="0"/>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3"/>
        <w:ind w:left="1494" w:right="0"/>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19" w:lineRule="auto" w:before="63"/>
        <w:ind w:left="1494" w:right="0"/>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7"/>
        <w:ind w:left="1134" w:right="1132"/>
        <w:jc w:val="both"/>
      </w:pPr>
      <w:r>
        <w:rPr>
          <w:spacing w:val="-2"/>
        </w:rPr>
        <w:t>算的可辨认净资产份额之间的差额，调整合并资产负债表中的资本公积中的资本溢价或股本溢价，资本公积中的资本溢价或</w:t>
      </w:r>
      <w:r>
        <w:rPr>
          <w:spacing w:val="-64"/>
        </w:rPr>
        <w:t> </w:t>
      </w:r>
      <w:r>
        <w:rPr>
          <w:spacing w:val="-64"/>
        </w:rPr>
      </w:r>
      <w:r>
        <w:rPr/>
        <w:t>股本溢价不足冲减的，调整留存收益。</w:t>
      </w:r>
    </w:p>
    <w:p>
      <w:pPr>
        <w:pStyle w:val="BodyText"/>
        <w:spacing w:line="240" w:lineRule="auto" w:before="19"/>
        <w:ind w:left="1494" w:right="0"/>
        <w:jc w:val="left"/>
      </w:pPr>
      <w:r>
        <w:rPr/>
        <w:t>④不丧失控制权的情况下部分处置对子公司的股权投资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t>在不丧失控制权的情况下因部分处置对子公司的长期股权投资而取得的处置价款与处置长期股权投资相对应享有子公 </w:t>
      </w: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合营安排是指一项由两个或两个以上的参与方共同控制的安排。合营安排分为共同经营和合营企业。</w:t>
      </w:r>
    </w:p>
    <w:p>
      <w:pPr>
        <w:pStyle w:val="BodyText"/>
        <w:spacing w:line="300" w:lineRule="auto" w:before="76"/>
        <w:ind w:right="0" w:firstLine="360"/>
        <w:jc w:val="left"/>
      </w:pPr>
      <w:r>
        <w:rPr>
          <w:rFonts w:ascii="Times New Roman" w:hAnsi="Times New Roman" w:cs="Times New Roman" w:eastAsia="Times New Roman" w:hint="default"/>
        </w:rPr>
        <w:t>(1)</w:t>
      </w:r>
      <w:r>
        <w:rPr/>
        <w:t>、共同经营是指本公司享有该安排相关资产且承担该安排相关负债的合营安排。本公司确认与共同经营中利益份额</w:t>
      </w:r>
      <w:r>
        <w:rPr>
          <w:w w:val="99"/>
        </w:rPr>
        <w:t> </w:t>
      </w:r>
      <w:r>
        <w:rPr/>
        <w:t>相关的下列项目：</w:t>
      </w:r>
    </w:p>
    <w:p>
      <w:pPr>
        <w:pStyle w:val="BodyText"/>
        <w:spacing w:line="240" w:lineRule="auto" w:before="31"/>
        <w:ind w:left="1493" w:right="0"/>
        <w:jc w:val="left"/>
      </w:pPr>
      <w:r>
        <w:rPr/>
        <w:t>①确认单独所持有的资产，以及按其份额确认共同持有的资产；</w:t>
      </w:r>
    </w:p>
    <w:p>
      <w:pPr>
        <w:pStyle w:val="BodyText"/>
        <w:spacing w:line="240" w:lineRule="auto" w:before="76"/>
        <w:ind w:left="1493" w:right="0"/>
        <w:jc w:val="left"/>
      </w:pPr>
      <w:r>
        <w:rPr/>
        <w:t>②确认单独所承担的负债，以及按其份额确认共同承担的负债；</w:t>
      </w:r>
    </w:p>
    <w:p>
      <w:pPr>
        <w:pStyle w:val="BodyText"/>
        <w:spacing w:line="240" w:lineRule="auto" w:before="76"/>
        <w:ind w:left="1493" w:right="0"/>
        <w:jc w:val="left"/>
      </w:pPr>
      <w:r>
        <w:rPr/>
        <w:t>③确认出售其享有的共同经营产出份额所产生的收入；</w:t>
      </w:r>
    </w:p>
    <w:p>
      <w:pPr>
        <w:pStyle w:val="BodyText"/>
        <w:spacing w:line="240" w:lineRule="auto" w:before="76"/>
        <w:ind w:left="1493" w:right="0"/>
        <w:jc w:val="left"/>
      </w:pPr>
      <w:r>
        <w:rPr/>
        <w:t>④按其份额确认共同经营因出售产出所产生的收入；</w:t>
      </w:r>
    </w:p>
    <w:p>
      <w:pPr>
        <w:pStyle w:val="BodyText"/>
        <w:spacing w:line="240" w:lineRule="auto" w:before="76"/>
        <w:ind w:left="1493" w:right="0"/>
        <w:jc w:val="left"/>
      </w:pPr>
      <w:r>
        <w:rPr/>
        <w:t>⑤确认单独所发生的费用，以及按其份额确认共同经营发生的费用。</w:t>
      </w:r>
    </w:p>
    <w:p>
      <w:pPr>
        <w:pStyle w:val="BodyText"/>
        <w:spacing w:line="300" w:lineRule="auto" w:before="76"/>
        <w:ind w:right="0" w:firstLine="360"/>
        <w:jc w:val="left"/>
      </w:pPr>
      <w:r>
        <w:rPr>
          <w:rFonts w:ascii="Times New Roman" w:hAnsi="Times New Roman" w:cs="Times New Roman" w:eastAsia="Times New Roman" w:hint="default"/>
        </w:rPr>
        <w:t>(2)</w:t>
      </w:r>
      <w:r>
        <w:rPr/>
        <w:t>、合营企业是指本公司仅对该安排的净资产享有权利的合营安排。本公司按照长期股权投资有关权益法核算的规定</w:t>
      </w:r>
      <w:r>
        <w:rPr>
          <w:w w:val="99"/>
        </w:rPr>
        <w:t> </w:t>
      </w:r>
      <w:r>
        <w:rPr/>
        <w:t>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公司在编制现金流量表时所确定的现金等价物，是指公司持有的期限短（一般是指从购买日起三个月内到期）、流动性</w:t>
      </w:r>
      <w:r>
        <w:rPr/>
        <w:t> 强、易于转换为已知金额现金、价值变动风险很小的投资。</w:t>
      </w:r>
    </w:p>
    <w:p>
      <w:pPr>
        <w:pStyle w:val="BodyText"/>
        <w:spacing w:line="240" w:lineRule="auto" w:before="19"/>
        <w:ind w:left="1493" w:right="0"/>
        <w:jc w:val="left"/>
      </w:pPr>
      <w:r>
        <w:rPr/>
        <w:t>受到限制的银行存款，不作为现金流量表中的现金及现金等价物。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、金融工具分为下列五类</w:t>
      </w:r>
    </w:p>
    <w:p>
      <w:pPr>
        <w:pStyle w:val="BodyText"/>
        <w:spacing w:line="316" w:lineRule="auto" w:before="63"/>
        <w:ind w:left="1134" w:right="0" w:firstLine="360"/>
        <w:jc w:val="left"/>
      </w:pPr>
      <w:r>
        <w:rPr>
          <w:spacing w:val="-2"/>
        </w:rPr>
        <w:t>①以公允价值计量且其变动计入当期损益的金融资产或金融负债，包括交易性金融资产或金融负债和直接指定为以公允</w:t>
      </w:r>
      <w:r>
        <w:rPr/>
        <w:t> 价值计量且其变动计入当期损益的金融资产或金融负债；</w:t>
      </w:r>
    </w:p>
    <w:p>
      <w:pPr>
        <w:pStyle w:val="BodyText"/>
        <w:spacing w:line="240" w:lineRule="auto" w:before="19"/>
        <w:ind w:left="1494" w:right="0"/>
        <w:jc w:val="left"/>
      </w:pPr>
      <w:r>
        <w:rPr/>
        <w:t>②持有至到期投资；</w:t>
      </w:r>
    </w:p>
    <w:p>
      <w:pPr>
        <w:pStyle w:val="BodyText"/>
        <w:spacing w:line="240" w:lineRule="auto" w:before="76"/>
        <w:ind w:left="1494" w:right="0"/>
        <w:jc w:val="left"/>
      </w:pPr>
      <w:r>
        <w:rPr/>
        <w:t>③贷款和应收款项；</w:t>
      </w:r>
    </w:p>
    <w:p>
      <w:pPr>
        <w:pStyle w:val="BodyText"/>
        <w:spacing w:line="240" w:lineRule="auto" w:before="76"/>
        <w:ind w:left="1494" w:right="0"/>
        <w:jc w:val="left"/>
      </w:pPr>
      <w:r>
        <w:rPr/>
        <w:t>④可供出售金融资产；</w:t>
      </w:r>
    </w:p>
    <w:p>
      <w:pPr>
        <w:pStyle w:val="BodyText"/>
        <w:spacing w:line="240" w:lineRule="auto" w:before="76"/>
        <w:ind w:left="1494" w:right="0"/>
        <w:jc w:val="left"/>
      </w:pPr>
      <w:r>
        <w:rPr/>
        <w:t>⑤其他金融负债。</w:t>
      </w:r>
    </w:p>
    <w:p>
      <w:pPr>
        <w:pStyle w:val="BodyText"/>
        <w:spacing w:line="309" w:lineRule="auto" w:before="77"/>
        <w:ind w:left="1493" w:right="2653"/>
        <w:jc w:val="left"/>
      </w:pPr>
      <w:r>
        <w:rPr>
          <w:rFonts w:ascii="Times New Roman" w:hAnsi="Times New Roman" w:cs="Times New Roman" w:eastAsia="Times New Roman" w:hint="default"/>
        </w:rPr>
        <w:t>(2)</w:t>
      </w:r>
      <w:r>
        <w:rPr/>
        <w:t>、确认依据和计量方法</w:t>
      </w:r>
      <w:r>
        <w:rPr>
          <w:w w:val="99"/>
        </w:rPr>
        <w:t> </w:t>
      </w:r>
      <w:r>
        <w:rPr/>
        <w:t>金融工具的确认依据：当公司成为金融工具合同的一方时，确认与之相关的金融资产或金融负债。</w:t>
      </w:r>
      <w:r>
        <w:rPr>
          <w:w w:val="99"/>
        </w:rPr>
        <w:t> </w:t>
      </w:r>
      <w:r>
        <w:rPr/>
        <w:t>金融工具的计量方法：</w:t>
      </w:r>
    </w:p>
    <w:p>
      <w:pPr>
        <w:pStyle w:val="BodyText"/>
        <w:spacing w:line="240" w:lineRule="auto" w:before="24"/>
        <w:ind w:left="1493" w:right="0"/>
        <w:jc w:val="left"/>
      </w:pPr>
      <w:r>
        <w:rPr/>
        <w:t>①以公允价值计量且其变动计入当期损益的金融资产或金融负债：按照取得时的公允价值作为初始确认金额，相关的交</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易费用在发生时计入当期损益。支付的价款中包含已宣告发放的现金股利或债券利息，单独确认为应收项目。持有期间取得</w:t>
      </w:r>
      <w:r>
        <w:rPr>
          <w:spacing w:val="-66"/>
        </w:rPr>
        <w:t> </w:t>
      </w:r>
      <w:r>
        <w:rPr>
          <w:spacing w:val="-66"/>
        </w:rPr>
      </w:r>
      <w:r>
        <w:rPr>
          <w:spacing w:val="-2"/>
        </w:rPr>
        <w:t>的利息或现金股利，确认为投资收益。资产负债表日，将其公允价值变动计入当期损益。处置时，其公允价值与初始入账金</w:t>
      </w:r>
      <w:r>
        <w:rPr>
          <w:spacing w:val="-66"/>
        </w:rPr>
        <w:t> </w:t>
      </w:r>
      <w:r>
        <w:rPr>
          <w:spacing w:val="-66"/>
        </w:rPr>
      </w:r>
      <w:r>
        <w:rPr/>
        <w:t>额之间的差额确认为投资收益，同时调整公允价值变动损益。</w:t>
      </w:r>
    </w:p>
    <w:p>
      <w:pPr>
        <w:pStyle w:val="BodyText"/>
        <w:spacing w:line="319" w:lineRule="auto" w:before="19"/>
        <w:ind w:right="1132" w:firstLine="360"/>
        <w:jc w:val="both"/>
      </w:pPr>
      <w:r>
        <w:rPr>
          <w:spacing w:val="-2"/>
        </w:rPr>
        <w:t>②持有至到期投资：按取得时的公允价值和相关交易费用之和作为初始确认金额。支付的价款中包含已宣告发放债券利</w:t>
      </w:r>
      <w:r>
        <w:rPr/>
        <w:t> </w:t>
      </w:r>
      <w:r>
        <w:rPr>
          <w:spacing w:val="-2"/>
        </w:rPr>
        <w:t>息的，单独确认为应收项目。持有期间按照实际利率法确认利息收入，计入投资收益。实际利率与票面利率差别很小的，可</w:t>
      </w:r>
      <w:r>
        <w:rPr>
          <w:spacing w:val="-66"/>
        </w:rPr>
        <w:t> </w:t>
      </w:r>
      <w:r>
        <w:rPr>
          <w:spacing w:val="-66"/>
        </w:rPr>
      </w:r>
      <w:r>
        <w:rPr>
          <w:spacing w:val="-2"/>
        </w:rPr>
        <w:t>按票面利率计算利息收入，计入投资收益。处置持有至到期投资时，将所取得价款与该投资账面价值之间的差额计入投资收</w:t>
      </w:r>
      <w:r>
        <w:rPr>
          <w:spacing w:val="-66"/>
        </w:rPr>
        <w:t> </w:t>
      </w:r>
      <w:r>
        <w:rPr>
          <w:spacing w:val="-66"/>
        </w:rPr>
      </w:r>
      <w:r>
        <w:rPr/>
        <w:t>益。</w:t>
      </w:r>
    </w:p>
    <w:p>
      <w:pPr>
        <w:pStyle w:val="BodyText"/>
        <w:spacing w:line="316" w:lineRule="auto" w:before="17"/>
        <w:ind w:left="1134" w:right="1043" w:firstLine="360"/>
        <w:jc w:val="both"/>
      </w:pPr>
      <w:r>
        <w:rPr>
          <w:spacing w:val="-4"/>
        </w:rPr>
        <w:t>③应收款项：按从购货方应收的合同或协议价款作为初始入账金额。单项金额重大的应收款项持有期间采用实际利率法，</w:t>
      </w:r>
      <w:r>
        <w:rPr/>
        <w:t> 按摊余成本进行后续计量。</w:t>
      </w:r>
    </w:p>
    <w:p>
      <w:pPr>
        <w:pStyle w:val="BodyText"/>
        <w:spacing w:line="316" w:lineRule="auto" w:before="19"/>
        <w:ind w:left="1134" w:right="1132" w:firstLine="360"/>
        <w:jc w:val="both"/>
      </w:pPr>
      <w:r>
        <w:rPr>
          <w:spacing w:val="-2"/>
        </w:rPr>
        <w:t>④可供出售金融资产：按取得该金融资产的公允价值和相关费用之和作为初始确认金额。支付的价款中包含了已宣告发</w:t>
      </w:r>
      <w:r>
        <w:rPr/>
        <w:t> </w:t>
      </w:r>
      <w:r>
        <w:rPr>
          <w:spacing w:val="-2"/>
        </w:rPr>
        <w:t>放的债券利息或现金股利的，单独确认为应收项目。持有期间取得的利息或现金股利，计入投资收益。期末，可供出售金融</w:t>
      </w:r>
      <w:r>
        <w:rPr>
          <w:spacing w:val="-66"/>
        </w:rPr>
        <w:t> </w:t>
      </w:r>
      <w:r>
        <w:rPr>
          <w:spacing w:val="-66"/>
        </w:rPr>
      </w:r>
      <w:r>
        <w:rPr/>
        <w:t>资产以公允价值计量，且公允价值变动计入其他综合收益。</w:t>
      </w:r>
    </w:p>
    <w:p>
      <w:pPr>
        <w:pStyle w:val="BodyText"/>
        <w:spacing w:line="316" w:lineRule="auto" w:before="19"/>
        <w:ind w:left="1134" w:right="1131" w:firstLine="360"/>
        <w:jc w:val="both"/>
      </w:pPr>
      <w:r>
        <w:rPr>
          <w:spacing w:val="-2"/>
        </w:rPr>
        <w:t>对于在活跃市场中没有报价且其公允价值不能可靠计量的权益工具投资，以及与该权益工具挂钩并须通过交付该权益工</w:t>
      </w:r>
      <w:r>
        <w:rPr/>
        <w:t> 具结算的衍生金融资产，按成本计量。</w:t>
      </w:r>
    </w:p>
    <w:p>
      <w:pPr>
        <w:pStyle w:val="BodyText"/>
        <w:spacing w:line="316" w:lineRule="auto" w:before="19"/>
        <w:ind w:left="1134" w:right="1131" w:firstLine="360"/>
        <w:jc w:val="both"/>
      </w:pPr>
      <w:r>
        <w:rPr>
          <w:spacing w:val="-2"/>
        </w:rPr>
        <w:t>处置可供出售金融资产时，将取得的价款与该金融资产账面价值之间的差额，计入当期损益；同时，将原直接计入其他</w:t>
      </w:r>
      <w:r>
        <w:rPr/>
        <w:t> 综合收益的公允价值变动累计额对应处置部分的金额转出，计入当期损益。</w:t>
      </w:r>
    </w:p>
    <w:p>
      <w:pPr>
        <w:pStyle w:val="BodyText"/>
        <w:spacing w:line="300" w:lineRule="auto" w:before="19"/>
        <w:ind w:right="1132" w:firstLine="360"/>
        <w:jc w:val="both"/>
      </w:pPr>
      <w:r>
        <w:rPr>
          <w:spacing w:val="-2"/>
        </w:rPr>
        <w:t>⑤其他金融负债：按其公允价值和相关交易费用之和作为初始入账金额，除《企业会计准则第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金融工具确认与</w:t>
      </w:r>
      <w:r>
        <w:rPr/>
        <w:t> 计量》第三十三条规定的三种情况外，按摊余成本进行后续计量。</w:t>
      </w:r>
    </w:p>
    <w:p>
      <w:pPr>
        <w:pStyle w:val="BodyText"/>
        <w:spacing w:line="240" w:lineRule="auto" w:before="31"/>
        <w:ind w:left="1494" w:right="0"/>
        <w:jc w:val="left"/>
      </w:pPr>
      <w:r>
        <w:rPr>
          <w:rFonts w:ascii="Times New Roman" w:hAnsi="Times New Roman" w:cs="Times New Roman" w:eastAsia="Times New Roman" w:hint="default"/>
        </w:rPr>
        <w:t>(3)</w:t>
      </w:r>
      <w:r>
        <w:rPr/>
        <w:t>、金融资产转移的确认依据和计量方法</w:t>
      </w:r>
    </w:p>
    <w:p>
      <w:pPr>
        <w:spacing w:line="240" w:lineRule="auto" w:before="11"/>
        <w:rPr>
          <w:rFonts w:ascii="宋体" w:hAnsi="宋体" w:cs="宋体" w:eastAsia="宋体" w:hint="default"/>
          <w:sz w:val="27"/>
          <w:szCs w:val="27"/>
        </w:rPr>
      </w:pPr>
    </w:p>
    <w:tbl>
      <w:tblPr>
        <w:tblW w:w="0" w:type="auto"/>
        <w:jc w:val="left"/>
        <w:tblInd w:w="1124" w:type="dxa"/>
        <w:tblLayout w:type="fixed"/>
        <w:tblCellMar>
          <w:top w:w="0" w:type="dxa"/>
          <w:left w:w="0" w:type="dxa"/>
          <w:bottom w:w="0" w:type="dxa"/>
          <w:right w:w="0" w:type="dxa"/>
        </w:tblCellMar>
        <w:tblLook w:val="01E0"/>
      </w:tblPr>
      <w:tblGrid>
        <w:gridCol w:w="2987"/>
        <w:gridCol w:w="2978"/>
        <w:gridCol w:w="3032"/>
      </w:tblGrid>
      <w:tr>
        <w:trPr>
          <w:trHeight w:val="352" w:hRule="exact"/>
        </w:trPr>
        <w:tc>
          <w:tcPr>
            <w:tcW w:w="59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情形</w:t>
            </w:r>
          </w:p>
        </w:tc>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325" w:right="0"/>
              <w:jc w:val="left"/>
              <w:rPr>
                <w:rFonts w:ascii="宋体" w:hAnsi="宋体" w:cs="宋体" w:eastAsia="宋体" w:hint="default"/>
                <w:sz w:val="18"/>
                <w:szCs w:val="18"/>
              </w:rPr>
            </w:pPr>
            <w:r>
              <w:rPr>
                <w:rFonts w:ascii="宋体" w:hAnsi="宋体" w:cs="宋体" w:eastAsia="宋体" w:hint="default"/>
                <w:sz w:val="18"/>
                <w:szCs w:val="18"/>
              </w:rPr>
              <w:t>确认结果</w:t>
            </w:r>
          </w:p>
        </w:tc>
      </w:tr>
      <w:tr>
        <w:trPr>
          <w:trHeight w:val="353" w:hRule="exact"/>
        </w:trPr>
        <w:tc>
          <w:tcPr>
            <w:tcW w:w="59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已转移金融资产所有权上几乎所有的风险和报酬</w:t>
            </w:r>
          </w:p>
        </w:tc>
        <w:tc>
          <w:tcPr>
            <w:tcW w:w="3032" w:type="dxa"/>
            <w:vMerge w:val="restart"/>
            <w:tcBorders>
              <w:top w:val="single" w:sz="8" w:space="0" w:color="000000"/>
              <w:left w:val="single" w:sz="8" w:space="0" w:color="000000"/>
              <w:right w:val="single" w:sz="8" w:space="0" w:color="000000"/>
            </w:tcBorders>
          </w:tcPr>
          <w:p>
            <w:pPr>
              <w:pStyle w:val="TableParagraph"/>
              <w:spacing w:line="300" w:lineRule="auto" w:before="21"/>
              <w:ind w:right="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终止确认该金融资产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确认新资产</w:t>
            </w:r>
            <w:r>
              <w:rPr>
                <w:rFonts w:ascii="Times New Roman" w:hAnsi="Times New Roman" w:cs="Times New Roman" w:eastAsia="Times New Roman" w:hint="default"/>
                <w:sz w:val="18"/>
                <w:szCs w:val="18"/>
              </w:rPr>
              <w:t>/ </w:t>
            </w:r>
            <w:r>
              <w:rPr>
                <w:rFonts w:ascii="宋体" w:hAnsi="宋体" w:cs="宋体" w:eastAsia="宋体" w:hint="default"/>
                <w:sz w:val="18"/>
                <w:szCs w:val="18"/>
              </w:rPr>
              <w:t>负债</w:t>
            </w:r>
            <w:r>
              <w:rPr>
                <w:rFonts w:ascii="Times New Roman" w:hAnsi="Times New Roman" w:cs="Times New Roman" w:eastAsia="Times New Roman" w:hint="default"/>
                <w:sz w:val="18"/>
                <w:szCs w:val="18"/>
              </w:rPr>
              <w:t>)</w:t>
            </w:r>
          </w:p>
        </w:tc>
      </w:tr>
      <w:tr>
        <w:trPr>
          <w:trHeight w:val="352" w:hRule="exact"/>
        </w:trPr>
        <w:tc>
          <w:tcPr>
            <w:tcW w:w="2987" w:type="dxa"/>
            <w:vMerge w:val="restart"/>
            <w:tcBorders>
              <w:top w:val="single" w:sz="8" w:space="0" w:color="000000"/>
              <w:left w:val="single" w:sz="8" w:space="0" w:color="000000"/>
              <w:right w:val="single" w:sz="8" w:space="0" w:color="000000"/>
            </w:tcBorders>
          </w:tcPr>
          <w:p>
            <w:pPr>
              <w:pStyle w:val="TableParagraph"/>
              <w:spacing w:line="316" w:lineRule="auto" w:before="21"/>
              <w:ind w:left="-1" w:right="2" w:firstLine="360"/>
              <w:jc w:val="left"/>
              <w:rPr>
                <w:rFonts w:ascii="宋体" w:hAnsi="宋体" w:cs="宋体" w:eastAsia="宋体" w:hint="default"/>
                <w:sz w:val="18"/>
                <w:szCs w:val="18"/>
              </w:rPr>
            </w:pPr>
            <w:r>
              <w:rPr>
                <w:rFonts w:ascii="宋体" w:hAnsi="宋体" w:cs="宋体" w:eastAsia="宋体" w:hint="default"/>
                <w:spacing w:val="5"/>
                <w:sz w:val="18"/>
                <w:szCs w:val="18"/>
              </w:rPr>
              <w:t>既没有转移也没有保留金融资产</w:t>
            </w:r>
            <w:r>
              <w:rPr>
                <w:rFonts w:ascii="宋体" w:hAnsi="宋体" w:cs="宋体" w:eastAsia="宋体" w:hint="default"/>
                <w:sz w:val="18"/>
                <w:szCs w:val="18"/>
              </w:rPr>
              <w:t> 所有权上几乎所有的风险和报酬</w:t>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放弃了对该金融资产控制</w:t>
            </w:r>
          </w:p>
        </w:tc>
        <w:tc>
          <w:tcPr>
            <w:tcW w:w="3032" w:type="dxa"/>
            <w:vMerge/>
            <w:tcBorders>
              <w:left w:val="single" w:sz="8" w:space="0" w:color="000000"/>
              <w:bottom w:val="single" w:sz="8" w:space="0" w:color="000000"/>
              <w:right w:val="single" w:sz="8" w:space="0" w:color="000000"/>
            </w:tcBorders>
          </w:tcPr>
          <w:p>
            <w:pPr/>
          </w:p>
        </w:tc>
      </w:tr>
      <w:tr>
        <w:trPr>
          <w:trHeight w:val="976" w:hRule="exact"/>
        </w:trPr>
        <w:tc>
          <w:tcPr>
            <w:tcW w:w="2987" w:type="dxa"/>
            <w:vMerge/>
            <w:tcBorders>
              <w:left w:val="single" w:sz="8" w:space="0" w:color="000000"/>
              <w:bottom w:val="single" w:sz="8" w:space="0" w:color="000000"/>
              <w:right w:val="single" w:sz="8" w:space="0" w:color="000000"/>
            </w:tcBorders>
          </w:tcPr>
          <w:p>
            <w:pP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未放弃对该金融资产控制</w:t>
            </w:r>
          </w:p>
        </w:tc>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firstLine="360"/>
              <w:jc w:val="both"/>
              <w:rPr>
                <w:rFonts w:ascii="宋体" w:hAnsi="宋体" w:cs="宋体" w:eastAsia="宋体" w:hint="default"/>
                <w:sz w:val="18"/>
                <w:szCs w:val="18"/>
              </w:rPr>
            </w:pPr>
            <w:r>
              <w:rPr>
                <w:rFonts w:ascii="宋体" w:hAnsi="宋体" w:cs="宋体" w:eastAsia="宋体" w:hint="default"/>
                <w:spacing w:val="8"/>
                <w:sz w:val="18"/>
                <w:szCs w:val="18"/>
              </w:rPr>
              <w:t>按照继续涉入所转移金融资产的</w:t>
            </w:r>
            <w:r>
              <w:rPr>
                <w:rFonts w:ascii="宋体" w:hAnsi="宋体" w:cs="宋体" w:eastAsia="宋体" w:hint="default"/>
                <w:sz w:val="18"/>
                <w:szCs w:val="18"/>
              </w:rPr>
              <w:t> </w:t>
            </w:r>
            <w:r>
              <w:rPr>
                <w:rFonts w:ascii="宋体" w:hAnsi="宋体" w:cs="宋体" w:eastAsia="宋体" w:hint="default"/>
                <w:spacing w:val="7"/>
                <w:sz w:val="18"/>
                <w:szCs w:val="18"/>
              </w:rPr>
              <w:t>程度确认有关资产和负债及任何保留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权益</w:t>
            </w:r>
          </w:p>
        </w:tc>
      </w:tr>
      <w:tr>
        <w:trPr>
          <w:trHeight w:val="665"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2" w:firstLine="360"/>
              <w:jc w:val="left"/>
              <w:rPr>
                <w:rFonts w:ascii="宋体" w:hAnsi="宋体" w:cs="宋体" w:eastAsia="宋体" w:hint="default"/>
                <w:sz w:val="18"/>
                <w:szCs w:val="18"/>
              </w:rPr>
            </w:pPr>
            <w:r>
              <w:rPr>
                <w:rFonts w:ascii="宋体" w:hAnsi="宋体" w:cs="宋体" w:eastAsia="宋体" w:hint="default"/>
                <w:spacing w:val="5"/>
                <w:sz w:val="18"/>
                <w:szCs w:val="18"/>
              </w:rPr>
              <w:t>保留了金融资产所有权上几乎所</w:t>
            </w:r>
            <w:r>
              <w:rPr>
                <w:rFonts w:ascii="宋体" w:hAnsi="宋体" w:cs="宋体" w:eastAsia="宋体" w:hint="default"/>
                <w:sz w:val="18"/>
                <w:szCs w:val="18"/>
              </w:rPr>
              <w:t> 有的风险和报酬</w:t>
            </w:r>
          </w:p>
        </w:tc>
        <w:tc>
          <w:tcPr>
            <w:tcW w:w="600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1" w:right="0"/>
              <w:jc w:val="left"/>
              <w:rPr>
                <w:rFonts w:ascii="宋体" w:hAnsi="宋体" w:cs="宋体" w:eastAsia="宋体" w:hint="default"/>
                <w:sz w:val="18"/>
                <w:szCs w:val="18"/>
              </w:rPr>
            </w:pPr>
            <w:r>
              <w:rPr>
                <w:rFonts w:ascii="宋体" w:hAnsi="宋体" w:cs="宋体" w:eastAsia="宋体" w:hint="default"/>
                <w:sz w:val="18"/>
                <w:szCs w:val="18"/>
              </w:rPr>
              <w:t>继续确认该金融资产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并将收益确认为负债</w:t>
            </w:r>
          </w:p>
        </w:tc>
      </w:tr>
    </w:tbl>
    <w:p>
      <w:pPr>
        <w:pStyle w:val="BodyText"/>
        <w:spacing w:line="240" w:lineRule="auto" w:before="10"/>
        <w:ind w:left="1494" w:right="0"/>
        <w:jc w:val="left"/>
      </w:pPr>
      <w:r>
        <w:rPr/>
        <w:t>公司将金融资产转移区分为金融资产整体转移和部分转移。</w:t>
      </w:r>
    </w:p>
    <w:p>
      <w:pPr>
        <w:pStyle w:val="BodyText"/>
        <w:spacing w:line="316" w:lineRule="auto" w:before="76"/>
        <w:ind w:left="1134" w:right="1132" w:firstLine="360"/>
        <w:jc w:val="both"/>
      </w:pPr>
      <w:r>
        <w:rPr>
          <w:spacing w:val="-2"/>
        </w:rPr>
        <w:t>①金融资产整体转移满足终止确认条件的，应当将下列两项金额的差额计入当期损益：所转移金融资产的账面价值；因</w:t>
      </w:r>
      <w:r>
        <w:rPr/>
        <w:t> 转移而收到的对价，与原直接计入所有者权益的公允价值变动累计额之和。</w:t>
      </w:r>
    </w:p>
    <w:p>
      <w:pPr>
        <w:pStyle w:val="BodyText"/>
        <w:spacing w:line="316" w:lineRule="auto" w:before="19"/>
        <w:ind w:right="1131" w:firstLine="360"/>
        <w:jc w:val="both"/>
      </w:pPr>
      <w:r>
        <w:rPr>
          <w:spacing w:val="-2"/>
        </w:rPr>
        <w:t>②金融资产部分转移满足终止确认条件的，应当将所转移金融资产整体的账面价值，在终止确认部分和未终止确认部分</w:t>
      </w:r>
      <w:r>
        <w:rPr/>
        <w:t> </w:t>
      </w:r>
      <w:r>
        <w:rPr>
          <w:spacing w:val="-2"/>
        </w:rPr>
        <w:t>之间，按照各自的相对公允价值进行分摊，并将下列两项金额的差额计入当期损益：终止确认部分的账面价值；终止确认部</w:t>
      </w:r>
      <w:r>
        <w:rPr>
          <w:spacing w:val="-66"/>
        </w:rPr>
        <w:t> </w:t>
      </w:r>
      <w:r>
        <w:rPr>
          <w:spacing w:val="-66"/>
        </w:rPr>
      </w:r>
      <w:r>
        <w:rPr/>
        <w:t>分的对价，与原直接计入所有者权益的公允价值变动累计额中对应终止确认部分的金额之和。</w:t>
      </w:r>
    </w:p>
    <w:p>
      <w:pPr>
        <w:pStyle w:val="BodyText"/>
        <w:spacing w:line="309" w:lineRule="auto" w:before="19"/>
        <w:ind w:left="1493" w:right="1573"/>
        <w:jc w:val="left"/>
      </w:pPr>
      <w:r>
        <w:rPr/>
        <w:t>金融资产转移不满足终止确认条件的，继续确认所转移的金融资产整体，并将收到的对价确认为一项金融负债。 </w:t>
      </w:r>
      <w:r>
        <w:rPr>
          <w:rFonts w:ascii="Times New Roman" w:hAnsi="Times New Roman" w:cs="Times New Roman" w:eastAsia="Times New Roman" w:hint="default"/>
        </w:rPr>
        <w:t>(4)</w:t>
      </w:r>
      <w:r>
        <w:rPr/>
        <w:t>、金融负债的终止确认条件 金融负债的现时义务全部或部分已经解除的，才能终止确认该金融负债或其一部分。如存在下列情况：</w:t>
      </w:r>
    </w:p>
    <w:p>
      <w:pPr>
        <w:pStyle w:val="BodyText"/>
        <w:spacing w:line="240" w:lineRule="auto" w:before="24"/>
        <w:ind w:left="1493" w:right="0"/>
        <w:jc w:val="left"/>
      </w:pPr>
      <w:r>
        <w:rPr/>
        <w:t>①公司将用于偿付金融负债的资产转入某个机构或设立信托，不应当终止确认该金融负债。</w:t>
      </w:r>
    </w:p>
    <w:p>
      <w:pPr>
        <w:pStyle w:val="BodyText"/>
        <w:spacing w:line="300" w:lineRule="auto" w:before="76"/>
        <w:ind w:right="1131" w:firstLine="360"/>
        <w:jc w:val="both"/>
      </w:pPr>
      <w:r>
        <w:rPr>
          <w:spacing w:val="-1"/>
        </w:rPr>
        <w:t>②公司与债权人之间签订协议</w:t>
      </w:r>
      <w:r>
        <w:rPr>
          <w:rFonts w:ascii="Times New Roman" w:hAnsi="Times New Roman" w:cs="Times New Roman" w:eastAsia="Times New Roman" w:hint="default"/>
          <w:spacing w:val="-1"/>
        </w:rPr>
        <w:t>(</w:t>
      </w:r>
      <w:r>
        <w:rPr>
          <w:spacing w:val="-1"/>
        </w:rPr>
        <w:t>不涉及债务重组所指情形</w:t>
      </w:r>
      <w:r>
        <w:rPr>
          <w:rFonts w:ascii="Times New Roman" w:hAnsi="Times New Roman" w:cs="Times New Roman" w:eastAsia="Times New Roman" w:hint="default"/>
          <w:spacing w:val="-1"/>
        </w:rPr>
        <w:t>)</w:t>
      </w:r>
      <w:r>
        <w:rPr>
          <w:spacing w:val="-1"/>
        </w:rPr>
        <w:t>，以承担新金融负债方式替换现存金融负债，且新金融负债与</w:t>
      </w:r>
      <w:r>
        <w:rPr/>
        <w:t> 现存金融负债的合同条款实质上不同的，应当终止确认现存金融负债，并同时确认新金融负债。</w:t>
      </w:r>
    </w:p>
    <w:p>
      <w:pPr>
        <w:pStyle w:val="BodyText"/>
        <w:spacing w:line="300" w:lineRule="auto" w:before="31"/>
        <w:ind w:left="1494" w:right="0"/>
        <w:jc w:val="left"/>
      </w:pPr>
      <w:r>
        <w:rPr>
          <w:rFonts w:ascii="Times New Roman" w:hAnsi="Times New Roman" w:cs="Times New Roman" w:eastAsia="Times New Roman" w:hint="default"/>
        </w:rPr>
        <w:t>(5)</w:t>
      </w:r>
      <w:r>
        <w:rPr/>
        <w:t>、金融资产和金融负债的公允价值确定方法</w:t>
      </w:r>
      <w:r>
        <w:rPr>
          <w:w w:val="99"/>
        </w:rPr>
        <w:t> </w:t>
      </w:r>
      <w:r>
        <w:rPr>
          <w:spacing w:val="-2"/>
        </w:rPr>
        <w:t>存在活跃市场的金融工具，以活跃市场中的报价确定其公允价值。不存在活跃市场的金融工具，采用估值技术确定其公</w:t>
      </w:r>
    </w:p>
    <w:p>
      <w:pPr>
        <w:pStyle w:val="BodyText"/>
        <w:spacing w:line="316" w:lineRule="auto" w:before="31"/>
        <w:ind w:left="1134" w:right="0"/>
        <w:jc w:val="left"/>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left="1493" w:right="1118" w:hanging="360"/>
        <w:jc w:val="left"/>
      </w:pPr>
      <w:r>
        <w:rPr/>
        <w:t>值无法取得或取得不切实可行的情况下，才使用不可观察输入值。 </w:t>
      </w:r>
      <w:r>
        <w:rPr>
          <w:rFonts w:ascii="Times New Roman" w:hAnsi="Times New Roman" w:cs="Times New Roman" w:eastAsia="Times New Roman" w:hint="default"/>
        </w:rPr>
        <w:t>(6)</w:t>
      </w:r>
      <w:r>
        <w:rPr/>
        <w:t>、金融资产（不含应收款项）减值测试方法及会计处理方法 以公允价值计量且其变动计入当期损益的金融资产不需要进行减值测试。 </w:t>
      </w:r>
      <w:r>
        <w:rPr>
          <w:spacing w:val="-2"/>
        </w:rPr>
        <w:t>期末，对持有至到期投资的账面价值进行检查，有客观证据表明其发生了减值的，根据其账面价值与预计未来现金流量</w:t>
      </w:r>
    </w:p>
    <w:p>
      <w:pPr>
        <w:pStyle w:val="BodyText"/>
        <w:spacing w:line="316" w:lineRule="auto" w:before="23"/>
        <w:ind w:right="1043"/>
        <w:jc w:val="both"/>
      </w:pPr>
      <w:r>
        <w:rPr>
          <w:spacing w:val="-2"/>
        </w:rPr>
        <w:t>现值之间差额计算确认减值损失；计提后如有证据表明其价值已恢复且客观上与确认该损失后发生的事项有关，原确认的减</w:t>
      </w:r>
      <w:r>
        <w:rPr>
          <w:spacing w:val="-64"/>
        </w:rPr>
        <w:t> </w:t>
      </w:r>
      <w:r>
        <w:rPr>
          <w:spacing w:val="-64"/>
        </w:rPr>
      </w:r>
      <w:r>
        <w:rPr>
          <w:spacing w:val="-4"/>
        </w:rPr>
        <w:t>值损失可予以转回，计入当期损益，但该转回的账面价值不超过假定不计提减值准备情况下该金融资产在转回日的摊余成本。</w:t>
      </w:r>
    </w:p>
    <w:p>
      <w:pPr>
        <w:pStyle w:val="BodyText"/>
        <w:spacing w:line="316" w:lineRule="auto" w:before="19"/>
        <w:ind w:left="1134" w:right="1131" w:firstLine="360"/>
        <w:jc w:val="both"/>
      </w:pPr>
      <w:r>
        <w:rPr>
          <w:spacing w:val="-2"/>
        </w:rPr>
        <w:t>期末，如果可供出售金融资产的公允价值发生严重下降，或在综合考虑各种相关因素后，预期这种下降趋势属于非暂时</w:t>
      </w:r>
      <w:r>
        <w:rPr/>
        <w:t> </w:t>
      </w:r>
      <w:r>
        <w:rPr>
          <w:spacing w:val="-2"/>
        </w:rPr>
        <w:t>性的，认定该可供出售金融资产已发生减值，并确认减值损失。在确认减值损失时，将原直接计入其他综合收益的公允价值</w:t>
      </w:r>
      <w:r>
        <w:rPr>
          <w:spacing w:val="-66"/>
        </w:rPr>
        <w:t> </w:t>
      </w:r>
      <w:r>
        <w:rPr>
          <w:spacing w:val="-66"/>
        </w:rPr>
      </w:r>
      <w:r>
        <w:rPr>
          <w:spacing w:val="-2"/>
        </w:rPr>
        <w:t>下降形成的累计损失一并转出，计入当期损失。该转出的累计损失，为可供出售金融资产的初始取得成本扣除已收回本金和</w:t>
      </w:r>
      <w:r>
        <w:rPr>
          <w:spacing w:val="-66"/>
        </w:rPr>
        <w:t> </w:t>
      </w:r>
      <w:r>
        <w:rPr>
          <w:spacing w:val="-66"/>
        </w:rPr>
      </w:r>
      <w:r>
        <w:rPr>
          <w:spacing w:val="-2"/>
        </w:rPr>
        <w:t>已摊销金额、当前公允价值和原已计入损益的减值损失后的余额。对于已确认减值损失的可供出售债务工具，在随后的会计</w:t>
      </w:r>
      <w:r>
        <w:rPr>
          <w:spacing w:val="-66"/>
        </w:rPr>
        <w:t> </w:t>
      </w:r>
      <w:r>
        <w:rPr>
          <w:spacing w:val="-66"/>
        </w:rPr>
      </w:r>
      <w:r>
        <w:rPr>
          <w:spacing w:val="-2"/>
        </w:rPr>
        <w:t>期间公允价值已上升且客观上与确认原减值损失确认后发生的事项有关的，原确认的减值损失予以转回，计入当期损益。可</w:t>
      </w:r>
      <w:r>
        <w:rPr>
          <w:spacing w:val="-66"/>
        </w:rPr>
        <w:t> </w:t>
      </w:r>
      <w:r>
        <w:rPr>
          <w:spacing w:val="-66"/>
        </w:rPr>
      </w:r>
      <w:r>
        <w:rPr>
          <w:spacing w:val="-2"/>
        </w:rPr>
        <w:t>供出售权益工具投资发生的减值损失，不通过损益转回。同时，在活跃市场中没有报价且其公允价值不能可靠计量的权益工</w:t>
      </w:r>
      <w:r>
        <w:rPr>
          <w:spacing w:val="-66"/>
        </w:rPr>
        <w:t> </w:t>
      </w:r>
      <w:r>
        <w:rPr>
          <w:spacing w:val="-66"/>
        </w:rPr>
      </w:r>
      <w:r>
        <w:rPr/>
        <w:t>具投资或与该权益工具挂钩并须通过交付该权益工具结算的衍生金融资产发生的减值损失，不予转回。</w:t>
      </w:r>
    </w:p>
    <w:p>
      <w:pPr>
        <w:pStyle w:val="BodyText"/>
        <w:spacing w:line="316" w:lineRule="auto" w:before="19"/>
        <w:ind w:left="1134" w:right="1131" w:firstLine="360"/>
        <w:jc w:val="both"/>
      </w:pPr>
      <w:r>
        <w:rPr>
          <w:spacing w:val="-2"/>
        </w:rPr>
        <w:t>对可供出售债务工具确认资产减值损失后，如有客观证据表明该金融资产价值已经恢复，且客观上与确认损失后发生的</w:t>
      </w:r>
      <w:r>
        <w:rPr/>
        <w:t> 事项有关，原确认的减值损失予以转回，计入当期损益。</w:t>
      </w:r>
    </w:p>
    <w:p>
      <w:pPr>
        <w:pStyle w:val="BodyText"/>
        <w:spacing w:line="300" w:lineRule="auto" w:before="19"/>
        <w:ind w:left="1493" w:right="1763"/>
        <w:jc w:val="left"/>
      </w:pPr>
      <w:r>
        <w:rPr/>
        <w:t>公司可供出售权益工具投资的公允价值下跌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的标准为：公允价值低于其成本累计超过</w:t>
      </w:r>
      <w:r>
        <w:rPr>
          <w:spacing w:val="-20"/>
        </w:rPr>
        <w:t> </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 公司公允价值下跌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的标准为：公允价值低于其成本持续时间超过</w:t>
      </w:r>
      <w:r>
        <w:rPr>
          <w:rFonts w:ascii="Times New Roman" w:hAnsi="Times New Roman" w:cs="Times New Roman" w:eastAsia="Times New Roman" w:hint="default"/>
        </w:rPr>
        <w:t>12</w:t>
      </w:r>
      <w:r>
        <w:rPr/>
        <w:t>个月。</w:t>
      </w:r>
    </w:p>
    <w:p>
      <w:pPr>
        <w:pStyle w:val="BodyText"/>
        <w:spacing w:line="316" w:lineRule="auto" w:before="53"/>
        <w:ind w:right="1130"/>
        <w:jc w:val="both"/>
      </w:pPr>
      <w:r>
        <w:rPr>
          <w:spacing w:val="-2"/>
        </w:rPr>
        <w:t>在活跃市场中没有报价且其公允价值不能可靠计量的可供出售权益工具投资，或与该权益工具挂钩并须通过交付该权益工具</w:t>
      </w:r>
      <w:r>
        <w:rPr>
          <w:spacing w:val="-64"/>
        </w:rPr>
        <w:t> </w:t>
      </w:r>
      <w:r>
        <w:rPr>
          <w:spacing w:val="-64"/>
        </w:rPr>
      </w:r>
      <w:r>
        <w:rPr>
          <w:spacing w:val="-2"/>
        </w:rPr>
        <w:t>结算的衍生金融资产发生减值时，本公司将该权益工具投资或衍生金融资产的账面价值，与按照类似金融资产当时市场收益</w:t>
      </w:r>
      <w:r>
        <w:rPr>
          <w:spacing w:val="-63"/>
        </w:rPr>
        <w:t> </w:t>
      </w:r>
      <w:r>
        <w:rPr>
          <w:spacing w:val="-63"/>
        </w:rPr>
      </w:r>
      <w:r>
        <w:rPr/>
        <w:t>率对未来现金流量折现确定的现值之间的差额，确认为减值损失，计入当期损益。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单项金额超过期末余额的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 币的应收款项。</w:t>
            </w:r>
          </w:p>
        </w:tc>
      </w:tr>
      <w:tr>
        <w:trPr>
          <w:trHeight w:val="165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单独进行减值测试，有客观证据表明其发生了减值的，应当 根据其未来现金流量现值低于其账面价值的差额确认减值损 失，个别认定计提坏账准备，经减值测试后不存在减值的， 应当包括在具有类似风险组合特征的应收款项中计提坏账准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并表范围内组合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并表范围内组合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9" w:lineRule="auto" w:before="26"/>
        <w:ind w:left="1493" w:right="2653"/>
        <w:jc w:val="left"/>
      </w:pPr>
      <w:r>
        <w:rPr>
          <w:rFonts w:ascii="Times New Roman" w:hAnsi="Times New Roman" w:cs="Times New Roman" w:eastAsia="Times New Roman" w:hint="default"/>
        </w:rPr>
        <w:t>(1)</w:t>
      </w:r>
      <w:r>
        <w:rPr/>
        <w:t>、存货的分类</w:t>
      </w:r>
      <w:r>
        <w:rPr>
          <w:w w:val="99"/>
        </w:rPr>
        <w:t> </w:t>
      </w:r>
      <w:r>
        <w:rPr/>
        <w:t>存货是指本公司在日常活动中持有以备出售的库存商品或者提供劳务过程中所耗用的劳务成本等。</w:t>
      </w:r>
      <w:r>
        <w:rPr>
          <w:w w:val="99"/>
        </w:rPr>
        <w:t> </w:t>
      </w:r>
      <w:r>
        <w:rPr>
          <w:rFonts w:ascii="Times New Roman" w:hAnsi="Times New Roman" w:cs="Times New Roman" w:eastAsia="Times New Roman" w:hint="default"/>
        </w:rPr>
        <w:t>(2)</w:t>
      </w:r>
      <w:r>
        <w:rPr/>
        <w:t>、存货取得和发出的计价方法</w:t>
      </w:r>
    </w:p>
    <w:p>
      <w:pPr>
        <w:pStyle w:val="BodyText"/>
        <w:spacing w:line="309" w:lineRule="auto" w:before="5"/>
        <w:ind w:left="1134" w:right="1131" w:firstLine="360"/>
        <w:jc w:val="both"/>
      </w:pPr>
      <w:r>
        <w:rPr>
          <w:spacing w:val="-2"/>
        </w:rPr>
        <w:t>存货按照成本进行初始计量。存货成本包括采购成本、加工成本和其他成本。应计入存货成本的借款费用，按照《企业</w:t>
      </w:r>
      <w:r>
        <w:rPr/>
        <w:t> </w:t>
      </w:r>
      <w:r>
        <w:rPr>
          <w:spacing w:val="-2"/>
        </w:rPr>
        <w:t>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借款费用》处理。投资者投入存货的成本，应当按照投资合同或协议约定的价值确定，但合同或协议约</w:t>
      </w:r>
      <w:r>
        <w:rPr>
          <w:spacing w:val="-64"/>
        </w:rPr>
        <w:t> </w:t>
      </w:r>
      <w:r>
        <w:rPr>
          <w:spacing w:val="-64"/>
        </w:rPr>
      </w:r>
      <w:r>
        <w:rPr/>
        <w:t>定价值不公允的除外。</w:t>
      </w:r>
    </w:p>
    <w:p>
      <w:pPr>
        <w:pStyle w:val="BodyText"/>
        <w:spacing w:line="316" w:lineRule="auto" w:before="24"/>
        <w:ind w:left="1134" w:right="1131" w:firstLine="360"/>
        <w:jc w:val="both"/>
      </w:pPr>
      <w:r>
        <w:rPr>
          <w:spacing w:val="-2"/>
        </w:rPr>
        <w:t>发出存货的计价方法：采购存货专门用于单项业务时，按个别计价法确认；非为单项业务单独采购的存货，按加权平均</w:t>
      </w:r>
      <w:r>
        <w:rPr/>
        <w:t> 价格计价确认。</w:t>
      </w:r>
    </w:p>
    <w:p>
      <w:pPr>
        <w:pStyle w:val="BodyText"/>
        <w:spacing w:line="300" w:lineRule="auto" w:before="19"/>
        <w:ind w:left="1494" w:right="0"/>
        <w:jc w:val="left"/>
      </w:pPr>
      <w:r>
        <w:rPr>
          <w:rFonts w:ascii="Times New Roman" w:hAnsi="Times New Roman" w:cs="Times New Roman" w:eastAsia="Times New Roman" w:hint="default"/>
        </w:rPr>
        <w:t>(3)</w:t>
      </w:r>
      <w:r>
        <w:rPr/>
        <w:t>、存货可变现净值的确定依据及存货跌价准备计提方法</w:t>
      </w:r>
      <w:r>
        <w:rPr>
          <w:w w:val="99"/>
        </w:rPr>
        <w:t> </w:t>
      </w:r>
      <w:r>
        <w:rPr>
          <w:spacing w:val="-4"/>
        </w:rPr>
        <w:t>期末存货按成本与可变现净值孰低计价，存货期末可变现净值低于账面成本的，按差额计提存货跌价准备。可变现净值，</w:t>
      </w:r>
    </w:p>
    <w:p>
      <w:pPr>
        <w:pStyle w:val="BodyText"/>
        <w:spacing w:line="240" w:lineRule="auto" w:before="31"/>
        <w:ind w:left="1134" w:right="0"/>
        <w:jc w:val="left"/>
      </w:pPr>
      <w:r>
        <w:rPr/>
        <w:t>是指在日常活动中，存货的估计售价减去至完工时估计将要发生的成本、估计的销售费用以及相关税费后的金额。</w:t>
      </w:r>
    </w:p>
    <w:p>
      <w:pPr>
        <w:pStyle w:val="BodyText"/>
        <w:spacing w:line="319" w:lineRule="auto" w:before="76"/>
        <w:ind w:right="1043" w:firstLine="360"/>
        <w:jc w:val="both"/>
      </w:pPr>
      <w:r>
        <w:rPr>
          <w:spacing w:val="-4"/>
        </w:rPr>
        <w:t>①存货可变现净值的确定依据：为执行销售合同或者劳务合同而持有的存货，其可变现净值应当以合同价格为基础计算。</w:t>
      </w:r>
      <w:r>
        <w:rPr/>
        <w:t> 企业持有存货的数量多于销售合同订购数量的，超出部分的存货的可变现净值应当以一般销售价格为基础计算。</w:t>
      </w:r>
    </w:p>
    <w:p>
      <w:pPr>
        <w:pStyle w:val="BodyText"/>
        <w:spacing w:line="300" w:lineRule="auto" w:before="17"/>
        <w:ind w:right="1130" w:firstLine="360"/>
        <w:jc w:val="both"/>
      </w:pPr>
      <w:r>
        <w:rPr/>
        <w:t>②存货跌价准备的计提方法：按单个存货项目的成本与可变现净值孰低法计提存货跌价准备</w:t>
      </w:r>
      <w:r>
        <w:rPr>
          <w:rFonts w:ascii="Times New Roman" w:hAnsi="Times New Roman" w:cs="Times New Roman" w:eastAsia="Times New Roman" w:hint="default"/>
        </w:rPr>
        <w:t>;</w:t>
      </w:r>
      <w:r>
        <w:rPr/>
        <w:t>但对于数量繁多、单价较 低的存货按存货类别计提存货跌价准备。</w:t>
      </w:r>
    </w:p>
    <w:p>
      <w:pPr>
        <w:pStyle w:val="BodyText"/>
        <w:spacing w:line="300" w:lineRule="auto" w:before="31"/>
        <w:ind w:left="1494" w:right="8742"/>
        <w:jc w:val="left"/>
      </w:pPr>
      <w:r>
        <w:rPr>
          <w:rFonts w:ascii="Times New Roman" w:hAnsi="Times New Roman" w:cs="Times New Roman" w:eastAsia="Times New Roman" w:hint="default"/>
        </w:rPr>
        <w:t>(4)</w:t>
      </w:r>
      <w:r>
        <w:rPr/>
        <w:t>、存货的盘存制度</w:t>
      </w:r>
      <w:r>
        <w:rPr>
          <w:w w:val="99"/>
        </w:rPr>
        <w:t> </w:t>
      </w:r>
      <w:r>
        <w:rPr/>
        <w:t>采用永续盘存制。</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493" w:right="1183"/>
        <w:jc w:val="left"/>
      </w:pPr>
      <w:r>
        <w:rPr/>
        <w:t>本公司将同时满足下列条件的组成部分（或非流动资产）确认为持有待售组成部分： </w:t>
      </w:r>
      <w:r>
        <w:rPr>
          <w:rFonts w:ascii="Times New Roman" w:hAnsi="Times New Roman" w:cs="Times New Roman" w:eastAsia="Times New Roman" w:hint="default"/>
        </w:rPr>
        <w:t>(1)</w:t>
      </w:r>
      <w:r>
        <w:rPr/>
        <w:t>、该组成部分必须在其当前状况下仅根据出售此类组成部分的惯常条款即可立即出售； </w:t>
      </w:r>
      <w:r>
        <w:rPr>
          <w:rFonts w:ascii="Times New Roman" w:hAnsi="Times New Roman" w:cs="Times New Roman" w:eastAsia="Times New Roman" w:hint="default"/>
        </w:rPr>
        <w:t>(2)</w:t>
      </w:r>
      <w:r>
        <w:rPr/>
        <w:t>、企业已经就处置该组成部分作出决议，如按规定需得到股东批准的，已经取得股东大会或相应权力机构的批准； </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7"/>
        <w:ind w:left="1494" w:right="0"/>
        <w:jc w:val="left"/>
      </w:pPr>
      <w:r>
        <w:rPr>
          <w:rFonts w:ascii="Times New Roman" w:hAnsi="Times New Roman" w:cs="Times New Roman" w:eastAsia="Times New Roman" w:hint="default"/>
        </w:rPr>
        <w:t>(4)</w:t>
      </w:r>
      <w:r>
        <w:rPr/>
        <w:t>、该项转让将在一年内完成。</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、确定对被投资单位具有共同控制、重大影响的依据</w:t>
      </w:r>
      <w:r>
        <w:rPr>
          <w:w w:val="99"/>
        </w:rPr>
        <w:t> </w:t>
      </w:r>
      <w:r>
        <w:rPr>
          <w:spacing w:val="-2"/>
          <w:w w:val="99"/>
        </w:rPr>
        <w:t>共同控制是指按照相关约定对某项安排所共有的控制，并且该安排的相关活动必须经过分享控制权的参与方一致同意后</w:t>
      </w:r>
      <w:r>
        <w:rPr>
          <w:spacing w:val="-2"/>
        </w:rPr>
      </w:r>
    </w:p>
    <w:p>
      <w:pPr>
        <w:pStyle w:val="BodyText"/>
        <w:spacing w:line="316" w:lineRule="auto" w:before="31"/>
        <w:ind w:left="1134" w:right="1131"/>
        <w:jc w:val="both"/>
      </w:pPr>
      <w:r>
        <w:rPr>
          <w:spacing w:val="-2"/>
        </w:rPr>
        <w:t>才能决策。在判断是否存在共同控制时，首先判断所有参与方或参与方组合是否集体控制该安排，如果所有参与方或一组参</w:t>
      </w:r>
      <w:r>
        <w:rPr>
          <w:spacing w:val="-66"/>
        </w:rPr>
        <w:t> </w:t>
      </w:r>
      <w:r>
        <w:rPr>
          <w:spacing w:val="-66"/>
        </w:rPr>
      </w:r>
      <w:r>
        <w:rPr>
          <w:spacing w:val="-2"/>
        </w:rPr>
        <w:t>与方必须一致行动才能决定某项安排的相关活动，则认为所有参与方或一组参与方集体控制该安排。其次再判断该安排相关</w:t>
      </w:r>
      <w:r>
        <w:rPr>
          <w:spacing w:val="-64"/>
        </w:rPr>
        <w:t> </w:t>
      </w:r>
      <w:r>
        <w:rPr>
          <w:spacing w:val="-64"/>
        </w:rPr>
      </w:r>
      <w:r>
        <w:rPr>
          <w:spacing w:val="-2"/>
        </w:rPr>
        <w:t>活动的决策是否必须经过这些集体控制该安排的参与方一致同意，当且仅当相关活动的决策要求集体控制该安排的参与方一</w:t>
      </w:r>
      <w:r>
        <w:rPr>
          <w:spacing w:val="-64"/>
        </w:rPr>
        <w:t> </w:t>
      </w:r>
      <w:r>
        <w:rPr>
          <w:spacing w:val="-64"/>
        </w:rPr>
      </w:r>
      <w:r>
        <w:rPr>
          <w:spacing w:val="-2"/>
        </w:rPr>
        <w:t>致同意时，才形成共同控制。如果存在两个或两个以上的参与方组合能够集体控制某项安排的，不构成共同控制。判断是否</w:t>
      </w:r>
      <w:r>
        <w:rPr>
          <w:spacing w:val="-66"/>
        </w:rPr>
        <w:t> </w:t>
      </w:r>
      <w:r>
        <w:rPr>
          <w:spacing w:val="-66"/>
        </w:rPr>
      </w:r>
      <w:r>
        <w:rPr/>
        <w:t>存在共同控制时，不考虑享有的保护性权利。</w:t>
      </w:r>
    </w:p>
    <w:p>
      <w:pPr>
        <w:pStyle w:val="BodyText"/>
        <w:spacing w:line="314" w:lineRule="auto" w:before="19"/>
        <w:ind w:right="1129" w:firstLine="360"/>
        <w:jc w:val="both"/>
      </w:pPr>
      <w:r>
        <w:rPr>
          <w:spacing w:val="-2"/>
        </w:rPr>
        <w:t>重大影响是指投资方对被投资单位的财务和经营政策有参与决策的权力，但并不能够控制或者与其他方一起共同控制这</w:t>
      </w:r>
      <w:r>
        <w:rPr/>
        <w:t> </w:t>
      </w:r>
      <w:r>
        <w:rPr>
          <w:spacing w:val="-2"/>
        </w:rPr>
        <w:t>些政策的制定。在确定能否对被投资单位施加重大影响时，考虑投资方直接或间接持有被投资单位的表决权股份以及投资方</w:t>
      </w:r>
      <w:r>
        <w:rPr>
          <w:spacing w:val="-64"/>
        </w:rPr>
        <w:t> </w:t>
      </w:r>
      <w:r>
        <w:rPr>
          <w:spacing w:val="-64"/>
        </w:rPr>
      </w:r>
      <w:r>
        <w:rPr>
          <w:spacing w:val="-2"/>
        </w:rPr>
        <w:t>及其他方持有的当期可执行潜在表决权在假定转换为对被投资方单位的股权后产生的影响，包括被投资单位发行的当期可转</w:t>
      </w:r>
      <w:r>
        <w:rPr>
          <w:spacing w:val="-63"/>
        </w:rPr>
        <w:t> </w:t>
      </w:r>
      <w:r>
        <w:rPr>
          <w:spacing w:val="-63"/>
        </w:rPr>
      </w:r>
      <w:r>
        <w:rPr>
          <w:spacing w:val="-2"/>
        </w:rPr>
        <w:t>换的认股权证、股份期权及可转换公司债券等的影响。对外投资符合下列情况时，一般确定为对投资单位具有重大影响：①</w:t>
      </w:r>
      <w:r>
        <w:rPr>
          <w:spacing w:val="-66"/>
        </w:rPr>
        <w:t> </w:t>
      </w:r>
      <w:r>
        <w:rPr>
          <w:spacing w:val="-66"/>
        </w:rPr>
      </w:r>
      <w:r>
        <w:rPr>
          <w:spacing w:val="-2"/>
        </w:rPr>
        <w:t>在被投资单位的董事会或类似权力机构中派有代表；②参与被投资单位财务和经营政策的制定过程；③与被投资单位之间发</w:t>
      </w:r>
      <w:r>
        <w:rPr>
          <w:spacing w:val="-64"/>
        </w:rPr>
        <w:t> </w:t>
      </w:r>
      <w:r>
        <w:rPr>
          <w:spacing w:val="-64"/>
        </w:rPr>
      </w:r>
      <w:r>
        <w:rPr>
          <w:spacing w:val="-5"/>
        </w:rPr>
        <w:t>生重要交易；④向被投资单位派出管理人员；⑤向被投资单位提供关键技术资料。直接或通过子公司间接拥有被投资企业</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5"/>
        </w:rPr>
        <w:t> </w:t>
      </w:r>
      <w:r>
        <w:rPr/>
        <w:t>以上但低于</w:t>
      </w:r>
      <w:r>
        <w:rPr>
          <w:rFonts w:ascii="Times New Roman" w:hAnsi="Times New Roman" w:cs="Times New Roman" w:eastAsia="Times New Roman" w:hint="default"/>
        </w:rPr>
        <w:t>50%</w:t>
      </w:r>
      <w:r>
        <w:rPr/>
        <w:t>的表决权股份时，一般认为对被投资单位具有重大影响。</w:t>
      </w:r>
    </w:p>
    <w:p>
      <w:pPr>
        <w:pStyle w:val="BodyText"/>
        <w:spacing w:line="240" w:lineRule="auto" w:before="1"/>
        <w:ind w:left="1493" w:right="0"/>
        <w:jc w:val="left"/>
      </w:pPr>
      <w:r>
        <w:rPr>
          <w:rFonts w:ascii="Times New Roman" w:hAnsi="Times New Roman" w:cs="Times New Roman" w:eastAsia="Times New Roman" w:hint="default"/>
        </w:rPr>
        <w:t>(2)</w:t>
      </w:r>
      <w:r>
        <w:rPr/>
        <w:t>、初始投资成本确定</w:t>
      </w:r>
    </w:p>
    <w:p>
      <w:pPr>
        <w:pStyle w:val="BodyText"/>
        <w:spacing w:line="240" w:lineRule="auto" w:before="63"/>
        <w:ind w:left="1494" w:right="0"/>
        <w:jc w:val="left"/>
      </w:pPr>
      <w:r>
        <w:rPr/>
        <w:t>①企业合并形成的长期股权投资</w:t>
      </w:r>
    </w:p>
    <w:p>
      <w:pPr>
        <w:pStyle w:val="BodyText"/>
        <w:spacing w:line="314" w:lineRule="auto" w:before="76"/>
        <w:ind w:left="1134" w:right="1032" w:firstLine="360"/>
        <w:jc w:val="left"/>
      </w:pPr>
      <w:r>
        <w:rPr>
          <w:rFonts w:ascii="Times New Roman" w:hAnsi="Times New Roman" w:cs="Times New Roman" w:eastAsia="Times New Roman" w:hint="default"/>
        </w:rPr>
        <w:t>A.</w:t>
      </w:r>
      <w:r>
        <w:rPr/>
        <w:t>同一控制下的企业合并</w:t>
      </w:r>
      <w:r>
        <w:rPr>
          <w:rFonts w:ascii="Times New Roman" w:hAnsi="Times New Roman" w:cs="Times New Roman" w:eastAsia="Times New Roman" w:hint="default"/>
        </w:rPr>
        <w:t>,</w:t>
      </w:r>
      <w:r>
        <w:rPr/>
        <w:t>以支付现金、转让非现金资产或承担债务方式以及以发行权益性证券作为合并对价的，在合</w:t>
      </w:r>
      <w:r>
        <w:rPr>
          <w:spacing w:val="1"/>
        </w:rPr>
        <w:t> </w:t>
      </w:r>
      <w:r>
        <w:rPr>
          <w:spacing w:val="-2"/>
        </w:rPr>
        <w:t>并日按照取得被合并方所有者权益在最终控制方合并财务报表中的账面价值的份额作为长期股权投资的初始投资成本。因追</w:t>
      </w:r>
      <w:r>
        <w:rPr>
          <w:spacing w:val="-64"/>
        </w:rPr>
        <w:t> </w:t>
      </w:r>
      <w:r>
        <w:rPr>
          <w:spacing w:val="-64"/>
        </w:rPr>
      </w:r>
      <w:r>
        <w:rPr>
          <w:spacing w:val="-2"/>
        </w:rPr>
        <w:t>加投资等原因能够对同一控制下的被投资单位实施控制的，在合并日根据合并后应享有被合并方净资产在最终控制方合并财</w:t>
      </w:r>
      <w:r>
        <w:rPr>
          <w:spacing w:val="-64"/>
        </w:rPr>
        <w:t> </w:t>
      </w:r>
      <w:r>
        <w:rPr>
          <w:spacing w:val="-64"/>
        </w:rPr>
      </w:r>
      <w:r>
        <w:rPr>
          <w:spacing w:val="-2"/>
        </w:rPr>
        <w:t>务报表中的账面价值的份额，确定长期股权投资的初始投资成本。合并日长期股权投资的初始投资成本，与达到合并前的长</w:t>
      </w:r>
      <w:r>
        <w:rPr>
          <w:spacing w:val="-66"/>
        </w:rPr>
        <w:t> </w:t>
      </w:r>
      <w:r>
        <w:rPr>
          <w:spacing w:val="-66"/>
        </w:rPr>
      </w:r>
      <w:r>
        <w:rPr/>
        <w:t>期股权投资账面价值加上合并日进一步取得股份新支付对价的账面价值之和的差额，调整股本溢价，股本溢价不足冲减的， 冲减留存收益。</w:t>
      </w:r>
    </w:p>
    <w:p>
      <w:pPr>
        <w:pStyle w:val="BodyText"/>
        <w:spacing w:line="309" w:lineRule="auto" w:before="20"/>
        <w:ind w:left="1134" w:right="1132" w:firstLine="360"/>
        <w:jc w:val="both"/>
      </w:pPr>
      <w:r>
        <w:rPr>
          <w:rFonts w:ascii="Times New Roman" w:hAnsi="Times New Roman" w:cs="Times New Roman" w:eastAsia="Times New Roman" w:hint="default"/>
        </w:rPr>
        <w:t>B.</w:t>
      </w:r>
      <w:r>
        <w:rPr/>
        <w:t>非同一控制下的企业合并</w:t>
      </w:r>
      <w:r>
        <w:rPr>
          <w:rFonts w:ascii="Times New Roman" w:hAnsi="Times New Roman" w:cs="Times New Roman" w:eastAsia="Times New Roman" w:hint="default"/>
        </w:rPr>
        <w:t>,</w:t>
      </w:r>
      <w:r>
        <w:rPr/>
        <w:t>在购买日按照《企业会计准则第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企业合并》的相关规定确定的合并成本作为长期 </w:t>
      </w:r>
      <w:r>
        <w:rPr>
          <w:spacing w:val="-2"/>
        </w:rPr>
        <w:t>股权投资的初始投资成本。因追加投资等原因能够对非同一控制下的被投资单位实施控制的，按照原持有的股权投资账面价</w:t>
      </w:r>
      <w:r>
        <w:rPr>
          <w:spacing w:val="-64"/>
        </w:rPr>
        <w:t> </w:t>
      </w:r>
      <w:r>
        <w:rPr>
          <w:spacing w:val="-64"/>
        </w:rPr>
      </w:r>
      <w:r>
        <w:rPr/>
        <w:t>值加上新增投资成本之和，作为改按成本法核算的初始投资成本。</w:t>
      </w:r>
    </w:p>
    <w:p>
      <w:pPr>
        <w:pStyle w:val="BodyText"/>
        <w:spacing w:line="240" w:lineRule="auto" w:before="24"/>
        <w:ind w:left="1494" w:right="0"/>
        <w:jc w:val="left"/>
      </w:pPr>
      <w:r>
        <w:rPr/>
        <w:t>②除企业合并形成的长期股权投资以外，其他方式取得的长期股权投资，按照下列规定确定其初始投资成本：</w:t>
      </w:r>
    </w:p>
    <w:p>
      <w:pPr>
        <w:pStyle w:val="BodyText"/>
        <w:spacing w:line="300" w:lineRule="auto" w:before="76"/>
        <w:ind w:left="1134" w:right="0" w:firstLine="360"/>
        <w:jc w:val="left"/>
      </w:pPr>
      <w:r>
        <w:rPr>
          <w:rFonts w:ascii="Times New Roman" w:hAnsi="Times New Roman" w:cs="Times New Roman" w:eastAsia="Times New Roman" w:hint="default"/>
          <w:spacing w:val="-2"/>
        </w:rPr>
        <w:t>A.</w:t>
      </w:r>
      <w:r>
        <w:rPr>
          <w:spacing w:val="-2"/>
        </w:rPr>
        <w:t>以支付现金取得的长期股权投资，应当按照实际支付的购买价款作为初始投资成本。初始投资成本包括与取得长期股</w:t>
      </w:r>
      <w:r>
        <w:rPr/>
        <w:t> 权投资直接相关的费用、税金及其他必要支出。</w:t>
      </w:r>
    </w:p>
    <w:p>
      <w:pPr>
        <w:pStyle w:val="BodyText"/>
        <w:spacing w:line="300" w:lineRule="auto" w:before="32"/>
        <w:ind w:left="1494" w:right="0"/>
        <w:jc w:val="left"/>
      </w:pPr>
      <w:r>
        <w:rPr>
          <w:rFonts w:ascii="Times New Roman" w:hAnsi="Times New Roman" w:cs="Times New Roman" w:eastAsia="Times New Roman" w:hint="default"/>
        </w:rPr>
        <w:t>B.</w:t>
      </w:r>
      <w:r>
        <w:rPr/>
        <w:t>以发行权益性证券取得的长期股权投资，按照发行权益性证券的公允价值作为初始投资成本。 </w:t>
      </w:r>
      <w:r>
        <w:rPr>
          <w:rFonts w:ascii="Times New Roman" w:hAnsi="Times New Roman" w:cs="Times New Roman" w:eastAsia="Times New Roman" w:hint="default"/>
        </w:rPr>
        <w:t>C.</w:t>
      </w:r>
      <w:r>
        <w:rPr/>
        <w:t>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w:t>
      </w:r>
    </w:p>
    <w:p>
      <w:pPr>
        <w:pStyle w:val="BodyText"/>
        <w:spacing w:line="240" w:lineRule="auto" w:before="13"/>
        <w:ind w:right="0"/>
        <w:jc w:val="both"/>
      </w:pPr>
      <w:r>
        <w:rPr/>
        <w:t>定。</w:t>
      </w:r>
    </w:p>
    <w:p>
      <w:pPr>
        <w:pStyle w:val="BodyText"/>
        <w:spacing w:line="300" w:lineRule="auto" w:before="76"/>
        <w:ind w:left="1493" w:right="2118"/>
        <w:jc w:val="left"/>
      </w:pPr>
      <w:r>
        <w:rPr>
          <w:rFonts w:ascii="Times New Roman" w:hAnsi="Times New Roman" w:cs="Times New Roman" w:eastAsia="Times New Roman" w:hint="default"/>
        </w:rPr>
        <w:t>D.</w:t>
      </w:r>
      <w:r>
        <w:rPr/>
        <w:t>通过债务重组取得的长期股权投资，其初始投资成本按照《企业会计准则第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 </w:t>
      </w:r>
      <w:r>
        <w:rPr>
          <w:rFonts w:ascii="Times New Roman" w:hAnsi="Times New Roman" w:cs="Times New Roman" w:eastAsia="Times New Roman" w:hint="default"/>
        </w:rPr>
        <w:t>(3)</w:t>
      </w:r>
      <w:r>
        <w:rPr/>
        <w:t>、后续计量和损益确认方法</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①成本法核算：能够对被投资单位实施控制的长期股权投资，采用成本法核算。采用成本法核算时，追加或收回投资调</w:t>
      </w:r>
      <w:r>
        <w:rPr/>
        <w:t> </w:t>
      </w:r>
      <w:r>
        <w:rPr>
          <w:spacing w:val="-2"/>
        </w:rPr>
        <w:t>整长期股权投资的成本。采用成本法核算的长期股权投资，除取得投资时实际支付的价款或对价中包含的已宣告但尚未发放</w:t>
      </w:r>
      <w:r>
        <w:rPr>
          <w:spacing w:val="-64"/>
        </w:rPr>
        <w:t> </w:t>
      </w:r>
      <w:r>
        <w:rPr>
          <w:spacing w:val="-64"/>
        </w:rPr>
      </w:r>
      <w:r>
        <w:rPr>
          <w:spacing w:val="-2"/>
        </w:rPr>
        <w:t>的现金股利或利润外，公司应当按照享有被投资单位宣告发放的现金股利或利润确认投资收益，不再划分是否属于投资前和</w:t>
      </w:r>
      <w:r>
        <w:rPr>
          <w:spacing w:val="-64"/>
        </w:rPr>
        <w:t> </w:t>
      </w:r>
      <w:r>
        <w:rPr>
          <w:spacing w:val="-64"/>
        </w:rPr>
      </w:r>
      <w:r>
        <w:rPr/>
        <w:t>投资后被投资单位实现的净利润。</w:t>
      </w:r>
    </w:p>
    <w:p>
      <w:pPr>
        <w:pStyle w:val="BodyText"/>
        <w:spacing w:line="312" w:lineRule="auto" w:before="19"/>
        <w:ind w:right="1131" w:firstLine="360"/>
        <w:jc w:val="both"/>
      </w:pPr>
      <w:r>
        <w:rPr/>
        <w:t>②权益法核算：对被投资单位共同控制或重大影响的长期股权投资，除</w:t>
      </w:r>
      <w:r>
        <w:rPr>
          <w:rFonts w:ascii="Times New Roman" w:hAnsi="Times New Roman" w:cs="Times New Roman" w:eastAsia="Times New Roman" w:hint="default"/>
        </w:rPr>
        <w:t>“</w:t>
      </w:r>
      <w:r>
        <w:rPr/>
        <w:t>对联营企业的权益性投资，其中一部分通过风 </w:t>
      </w:r>
      <w:r>
        <w:rPr>
          <w:spacing w:val="-2"/>
        </w:rPr>
        <w:t>险投资机构、共同基金、信托公司或包括投连险基金在内的类似主体间接持有的，无论以上主体是否对这部分投资具有重大</w:t>
      </w:r>
      <w:r>
        <w:rPr>
          <w:spacing w:val="-66"/>
        </w:rPr>
        <w:t> </w:t>
      </w:r>
      <w:r>
        <w:rPr>
          <w:spacing w:val="-66"/>
        </w:rPr>
      </w:r>
      <w:r>
        <w:rPr>
          <w:spacing w:val="-2"/>
        </w:rPr>
        <w:t>影响，公司按照《企业会计准则第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金融工具确认和计量》的有关规定，对间接持有的该部分投资选择以公允价值计</w:t>
      </w:r>
      <w:r>
        <w:rPr>
          <w:spacing w:val="-64"/>
        </w:rPr>
        <w:t> </w:t>
      </w:r>
      <w:r>
        <w:rPr>
          <w:spacing w:val="-64"/>
        </w:rPr>
      </w:r>
      <w:r>
        <w:rPr/>
        <w:t>量且其变动计入损益</w:t>
      </w:r>
      <w:r>
        <w:rPr>
          <w:rFonts w:ascii="Times New Roman" w:hAnsi="Times New Roman" w:cs="Times New Roman" w:eastAsia="Times New Roman" w:hint="default"/>
        </w:rPr>
        <w:t>”</w:t>
      </w:r>
      <w:r>
        <w:rPr/>
        <w:t>外，采用权益法核算。采用权益法核算时，公司取得长期股权投资后，按照应享有或应分担的被投资</w:t>
      </w:r>
      <w:r>
        <w:rPr>
          <w:spacing w:val="-77"/>
        </w:rPr>
        <w:t> </w:t>
      </w:r>
      <w:r>
        <w:rPr>
          <w:spacing w:val="-77"/>
        </w:rPr>
      </w:r>
      <w:r>
        <w:rPr>
          <w:spacing w:val="-2"/>
        </w:rPr>
        <w:t>单位实现的净损益和其他综合收益的份额，分别确认投资收益和其他综合收益，同时调整长期股权投资的账面价值；公司按</w:t>
      </w:r>
      <w:r>
        <w:rPr>
          <w:spacing w:val="-66"/>
        </w:rPr>
        <w:t> </w:t>
      </w:r>
      <w:r>
        <w:rPr>
          <w:spacing w:val="-66"/>
        </w:rPr>
      </w:r>
      <w:r>
        <w:rPr>
          <w:spacing w:val="-2"/>
        </w:rPr>
        <w:t>照被投资单位宣告分派的利润或现金股利计算应享有的部分，相应减少长期股权投资的账面价值；公司对于被投资单位除净</w:t>
      </w:r>
      <w:r>
        <w:rPr>
          <w:spacing w:val="-64"/>
        </w:rPr>
        <w:t> </w:t>
      </w:r>
      <w:r>
        <w:rPr>
          <w:spacing w:val="-64"/>
        </w:rPr>
      </w:r>
      <w:r>
        <w:rPr>
          <w:spacing w:val="-2"/>
        </w:rPr>
        <w:t>损益、其他综合收益和利润分配以外所有者权益的其他变动，应当调整长期股权投资的账面价值并计入所有者权益。公司确</w:t>
      </w:r>
      <w:r>
        <w:rPr>
          <w:spacing w:val="-66"/>
        </w:rPr>
        <w:t> </w:t>
      </w:r>
      <w:r>
        <w:rPr>
          <w:spacing w:val="-66"/>
        </w:rPr>
      </w:r>
      <w:r>
        <w:rPr/>
        <w:t>认被投资单位发生的净亏损，以长期股权投资的账面价值以及其他实质上构成对被投资单位净投资的长期权益减记至零为</w:t>
      </w:r>
      <w:r>
        <w:rPr>
          <w:spacing w:val="1"/>
        </w:rPr>
        <w:t> </w:t>
      </w:r>
      <w:r>
        <w:rPr>
          <w:spacing w:val="1"/>
        </w:rPr>
      </w:r>
      <w:r>
        <w:rPr>
          <w:spacing w:val="-2"/>
        </w:rPr>
        <w:t>限，公司负有承担额外损失义务的除外。被投资单位以后实现净利润的，公司在收益分享额弥补未确认的亏损分担额后，恢</w:t>
      </w:r>
      <w:r>
        <w:rPr>
          <w:spacing w:val="-66"/>
        </w:rPr>
        <w:t> </w:t>
      </w:r>
      <w:r>
        <w:rPr>
          <w:spacing w:val="-66"/>
        </w:rPr>
      </w:r>
      <w:r>
        <w:rPr>
          <w:spacing w:val="-2"/>
        </w:rPr>
        <w:t>复确认收益分享额。公司在确认应享有被投资单位净损益的份额时，以取得投资时被投资单位各项可辨认资产的公允价值为</w:t>
      </w:r>
      <w:r>
        <w:rPr>
          <w:spacing w:val="-64"/>
        </w:rPr>
        <w:t> </w:t>
      </w:r>
      <w:r>
        <w:rPr>
          <w:spacing w:val="-64"/>
        </w:rPr>
      </w:r>
      <w:r>
        <w:rPr>
          <w:spacing w:val="-2"/>
        </w:rPr>
        <w:t>基础，对被投资单位的净利润进行调整，并且将公司与联营企业及合营企业之间发生的内部交易损益予以抵销，在此基础上</w:t>
      </w:r>
      <w:r>
        <w:rPr>
          <w:spacing w:val="-66"/>
        </w:rPr>
        <w:t> </w:t>
      </w:r>
      <w:r>
        <w:rPr>
          <w:spacing w:val="-66"/>
        </w:rPr>
      </w:r>
      <w:r>
        <w:rPr>
          <w:spacing w:val="-2"/>
        </w:rPr>
        <w:t>确认投资损益。公司与被投资单位发生的内部交易损失，按照《企业会计准则第</w:t>
      </w:r>
      <w:r>
        <w:rPr>
          <w:rFonts w:ascii="Times New Roman" w:hAnsi="Times New Roman" w:cs="Times New Roman" w:eastAsia="Times New Roman" w:hint="default"/>
          <w:spacing w:val="-2"/>
        </w:rPr>
        <w:t>8</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资产减值》等规定属于资产减值损</w:t>
      </w:r>
      <w:r>
        <w:rPr>
          <w:spacing w:val="-84"/>
        </w:rPr>
        <w:t> </w:t>
      </w:r>
      <w:r>
        <w:rPr>
          <w:spacing w:val="-84"/>
        </w:rPr>
      </w:r>
      <w:r>
        <w:rPr>
          <w:spacing w:val="-2"/>
        </w:rPr>
        <w:t>失的则全额确认。如果被投资单位采用的会计政策及会计期间与公司不一致的，按照公司的会计政策及会计期间对被投资单</w:t>
      </w:r>
      <w:r>
        <w:rPr>
          <w:spacing w:val="-64"/>
        </w:rPr>
        <w:t> </w:t>
      </w:r>
      <w:r>
        <w:rPr>
          <w:spacing w:val="-64"/>
        </w:rPr>
      </w:r>
      <w:r>
        <w:rPr/>
        <w:t>位的财务报表进行调整，并据以确认投资损益。</w:t>
      </w:r>
    </w:p>
    <w:p>
      <w:pPr>
        <w:pStyle w:val="BodyText"/>
        <w:spacing w:line="316" w:lineRule="auto" w:before="22"/>
        <w:ind w:right="1132" w:firstLine="360"/>
        <w:jc w:val="both"/>
      </w:pPr>
      <w:r>
        <w:rPr>
          <w:spacing w:val="-2"/>
        </w:rPr>
        <w:t>对于首次执行日之前已经持有的对联营企业和合营企业的长期股权投资，如存在与该投资相关的股权投资借方差额，按</w:t>
      </w:r>
      <w:r>
        <w:rPr/>
        <w:t> 原剩余期限直线法摊销，摊销金额计入当期损益。</w:t>
      </w:r>
    </w:p>
    <w:p>
      <w:pPr>
        <w:pStyle w:val="BodyText"/>
        <w:spacing w:line="319" w:lineRule="auto" w:before="19"/>
        <w:ind w:right="1131" w:firstLine="360"/>
        <w:jc w:val="both"/>
      </w:pPr>
      <w:r>
        <w:rPr>
          <w:spacing w:val="-2"/>
        </w:rPr>
        <w:t>③处置长期股权投资，其账面价值与实际取得价款差额，计入当期损益。采用权益法核算的长期股权投资，因被投资单</w:t>
      </w:r>
      <w:r>
        <w:rPr/>
        <w:t> </w:t>
      </w:r>
      <w:r>
        <w:rPr>
          <w:spacing w:val="-2"/>
        </w:rPr>
        <w:t>位除净损益以外所有者权益的其他变动而计入所有者权益的，处置该项投资时将原计入所有者权益的部分按相应比例转入当</w:t>
      </w:r>
      <w:r>
        <w:rPr>
          <w:spacing w:val="-64"/>
        </w:rPr>
        <w:t> </w:t>
      </w:r>
      <w:r>
        <w:rPr>
          <w:spacing w:val="-64"/>
        </w:rPr>
      </w:r>
      <w:r>
        <w:rPr/>
        <w:t>期损益，由于被投资方重新计量设定受益计划净负债或净资产变动而产生的其他综合收益除外。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316" w:lineRule="auto" w:before="25"/>
        <w:ind w:left="1134" w:right="1131" w:firstLine="360"/>
        <w:jc w:val="both"/>
      </w:pPr>
      <w:r>
        <w:rPr>
          <w:spacing w:val="-2"/>
        </w:rPr>
        <w:t>投资性房地产是指为赚取租金或资本增值，或两者兼有而持有的房地产。主要包括已出租的土地使用权、持有并准备增</w:t>
      </w:r>
      <w:r>
        <w:rPr/>
        <w:t> </w:t>
      </w:r>
      <w:r>
        <w:rPr>
          <w:spacing w:val="-2"/>
        </w:rPr>
        <w:t>值后转让的土地使用权以及已出租的建筑物。当公司能够取得与投资性房地产相关的租金收入或增值收益以及投资性房地产</w:t>
      </w:r>
      <w:r>
        <w:rPr>
          <w:spacing w:val="-64"/>
        </w:rPr>
        <w:t> </w:t>
      </w:r>
      <w:r>
        <w:rPr>
          <w:spacing w:val="-64"/>
        </w:rPr>
      </w:r>
      <w:r>
        <w:rPr/>
        <w:t>的成本能够可靠计量时，公司按购置或建造的实际支出对其进行初始计量。</w:t>
      </w:r>
    </w:p>
    <w:p>
      <w:pPr>
        <w:pStyle w:val="BodyText"/>
        <w:spacing w:line="316" w:lineRule="auto" w:before="19"/>
        <w:ind w:right="1130" w:firstLine="360"/>
        <w:jc w:val="both"/>
      </w:pPr>
      <w:r>
        <w:rPr>
          <w:spacing w:val="-2"/>
        </w:rPr>
        <w:t>公司在资产负债表日采用成本模式对投资性房地产进行后续计量。在成本模式下，公司按照本会计政策之第（十五）项</w:t>
      </w:r>
      <w:r>
        <w:rPr/>
        <w:t> </w:t>
      </w:r>
      <w:r>
        <w:rPr>
          <w:spacing w:val="-2"/>
        </w:rPr>
        <w:t>固定资产及折旧和第（十八）项无形资产的规定，对投资性房地产进行计量，计提折旧或摊销。当投资性房地产被处置，或</w:t>
      </w:r>
      <w:r>
        <w:rPr>
          <w:spacing w:val="-67"/>
        </w:rPr>
        <w:t> </w:t>
      </w:r>
      <w:r>
        <w:rPr>
          <w:spacing w:val="-67"/>
        </w:rPr>
      </w:r>
      <w:r>
        <w:rPr>
          <w:spacing w:val="-2"/>
        </w:rPr>
        <w:t>者永久退出使用且预计不能从其处置中取得经济利益时，应当终止确认该项投资性房地产。公司出售、转让、报废投资性房</w:t>
      </w:r>
      <w:r>
        <w:rPr>
          <w:spacing w:val="-66"/>
        </w:rPr>
        <w:t> </w:t>
      </w:r>
      <w:r>
        <w:rPr>
          <w:spacing w:val="-66"/>
        </w:rPr>
      </w:r>
      <w:r>
        <w:rPr/>
        <w:t>地产或者发生投资性房地产毁损，应当将处置收入扣除其账面价值和相关税费后的金额计入当期损益。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84" w:right="0"/>
        <w:jc w:val="left"/>
      </w:pPr>
      <w:r>
        <w:rPr/>
        <w:t>固定资产系使用寿命超过一个会计年度，为生产商品、提供劳务、出租或经营管理所持有的有形资产。</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23.75%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3"/>
        <w:spacing w:line="240" w:lineRule="auto" w:before="35"/>
        <w:ind w:left="1134"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tabs>
          <w:tab w:pos="2844" w:val="left" w:leader="none"/>
        </w:tabs>
        <w:spacing w:line="314" w:lineRule="auto"/>
        <w:ind w:right="1130" w:firstLine="630"/>
        <w:jc w:val="both"/>
      </w:pPr>
      <w:r>
        <w:rPr/>
        <w:t>公司租赁资产符合下列一项或数项标准的，认定为融资租赁固定资产：①在租赁期届满时，租赁资产的所有权转移 </w:t>
      </w:r>
      <w:r>
        <w:rPr>
          <w:spacing w:val="-2"/>
        </w:rPr>
        <w:t>给承租人；②承租人有购买租赁资产的选择权，所订立的购买价款预计将远低于行使选择权时租赁资产的公允价值，因而在</w:t>
      </w:r>
      <w:r>
        <w:rPr>
          <w:spacing w:val="-66"/>
        </w:rPr>
        <w:t> </w:t>
      </w:r>
      <w:r>
        <w:rPr>
          <w:spacing w:val="-66"/>
        </w:rPr>
      </w:r>
      <w:r>
        <w:rPr>
          <w:spacing w:val="-2"/>
        </w:rPr>
        <w:t>租赁开始日就可以合理确定承租人将会行使这种选择权；③即使资产的所有权不转移，但租赁期占租赁资产使用寿命的</w:t>
      </w:r>
      <w:r>
        <w:rPr>
          <w:spacing w:val="-41"/>
        </w:rPr>
        <w:t> </w:t>
      </w:r>
      <w:r>
        <w:rPr>
          <w:rFonts w:ascii="Times New Roman" w:hAnsi="Times New Roman" w:cs="Times New Roman" w:eastAsia="Times New Roman" w:hint="default"/>
        </w:rPr>
        <w:t>75% </w:t>
      </w:r>
      <w:r>
        <w:rPr>
          <w:spacing w:val="-2"/>
        </w:rPr>
        <w:t>以上；④承租人在租赁开始日的最低租赁付款额现值，几乎相当于租赁开始日租赁资产公允价值；出租人在租赁开始日的最</w:t>
      </w:r>
      <w:r>
        <w:rPr>
          <w:spacing w:val="-66"/>
        </w:rPr>
        <w:t> </w:t>
      </w:r>
      <w:r>
        <w:rPr>
          <w:spacing w:val="-66"/>
        </w:rPr>
      </w:r>
      <w:r>
        <w:rPr>
          <w:spacing w:val="-2"/>
        </w:rPr>
        <w:t>低租赁收款额现值，几乎相当于租赁开始日租赁资产公允价值；⑤租赁资产性质特殊，如果不作较大改造，只有承租人才能</w:t>
      </w:r>
      <w:r>
        <w:rPr>
          <w:spacing w:val="-65"/>
        </w:rPr>
        <w:t> </w:t>
      </w:r>
      <w:r>
        <w:rPr>
          <w:spacing w:val="-65"/>
        </w:rPr>
      </w:r>
      <w:r>
        <w:rPr/>
        <w:t>使用。</w:t>
        <w:tab/>
        <w:t>在租赁开始日，公司将租赁开始日租赁资产公允价值与最低租赁付款额现值两者中较低者作为租入资 </w:t>
      </w:r>
      <w:r>
        <w:rPr>
          <w:spacing w:val="-2"/>
        </w:rPr>
        <w:t>产的入账价值，将最低租赁付款额作为长期应付款的入账价值，其差额作为未确认融资费用，融资租入固定资产的折旧政策</w:t>
      </w:r>
      <w:r>
        <w:rPr>
          <w:spacing w:val="-66"/>
        </w:rPr>
        <w:t> </w:t>
      </w:r>
      <w:r>
        <w:rPr>
          <w:spacing w:val="-66"/>
        </w:rPr>
      </w:r>
      <w:r>
        <w:rPr/>
        <w:t>与自有固定资产一致。</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09" w:lineRule="auto" w:before="26"/>
        <w:ind w:right="1130" w:firstLine="360"/>
        <w:jc w:val="both"/>
      </w:pPr>
      <w:r>
        <w:rPr>
          <w:spacing w:val="-2"/>
        </w:rPr>
        <w:t>在建工程以实际成本计价。其中为工程建设项目而发生的借款利息支出和外币折算差额按照《企业会计准则第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借款费用》的有关规定资本化或计入当期损益。在建工程在达到预计使用状态之日起不论工程是否办理竣工决算均转入固定</w:t>
      </w:r>
      <w:r>
        <w:rPr>
          <w:spacing w:val="-64"/>
        </w:rPr>
        <w:t> </w:t>
      </w:r>
      <w:r>
        <w:rPr>
          <w:spacing w:val="-64"/>
        </w:rPr>
      </w:r>
      <w:r>
        <w:rPr/>
        <w:t>资产，对于未办理竣工决算手续的待办理完毕后再作调整。</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t>、借款费用资本化的确认原则</w:t>
      </w:r>
      <w:r>
        <w:rPr>
          <w:w w:val="99"/>
        </w:rPr>
        <w:t> </w:t>
      </w:r>
      <w:r>
        <w:rPr>
          <w:spacing w:val="-2"/>
        </w:rPr>
        <w:t>借款费用包括因借款发生的利息、折价或溢价的摊销和辅助费用，以及因外币借款而发生的汇兑差额。公司发生的借款</w:t>
      </w:r>
    </w:p>
    <w:p>
      <w:pPr>
        <w:pStyle w:val="BodyText"/>
        <w:spacing w:line="316" w:lineRule="auto" w:before="31"/>
        <w:ind w:left="1134" w:right="0"/>
        <w:jc w:val="left"/>
      </w:pPr>
      <w:r>
        <w:rPr>
          <w:spacing w:val="-2"/>
        </w:rPr>
        <w:t>费用，可直接归属于符合资本化条件的资产的购建或者生产的，应予以资本化，计入相关资产成本；其他借款费用，在发生</w:t>
      </w:r>
      <w:r>
        <w:rPr>
          <w:spacing w:val="-66"/>
        </w:rPr>
        <w:t> </w:t>
      </w:r>
      <w:r>
        <w:rPr>
          <w:spacing w:val="-66"/>
        </w:rPr>
      </w:r>
      <w:r>
        <w:rPr/>
        <w:t>时根据其发生额确认为费用，计入当期损益。</w:t>
      </w:r>
    </w:p>
    <w:p>
      <w:pPr>
        <w:pStyle w:val="BodyText"/>
        <w:spacing w:line="316" w:lineRule="auto" w:before="19"/>
        <w:ind w:left="1134" w:right="0" w:firstLine="360"/>
        <w:jc w:val="left"/>
      </w:pPr>
      <w:r>
        <w:rPr/>
        <w:t>符合资本化条件的资产，包括需要经过相当长时间的购建或者生产活动才能达到预定可使用或者可销售状态的固定资 产、投资性房地产和存货等资产。</w:t>
      </w:r>
    </w:p>
    <w:p>
      <w:pPr>
        <w:pStyle w:val="BodyText"/>
        <w:spacing w:line="240" w:lineRule="auto" w:before="19"/>
        <w:ind w:left="1494" w:right="0"/>
        <w:jc w:val="left"/>
      </w:pPr>
      <w:r>
        <w:rPr/>
        <w:t>借款费用同时满足下列条件，开始资本化：</w:t>
      </w:r>
    </w:p>
    <w:p>
      <w:pPr>
        <w:pStyle w:val="BodyText"/>
        <w:spacing w:line="319" w:lineRule="auto" w:before="76"/>
        <w:ind w:left="1134" w:right="0" w:firstLine="360"/>
        <w:jc w:val="left"/>
        <w:rPr>
          <w:rFonts w:ascii="Times New Roman" w:hAnsi="Times New Roman" w:cs="Times New Roman" w:eastAsia="Times New Roman" w:hint="default"/>
        </w:rPr>
      </w:pPr>
      <w:r>
        <w:rPr>
          <w:spacing w:val="-2"/>
        </w:rPr>
        <w:t>①资产支出已经发生，资产支出包括为购建或者生产符合资本化条件的资产而以支付现金、转移非现金资产或者承担带</w:t>
      </w:r>
      <w:r>
        <w:rPr/>
        <w:t> 息债务形式发生的支出</w:t>
      </w:r>
      <w:r>
        <w:rPr>
          <w:rFonts w:ascii="Times New Roman" w:hAnsi="Times New Roman" w:cs="Times New Roman" w:eastAsia="Times New Roman" w:hint="default"/>
        </w:rPr>
        <w:t>;</w:t>
      </w:r>
    </w:p>
    <w:p>
      <w:pPr>
        <w:pStyle w:val="BodyText"/>
        <w:spacing w:line="246" w:lineRule="exact"/>
        <w:ind w:left="1494" w:right="0"/>
        <w:jc w:val="left"/>
        <w:rPr>
          <w:rFonts w:ascii="Times New Roman" w:hAnsi="Times New Roman" w:cs="Times New Roman" w:eastAsia="Times New Roman" w:hint="default"/>
        </w:rPr>
      </w:pPr>
      <w:r>
        <w:rPr/>
        <w:t>②借款费用已发生</w:t>
      </w:r>
      <w:r>
        <w:rPr>
          <w:rFonts w:ascii="Times New Roman" w:hAnsi="Times New Roman" w:cs="Times New Roman" w:eastAsia="Times New Roman" w:hint="default"/>
        </w:rPr>
        <w:t>;</w:t>
      </w:r>
    </w:p>
    <w:p>
      <w:pPr>
        <w:pStyle w:val="BodyText"/>
        <w:spacing w:line="240" w:lineRule="auto" w:before="63"/>
        <w:ind w:left="1494" w:right="0"/>
        <w:jc w:val="left"/>
      </w:pPr>
      <w:r>
        <w:rPr/>
        <w:t>③为使资产达到预计可使用或者可销售状态所必要的购建或者生产活动已经开始。</w:t>
      </w:r>
    </w:p>
    <w:p>
      <w:pPr>
        <w:pStyle w:val="BodyText"/>
        <w:spacing w:line="240" w:lineRule="auto" w:before="76"/>
        <w:ind w:left="1494" w:right="0"/>
        <w:jc w:val="left"/>
      </w:pPr>
      <w:r>
        <w:rPr>
          <w:rFonts w:ascii="Times New Roman" w:hAnsi="Times New Roman" w:cs="Times New Roman" w:eastAsia="Times New Roman" w:hint="default"/>
        </w:rPr>
        <w:t>(2)</w:t>
      </w:r>
      <w:r>
        <w:rPr/>
        <w:t>、借款费用资本化的期间</w:t>
      </w:r>
    </w:p>
    <w:p>
      <w:pPr>
        <w:spacing w:after="0" w:line="240" w:lineRule="auto"/>
        <w:jc w:val="left"/>
        <w:sectPr>
          <w:footerReference w:type="default" r:id="rId15"/>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1129" w:firstLine="360"/>
        <w:jc w:val="both"/>
      </w:pPr>
      <w:r>
        <w:rPr>
          <w:spacing w:val="-2"/>
        </w:rPr>
        <w:t>为购建或者生产符合资本化条件的资产发生的借款费用，满足上述资本化条件的，在该资产达到预定可使用或者可销售</w:t>
      </w:r>
      <w:r>
        <w:rPr/>
        <w:t> 状态前所发生的，计入该资产的成本，若资产的购建或者生产活动发生非正常中断，并且中断时间连续超过</w:t>
      </w:r>
      <w:r>
        <w:rPr>
          <w:rFonts w:ascii="Times New Roman" w:hAnsi="Times New Roman" w:cs="Times New Roman" w:eastAsia="Times New Roman" w:hint="default"/>
        </w:rPr>
        <w:t>3</w:t>
      </w:r>
      <w:r>
        <w:rPr/>
        <w:t>个月，暂停借</w:t>
      </w:r>
      <w:r>
        <w:rPr>
          <w:spacing w:val="-81"/>
        </w:rPr>
        <w:t> </w:t>
      </w:r>
      <w:r>
        <w:rPr>
          <w:spacing w:val="-81"/>
        </w:rPr>
      </w:r>
      <w:r>
        <w:rPr>
          <w:spacing w:val="-2"/>
        </w:rPr>
        <w:t>款费用的资本化，将其确认为当期费用，直至资产的购建或者生产活动重新开始；当所购建或生产的资产达到预定可使用或</w:t>
      </w:r>
      <w:r>
        <w:rPr>
          <w:spacing w:val="-66"/>
        </w:rPr>
        <w:t> </w:t>
      </w:r>
      <w:r>
        <w:rPr>
          <w:spacing w:val="-66"/>
        </w:rPr>
      </w:r>
      <w:r>
        <w:rPr>
          <w:spacing w:val="-2"/>
        </w:rPr>
        <w:t>者销售状态时，停止其借款费用的资本化。在达到预定可使用或者可销售状态后所发生的借款费用，于发生当期直接计入财</w:t>
      </w:r>
      <w:r>
        <w:rPr>
          <w:spacing w:val="-65"/>
        </w:rPr>
        <w:t> </w:t>
      </w:r>
      <w:r>
        <w:rPr>
          <w:spacing w:val="-65"/>
        </w:rPr>
      </w:r>
      <w:r>
        <w:rPr/>
        <w:t>务费用。</w:t>
      </w:r>
    </w:p>
    <w:p>
      <w:pPr>
        <w:pStyle w:val="BodyText"/>
        <w:spacing w:line="300" w:lineRule="auto" w:before="20"/>
        <w:ind w:left="1493" w:right="2473"/>
        <w:jc w:val="left"/>
      </w:pPr>
      <w:r>
        <w:rPr>
          <w:rFonts w:ascii="Times New Roman" w:hAnsi="Times New Roman" w:cs="Times New Roman" w:eastAsia="Times New Roman" w:hint="default"/>
        </w:rPr>
        <w:t>(3)</w:t>
      </w:r>
      <w:r>
        <w:rPr/>
        <w:t>、借款费用资本化金额的计算方法</w:t>
      </w:r>
      <w:r>
        <w:rPr>
          <w:w w:val="99"/>
        </w:rPr>
        <w:t> </w:t>
      </w:r>
      <w:r>
        <w:rPr/>
        <w:t>在资本化期间内，每一会计期间的利息（包括折价或溢价的摊销）资本化金额，按照下列规定确定：</w:t>
      </w:r>
    </w:p>
    <w:p>
      <w:pPr>
        <w:pStyle w:val="BodyText"/>
        <w:spacing w:line="316" w:lineRule="auto" w:before="31"/>
        <w:ind w:right="1132" w:firstLine="360"/>
        <w:jc w:val="both"/>
      </w:pPr>
      <w:r>
        <w:rPr>
          <w:spacing w:val="-2"/>
        </w:rPr>
        <w:t>①为购建或者生产符合资本化条件的资产而借入专门借款的，以专门借款当期实际发生的利息费用，减去将尚未动用的</w:t>
      </w:r>
      <w:r>
        <w:rPr/>
        <w:t> 借款资金存入银行取得的利息收入或进行暂时性投资取得的投资收益后的金额确定。</w:t>
      </w:r>
    </w:p>
    <w:p>
      <w:pPr>
        <w:pStyle w:val="BodyText"/>
        <w:spacing w:line="316" w:lineRule="auto" w:before="19"/>
        <w:ind w:right="1131" w:firstLine="360"/>
        <w:jc w:val="both"/>
      </w:pPr>
      <w:r>
        <w:rPr>
          <w:spacing w:val="-2"/>
        </w:rPr>
        <w:t>②为购建或者生产符合资本化条件的资产而占用了一般借款的，根据累计资产支出超过专门借款部分的资产支出加权平</w:t>
      </w:r>
      <w:r>
        <w:rPr/>
        <w:t> 均数乘以所占用一般借款的资本化率，计算确定一般借款应予资本化的利息金额。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12" w:lineRule="auto" w:before="25"/>
        <w:ind w:left="1134" w:right="1131" w:firstLine="360"/>
        <w:jc w:val="both"/>
      </w:pPr>
      <w:r>
        <w:rPr>
          <w:spacing w:val="-2"/>
        </w:rPr>
        <w:t>无形资产按实际成本计量。外购的无形资产，其成本包括购买价款、相关税费以及直接归属于使该项资产达到预定用途</w:t>
      </w:r>
      <w:r>
        <w:rPr/>
        <w:t> </w:t>
      </w:r>
      <w:r>
        <w:rPr>
          <w:spacing w:val="-2"/>
        </w:rPr>
        <w:t>所发生的其他支出。采用分期付款方式购买无形资产，购买无形资产的价款超过正常信用条件延期支付，实际上具有融资性</w:t>
      </w:r>
      <w:r>
        <w:rPr>
          <w:spacing w:val="-66"/>
        </w:rPr>
        <w:t> </w:t>
      </w:r>
      <w:r>
        <w:rPr>
          <w:spacing w:val="-66"/>
        </w:rPr>
      </w:r>
      <w:r>
        <w:rPr>
          <w:spacing w:val="-2"/>
        </w:rPr>
        <w:t>质的，无形资产的成本为购买价款的现值。投资者投入的无形资产的成本，应当按照投资合同或协议约定的价值确定，在投</w:t>
      </w:r>
      <w:r>
        <w:rPr>
          <w:spacing w:val="-66"/>
        </w:rPr>
        <w:t> </w:t>
      </w:r>
      <w:r>
        <w:rPr>
          <w:spacing w:val="-66"/>
        </w:rPr>
      </w:r>
      <w:r>
        <w:rPr>
          <w:spacing w:val="-2"/>
        </w:rPr>
        <w:t>资合同或协议约定价值不公允的情况下，应按无形资产的公允价值入账。通过非货币性资产交换取得的无形资产，其初始投</w:t>
      </w:r>
      <w:r>
        <w:rPr>
          <w:spacing w:val="-66"/>
        </w:rPr>
        <w:t> </w:t>
      </w:r>
      <w:r>
        <w:rPr>
          <w:spacing w:val="-66"/>
        </w:rPr>
      </w:r>
      <w:r>
        <w:rPr/>
        <w:t>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非货币性资产交换》确定。通过债务重组取得的无形资产，其初始投资成本按照《企</w:t>
      </w:r>
      <w:r>
        <w:rPr>
          <w:spacing w:val="-83"/>
        </w:rPr>
        <w:t> </w:t>
      </w:r>
      <w:r>
        <w:rPr>
          <w:spacing w:val="-83"/>
        </w:rPr>
      </w:r>
      <w:r>
        <w:rPr>
          <w:spacing w:val="-2"/>
        </w:rPr>
        <w:t>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债务重组》确定。以同一控制下的企业吸收合并方式取得的无形资产按被合并方的账面价值确定其入</w:t>
      </w:r>
      <w:r>
        <w:rPr>
          <w:spacing w:val="-62"/>
        </w:rPr>
        <w:t> </w:t>
      </w:r>
      <w:r>
        <w:rPr>
          <w:spacing w:val="-62"/>
        </w:rPr>
      </w:r>
      <w:r>
        <w:rPr/>
        <w:t>账价值；以非同一控制下的企业吸收合并方式取得的无形资产按公允价值确定其入账价值。</w:t>
      </w:r>
    </w:p>
    <w:p>
      <w:pPr>
        <w:pStyle w:val="BodyText"/>
        <w:spacing w:line="316" w:lineRule="auto" w:before="22"/>
        <w:ind w:right="0" w:firstLine="360"/>
        <w:jc w:val="left"/>
      </w:pPr>
      <w:r>
        <w:rPr>
          <w:spacing w:val="-2"/>
        </w:rPr>
        <w:t>公司于取得无形资产时分析判断其使用寿命。使用寿命有限的无形资产自无形资产可供使用时起，至不再作为无形资产</w:t>
      </w:r>
      <w:r>
        <w:rPr/>
        <w:t> 确认时止，采用直线法分期平均摊销，计入损益。对于使用寿命不确定的无形资产不进行摊销。</w:t>
      </w:r>
    </w:p>
    <w:p>
      <w:pPr>
        <w:pStyle w:val="BodyText"/>
        <w:spacing w:line="316" w:lineRule="auto" w:before="19"/>
        <w:ind w:right="1033" w:firstLine="360"/>
        <w:jc w:val="left"/>
      </w:pPr>
      <w:r>
        <w:rPr>
          <w:spacing w:val="-2"/>
        </w:rPr>
        <w:t>公司于每年年度终了，对使用寿命有限的无形资产的使用寿命及摊销方法进行复核。如果无形资产的使用寿命及摊销方</w:t>
      </w:r>
      <w:r>
        <w:rPr/>
        <w:t> 法与以前估计不同的，改变摊销期限和摊销方法。公司在每个会计期间对使用寿命不确定的无形资产的使用寿命进行复核。 如果有证据表明无形资产的使用寿命是有限的，估计其使用寿命，并按上述规定处理。</w:t>
      </w:r>
    </w:p>
    <w:p>
      <w:pPr>
        <w:pStyle w:val="BodyText"/>
        <w:spacing w:line="240" w:lineRule="auto" w:before="19"/>
        <w:ind w:left="1493" w:right="0"/>
        <w:jc w:val="left"/>
      </w:pPr>
      <w:r>
        <w:rPr/>
        <w:t>类别及摊销期限如下：</w:t>
      </w:r>
    </w:p>
    <w:p>
      <w:pPr>
        <w:spacing w:line="240" w:lineRule="auto" w:before="0"/>
        <w:rPr>
          <w:rFonts w:ascii="宋体" w:hAnsi="宋体" w:cs="宋体" w:eastAsia="宋体" w:hint="default"/>
          <w:sz w:val="5"/>
          <w:szCs w:val="5"/>
        </w:rPr>
      </w:pPr>
    </w:p>
    <w:tbl>
      <w:tblPr>
        <w:tblW w:w="0" w:type="auto"/>
        <w:jc w:val="left"/>
        <w:tblInd w:w="1124" w:type="dxa"/>
        <w:tblLayout w:type="fixed"/>
        <w:tblCellMar>
          <w:top w:w="0" w:type="dxa"/>
          <w:left w:w="0" w:type="dxa"/>
          <w:bottom w:w="0" w:type="dxa"/>
          <w:right w:w="0" w:type="dxa"/>
        </w:tblCellMar>
        <w:tblLook w:val="01E0"/>
      </w:tblPr>
      <w:tblGrid>
        <w:gridCol w:w="4501"/>
        <w:gridCol w:w="4500"/>
      </w:tblGrid>
      <w:tr>
        <w:trPr>
          <w:trHeight w:val="352" w:hRule="exact"/>
        </w:trPr>
        <w:tc>
          <w:tcPr>
            <w:tcW w:w="4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55"/>
                <w:sz w:val="18"/>
                <w:szCs w:val="18"/>
              </w:rPr>
              <w:t> </w:t>
            </w:r>
            <w:r>
              <w:rPr>
                <w:rFonts w:ascii="宋体" w:hAnsi="宋体" w:cs="宋体" w:eastAsia="宋体" w:hint="default"/>
                <w:sz w:val="18"/>
                <w:szCs w:val="18"/>
              </w:rPr>
              <w:t>别</w:t>
            </w:r>
          </w:p>
        </w:tc>
        <w:tc>
          <w:tcPr>
            <w:tcW w:w="4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699"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r>
      <w:tr>
        <w:trPr>
          <w:trHeight w:val="353" w:hRule="exact"/>
        </w:trPr>
        <w:tc>
          <w:tcPr>
            <w:tcW w:w="4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按土地尚可使用年限</w:t>
            </w:r>
          </w:p>
        </w:tc>
      </w:tr>
      <w:tr>
        <w:trPr>
          <w:trHeight w:val="353" w:hRule="exact"/>
        </w:trPr>
        <w:tc>
          <w:tcPr>
            <w:tcW w:w="4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45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pStyle w:val="BodyText"/>
        <w:spacing w:line="240" w:lineRule="auto" w:before="10"/>
        <w:ind w:left="1494" w:right="0"/>
        <w:jc w:val="left"/>
      </w:pPr>
      <w:r>
        <w:rPr/>
        <w:t>无形资产的减值测试方法和减值准备计提方法详见附注三、（十九）</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after="0" w:line="240" w:lineRule="auto"/>
        <w:jc w:val="left"/>
        <w:sectPr>
          <w:footerReference w:type="default" r:id="rId16"/>
          <w:pgSz w:w="11910" w:h="16840"/>
          <w:pgMar w:footer="979" w:header="747" w:top="1060" w:bottom="1160" w:left="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研究开发项目研究阶段支出与开发阶段支出的划分标准：研究阶段支出指为获取并理解新的科学或技术知识而进行的独</w:t>
      </w:r>
      <w:r>
        <w:rPr/>
        <w:t> </w:t>
      </w:r>
      <w:r>
        <w:rPr>
          <w:spacing w:val="-2"/>
        </w:rPr>
        <w:t>创性的有计划调查所发生的支出；开发阶段支出是指在进行商业性生产或使用前，将研究成果或其他知识应用于某项计划或</w:t>
      </w:r>
      <w:r>
        <w:rPr>
          <w:spacing w:val="-64"/>
        </w:rPr>
        <w:t> </w:t>
      </w:r>
      <w:r>
        <w:rPr>
          <w:spacing w:val="-64"/>
        </w:rPr>
      </w:r>
      <w:r>
        <w:rPr/>
        <w:t>设计，以生产出新的或具有实质性改进的材料、装置、产品等所发生的支出。</w:t>
      </w:r>
    </w:p>
    <w:p>
      <w:pPr>
        <w:pStyle w:val="BodyText"/>
        <w:spacing w:line="316" w:lineRule="auto" w:before="17"/>
        <w:ind w:right="1033" w:firstLine="360"/>
        <w:jc w:val="left"/>
      </w:pPr>
      <w:r>
        <w:rPr/>
        <w:t>公司内部自行开发的无形资产，在研究开发项目研究阶段的支出，于发生时计入当期损益。开发项目开发阶段的支出， 只有同时满足下列条件的，才能确认为无形资产：</w:t>
      </w:r>
    </w:p>
    <w:p>
      <w:pPr>
        <w:pStyle w:val="BodyText"/>
        <w:spacing w:line="240" w:lineRule="auto" w:before="19"/>
        <w:ind w:left="1493" w:right="0"/>
        <w:jc w:val="left"/>
        <w:rPr>
          <w:rFonts w:ascii="Times New Roman" w:hAnsi="Times New Roman" w:cs="Times New Roman" w:eastAsia="Times New Roman" w:hint="default"/>
        </w:rPr>
      </w:pPr>
      <w:r>
        <w:rPr/>
        <w:t>①完成该无形资产以使其能够使用或出售在技术上具有可行性</w:t>
      </w:r>
      <w:r>
        <w:rPr>
          <w:rFonts w:ascii="Times New Roman" w:hAnsi="Times New Roman" w:cs="Times New Roman" w:eastAsia="Times New Roman" w:hint="default"/>
        </w:rPr>
        <w:t>;</w:t>
      </w:r>
    </w:p>
    <w:p>
      <w:pPr>
        <w:pStyle w:val="BodyText"/>
        <w:spacing w:line="240" w:lineRule="auto" w:before="63"/>
        <w:ind w:left="1493" w:right="0"/>
        <w:jc w:val="left"/>
        <w:rPr>
          <w:rFonts w:ascii="Times New Roman" w:hAnsi="Times New Roman" w:cs="Times New Roman" w:eastAsia="Times New Roman" w:hint="default"/>
        </w:rPr>
      </w:pPr>
      <w:r>
        <w:rPr/>
        <w:t>②具有完成该无形资产并使用或出售的意图</w:t>
      </w:r>
      <w:r>
        <w:rPr>
          <w:rFonts w:ascii="Times New Roman" w:hAnsi="Times New Roman" w:cs="Times New Roman" w:eastAsia="Times New Roman" w:hint="default"/>
        </w:rPr>
        <w:t>;</w:t>
      </w:r>
    </w:p>
    <w:p>
      <w:pPr>
        <w:pStyle w:val="BodyText"/>
        <w:spacing w:line="316" w:lineRule="auto" w:before="63"/>
        <w:ind w:right="0" w:firstLine="360"/>
        <w:jc w:val="left"/>
        <w:rPr>
          <w:rFonts w:ascii="Times New Roman" w:hAnsi="Times New Roman" w:cs="Times New Roman" w:eastAsia="Times New Roman" w:hint="default"/>
        </w:rPr>
      </w:pPr>
      <w:r>
        <w:rPr>
          <w:spacing w:val="-2"/>
        </w:rPr>
        <w:t>③无形资产产生经济利益的方式，包括能够证明运用该无形资产生产的产品存在市场或无形资产自身存在市场，无形资</w:t>
      </w:r>
      <w:r>
        <w:rPr/>
        <w:t> 产将在内部使用的，应当证明其有用性</w:t>
      </w:r>
      <w:r>
        <w:rPr>
          <w:rFonts w:ascii="Times New Roman" w:hAnsi="Times New Roman" w:cs="Times New Roman" w:eastAsia="Times New Roman" w:hint="default"/>
        </w:rPr>
        <w:t>;</w:t>
      </w:r>
    </w:p>
    <w:p>
      <w:pPr>
        <w:pStyle w:val="BodyText"/>
        <w:spacing w:line="248" w:lineRule="exact"/>
        <w:ind w:left="1493" w:right="0"/>
        <w:jc w:val="left"/>
        <w:rPr>
          <w:rFonts w:ascii="Times New Roman" w:hAnsi="Times New Roman" w:cs="Times New Roman" w:eastAsia="Times New Roman" w:hint="default"/>
        </w:rPr>
      </w:pPr>
      <w:r>
        <w:rPr/>
        <w:t>④有足够的技术、财务资源和其他资源支持，以完成该无形资产的开发，并有能力使用或出售无形资产</w:t>
      </w:r>
      <w:r>
        <w:rPr>
          <w:rFonts w:ascii="Times New Roman" w:hAnsi="Times New Roman" w:cs="Times New Roman" w:eastAsia="Times New Roman" w:hint="default"/>
        </w:rPr>
        <w:t>;</w:t>
      </w:r>
    </w:p>
    <w:p>
      <w:pPr>
        <w:pStyle w:val="BodyText"/>
        <w:spacing w:line="360" w:lineRule="auto" w:before="63"/>
        <w:ind w:left="1424" w:right="6073" w:firstLine="69"/>
        <w:jc w:val="left"/>
      </w:pPr>
      <w:r>
        <w:rPr/>
        <w:t>⑤归属于该无形资产开发阶段的支出能够可靠地计量。 对于以前期间已经费用化的开发阶段的支出不再调整。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7"/>
        <w:ind w:left="1134" w:right="1032" w:firstLine="360"/>
        <w:jc w:val="left"/>
      </w:pPr>
      <w:r>
        <w:rPr>
          <w:spacing w:val="-2"/>
        </w:rPr>
        <w:t>商誉至少在每年年度终了进行减值测试。本公司进行商誉减值测试，对于因企业合并形成的商誉的账面价值，自购买日</w:t>
      </w:r>
      <w:r>
        <w:rPr/>
        <w:t> </w:t>
      </w:r>
      <w:r>
        <w:rPr>
          <w:spacing w:val="-2"/>
        </w:rPr>
        <w:t>起按照合理的方法分摊至相关的资产组；难以分摊至相关的资产组的，将其分摊至相关的资产组组合。在将商誉的账面价值</w:t>
      </w:r>
      <w:r>
        <w:rPr>
          <w:spacing w:val="-66"/>
        </w:rPr>
        <w:t> </w:t>
      </w:r>
      <w:r>
        <w:rPr>
          <w:spacing w:val="-66"/>
        </w:rPr>
      </w:r>
      <w:r>
        <w:rPr>
          <w:spacing w:val="-2"/>
        </w:rPr>
        <w:t>分摊至相关的资产组或者资产组组合时，按照各资产组或者资产组组合的公允价值占相关资产组或者资产组组合公允价值总</w:t>
      </w:r>
      <w:r>
        <w:rPr>
          <w:spacing w:val="-64"/>
        </w:rPr>
        <w:t> </w:t>
      </w:r>
      <w:r>
        <w:rPr>
          <w:spacing w:val="-64"/>
        </w:rPr>
      </w:r>
      <w:r>
        <w:rPr>
          <w:spacing w:val="-2"/>
        </w:rPr>
        <w:t>额的比例进行分摊。公允价值难以可靠计量的，按照各资产组或者资产组组合的账面价值占相关资产组或者资产组组合账面</w:t>
      </w:r>
      <w:r>
        <w:rPr>
          <w:spacing w:val="-64"/>
        </w:rPr>
        <w:t> </w:t>
      </w:r>
      <w:r>
        <w:rPr>
          <w:spacing w:val="-64"/>
        </w:rPr>
      </w:r>
      <w:r>
        <w:rPr>
          <w:spacing w:val="-2"/>
        </w:rPr>
        <w:t>价值总额的比例进行分摊。在对包含商誉的相关资产组或者资产组组合进行减值测试时，如与商誉相关的资产组或者资产组</w:t>
      </w:r>
      <w:r>
        <w:rPr>
          <w:spacing w:val="-64"/>
        </w:rPr>
        <w:t> </w:t>
      </w:r>
      <w:r>
        <w:rPr>
          <w:spacing w:val="-64"/>
        </w:rPr>
      </w:r>
      <w:r>
        <w:rPr>
          <w:spacing w:val="-4"/>
        </w:rPr>
        <w:t>组合存在减值迹象的，先对不包含商誉的资产组或者资产组组合进行减值测试，计算可收回金额，并与相关账面价值相比较，</w:t>
      </w:r>
      <w:r>
        <w:rPr>
          <w:spacing w:val="-44"/>
        </w:rPr>
        <w:t> </w:t>
      </w:r>
      <w:r>
        <w:rPr>
          <w:spacing w:val="-44"/>
        </w:rPr>
      </w:r>
      <w:r>
        <w:rPr>
          <w:spacing w:val="-2"/>
        </w:rPr>
        <w:t>确认相应的减值损失。再对包含商誉的资产组或者资产组组合进行减值测试，比较这些相关资产组或者资产组组合的账面价</w:t>
      </w:r>
      <w:r>
        <w:rPr>
          <w:spacing w:val="-64"/>
        </w:rPr>
        <w:t> </w:t>
      </w:r>
      <w:r>
        <w:rPr>
          <w:spacing w:val="-64"/>
        </w:rPr>
      </w:r>
      <w:r>
        <w:rPr/>
        <w:t>值（包括所分摊的商誉的账面价值部分）与其可收回金额，如相关资产组或者资产组组合的可收回金额低于其账面价值的， 确认商誉的减值损失。</w:t>
      </w:r>
    </w:p>
    <w:p>
      <w:pPr>
        <w:pStyle w:val="BodyText"/>
        <w:spacing w:line="240" w:lineRule="auto" w:before="59"/>
        <w:ind w:left="1424" w:right="0"/>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1122" w:firstLine="360"/>
        <w:jc w:val="left"/>
      </w:pPr>
      <w:r>
        <w:rPr/>
        <w:t>长期待摊费用是指公司已经发生但应由本期和以后各期负担的分摊期限在</w:t>
      </w:r>
      <w:r>
        <w:rPr>
          <w:rFonts w:ascii="Times New Roman" w:hAnsi="Times New Roman" w:cs="Times New Roman" w:eastAsia="Times New Roman" w:hint="default"/>
        </w:rPr>
        <w:t>1</w:t>
      </w:r>
      <w:r>
        <w:rPr/>
        <w:t>年以上的各项费用，包括以经营租赁方式租 入的固定资产发生的改良支出等。长期待摊费用在相关项目的受益期内平均摊销。</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290"/>
        <w:jc w:val="both"/>
      </w:pPr>
      <w:r>
        <w:rPr>
          <w:spacing w:val="-1"/>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离职后福利是指公司为获得职工提供的服务而在职工退休或与公司解除劳动关系后，提供的各种形式的报酬和福利，短</w:t>
      </w:r>
      <w:r>
        <w:rPr/>
        <w:t> </w:t>
      </w:r>
      <w:r>
        <w:rPr>
          <w:spacing w:val="-2"/>
        </w:rPr>
        <w:t>期薪酬和辞退福利除外。离职后福利计划包括设定提存计划和设定受益计划。其中，设定提存计划，是指向独立的基金缴存</w:t>
      </w:r>
      <w:r>
        <w:rPr>
          <w:spacing w:val="-66"/>
        </w:rPr>
        <w:t> </w:t>
      </w:r>
      <w:r>
        <w:rPr>
          <w:spacing w:val="-66"/>
        </w:rPr>
      </w:r>
      <w:r>
        <w:rPr>
          <w:spacing w:val="-2"/>
        </w:rPr>
        <w:t>固定费用后，本公司不再承担进一步支付义务的离职后福利计划；设定受益计划，是指除设定提存计划以外的离职后福利计</w:t>
      </w:r>
      <w:r>
        <w:rPr>
          <w:spacing w:val="-66"/>
        </w:rPr>
        <w:t> </w:t>
      </w:r>
      <w:r>
        <w:rPr>
          <w:spacing w:val="-66"/>
        </w:rPr>
      </w:r>
      <w:r>
        <w:rPr/>
        <w:t>划。</w:t>
      </w:r>
    </w:p>
    <w:p>
      <w:pPr>
        <w:pStyle w:val="BodyText"/>
        <w:spacing w:line="316" w:lineRule="auto" w:before="19"/>
        <w:ind w:left="1493" w:right="0"/>
        <w:jc w:val="left"/>
      </w:pPr>
      <w:r>
        <w:rPr/>
        <w:t>①设定提存计划 </w:t>
      </w:r>
      <w:r>
        <w:rPr>
          <w:spacing w:val="-2"/>
        </w:rPr>
        <w:t>设定提存计划包括基本养老保险、失业保险。在职工为本公司提供服务的会计期间，按以当地规定的缴纳基数和比例计</w:t>
      </w:r>
    </w:p>
    <w:p>
      <w:pPr>
        <w:pStyle w:val="BodyText"/>
        <w:spacing w:line="316" w:lineRule="auto" w:before="19"/>
        <w:ind w:left="1494" w:right="1392" w:hanging="360"/>
        <w:jc w:val="left"/>
      </w:pPr>
      <w:r>
        <w:rPr/>
        <w:t>算应缴纳金额，确认为负债，并计入当期损益或相关资产成本。 在职工提供服务的会计期间，根据设定提存计划计算的应缴存金额确认为负债，并计入当期损益或相关资产成本。</w:t>
      </w:r>
    </w:p>
    <w:p>
      <w:pPr>
        <w:pStyle w:val="BodyText"/>
        <w:spacing w:line="316" w:lineRule="auto" w:before="19"/>
        <w:ind w:left="1493" w:right="0"/>
        <w:jc w:val="left"/>
      </w:pPr>
      <w:r>
        <w:rPr/>
        <w:t>②设定受益计划 </w:t>
      </w:r>
      <w:r>
        <w:rPr>
          <w:spacing w:val="-2"/>
        </w:rPr>
        <w:t>本公司根据预期累计福利单位法确定的公式将设定受益计划产生的福利义务归属于职工提供服务的期间，并计入当期损</w:t>
      </w:r>
    </w:p>
    <w:p>
      <w:pPr>
        <w:pStyle w:val="BodyText"/>
        <w:spacing w:line="240" w:lineRule="auto" w:before="19"/>
        <w:ind w:right="0"/>
        <w:jc w:val="left"/>
      </w:pPr>
      <w:r>
        <w:rPr/>
        <w:t>益或相关资产成本。本公司设定受益计划导致的职工薪酬成本包括下列组成部分：</w:t>
      </w:r>
    </w:p>
    <w:p>
      <w:pPr>
        <w:pStyle w:val="BodyText"/>
        <w:spacing w:line="309" w:lineRule="auto" w:before="76"/>
        <w:ind w:right="1132" w:firstLine="360"/>
        <w:jc w:val="both"/>
      </w:pPr>
      <w:r>
        <w:rPr>
          <w:rFonts w:ascii="Times New Roman" w:hAnsi="Times New Roman" w:cs="Times New Roman" w:eastAsia="Times New Roman" w:hint="default"/>
          <w:spacing w:val="-2"/>
        </w:rPr>
        <w:t>A.</w:t>
      </w:r>
      <w:r>
        <w:rPr>
          <w:spacing w:val="-2"/>
        </w:rPr>
        <w:t>服务成本，包括当期服务成本、过去服务成本和结算利得或损失。其中，当期服务成本，是指职工当期提供服务所导</w:t>
      </w:r>
      <w:r>
        <w:rPr/>
        <w:t> </w:t>
      </w:r>
      <w:r>
        <w:rPr>
          <w:spacing w:val="-2"/>
        </w:rPr>
        <w:t>致的设定受益计划义务现值的增加额；过去服务成本，是指设定受益计划修改所导致的与以前期间职工服务相关的设定受益</w:t>
      </w:r>
      <w:r>
        <w:rPr>
          <w:spacing w:val="-64"/>
        </w:rPr>
        <w:t> </w:t>
      </w:r>
      <w:r>
        <w:rPr>
          <w:spacing w:val="-64"/>
        </w:rPr>
      </w:r>
      <w:r>
        <w:rPr/>
        <w:t>计划义务现值的增加或减少。</w:t>
      </w:r>
    </w:p>
    <w:p>
      <w:pPr>
        <w:pStyle w:val="BodyText"/>
        <w:spacing w:line="300" w:lineRule="auto" w:before="24"/>
        <w:ind w:right="1131" w:firstLine="360"/>
        <w:jc w:val="both"/>
      </w:pPr>
      <w:r>
        <w:rPr>
          <w:rFonts w:ascii="Times New Roman" w:hAnsi="Times New Roman" w:cs="Times New Roman" w:eastAsia="Times New Roman" w:hint="default"/>
          <w:spacing w:val="-2"/>
        </w:rPr>
        <w:t>B.</w:t>
      </w:r>
      <w:r>
        <w:rPr>
          <w:spacing w:val="-2"/>
        </w:rPr>
        <w:t>设定受益计划净负债或净资产的利息净额，包括计划资产的利息收益、设定受益计划义务的利息费用以及资产上限影</w:t>
      </w:r>
      <w:r>
        <w:rPr/>
        <w:t> 响的利息。</w:t>
      </w:r>
    </w:p>
    <w:p>
      <w:pPr>
        <w:pStyle w:val="BodyText"/>
        <w:spacing w:line="340" w:lineRule="auto" w:before="31"/>
        <w:ind w:left="1424" w:right="0" w:firstLine="69"/>
        <w:jc w:val="left"/>
      </w:pPr>
      <w:r>
        <w:rPr>
          <w:rFonts w:ascii="Times New Roman" w:hAnsi="Times New Roman" w:cs="Times New Roman" w:eastAsia="Times New Roman" w:hint="default"/>
        </w:rPr>
        <w:t>C.</w:t>
      </w:r>
      <w:r>
        <w:rPr/>
        <w:t>重新计量设定受益计划净负债或净资产所产生的变动。 </w:t>
      </w:r>
      <w:r>
        <w:rPr>
          <w:spacing w:val="-1"/>
        </w:rPr>
        <w:t>除非其他会计准则要求或允许职工福利成本计入资产成本，本公司将上述第</w:t>
      </w:r>
      <w:r>
        <w:rPr>
          <w:rFonts w:ascii="Times New Roman" w:hAnsi="Times New Roman" w:cs="Times New Roman" w:eastAsia="Times New Roman" w:hint="default"/>
          <w:spacing w:val="-1"/>
        </w:rPr>
        <w:t>A</w:t>
      </w:r>
      <w:r>
        <w:rPr>
          <w:spacing w:val="-1"/>
        </w:rPr>
        <w:t>和</w:t>
      </w:r>
      <w:r>
        <w:rPr>
          <w:rFonts w:ascii="Times New Roman" w:hAnsi="Times New Roman" w:cs="Times New Roman" w:eastAsia="Times New Roman" w:hint="default"/>
          <w:spacing w:val="-1"/>
        </w:rPr>
        <w:t>B</w:t>
      </w:r>
      <w:r>
        <w:rPr>
          <w:spacing w:val="-1"/>
        </w:rPr>
        <w:t>项计入当期损益；第</w:t>
      </w:r>
      <w:r>
        <w:rPr>
          <w:rFonts w:ascii="Times New Roman" w:hAnsi="Times New Roman" w:cs="Times New Roman" w:eastAsia="Times New Roman" w:hint="default"/>
          <w:spacing w:val="-1"/>
        </w:rPr>
        <w:t>C</w:t>
      </w:r>
      <w:r>
        <w:rPr>
          <w:spacing w:val="-1"/>
        </w:rPr>
        <w:t>项计入其他综合</w:t>
      </w:r>
    </w:p>
    <w:p>
      <w:pPr>
        <w:pStyle w:val="BodyText"/>
        <w:spacing w:line="216" w:lineRule="exact"/>
        <w:ind w:right="0"/>
        <w:jc w:val="left"/>
      </w:pPr>
      <w:r>
        <w:rPr/>
        <w:t>收益且不会在后续会计期间转回至损益，但可以在权益范围内转移这些在其他综合收益中确认的金额。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辞退福利是指公司在职工劳动合同到期之前解除与职工的劳动关系，或者为鼓励职工自愿接受裁减而给予职工的补偿。 </w:t>
      </w:r>
      <w:r>
        <w:rPr>
          <w:spacing w:val="-2"/>
        </w:rPr>
        <w:t>公司向职工提供辞退福利的，在下列两者孰早日确认辞退福利产生的职工薪酬负债，并计入当期损益：公司不能单方面撤回</w:t>
      </w:r>
      <w:r>
        <w:rPr>
          <w:spacing w:val="-66"/>
        </w:rPr>
        <w:t> </w:t>
      </w:r>
      <w:r>
        <w:rPr>
          <w:spacing w:val="-66"/>
        </w:rPr>
      </w:r>
      <w:r>
        <w:rPr/>
        <w:t>因解除劳动关系计划或裁减建议所提供的辞退福利时；公司确认与涉及支付辞退福利的重组相关的成本或费用时。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8" w:firstLine="360"/>
        <w:jc w:val="left"/>
      </w:pPr>
      <w:r>
        <w:rPr>
          <w:spacing w:val="-4"/>
        </w:rPr>
        <w:t>其他长期职工福利，是指除短期薪酬、离职后福利、辞退福利之外所有的职工薪酬，包括长期带薪缺勤、长期残疾福利、</w:t>
      </w:r>
      <w:r>
        <w:rPr/>
        <w:t> </w:t>
      </w:r>
      <w:r>
        <w:rPr>
          <w:spacing w:val="-2"/>
        </w:rPr>
        <w:t>长期利润分享计划等。本公司向职工提供的其他长期职工福利，符合设定提存计划条件的，按照设定提存计划的有关规定进</w:t>
      </w:r>
      <w:r>
        <w:rPr>
          <w:spacing w:val="-66"/>
        </w:rPr>
        <w:t> </w:t>
      </w:r>
      <w:r>
        <w:rPr>
          <w:spacing w:val="-66"/>
        </w:rPr>
      </w:r>
      <w:r>
        <w:rPr>
          <w:spacing w:val="-1"/>
        </w:rPr>
        <w:t>行处理</w:t>
      </w:r>
      <w:r>
        <w:rPr>
          <w:rFonts w:ascii="Times New Roman" w:hAnsi="Times New Roman" w:cs="Times New Roman" w:eastAsia="Times New Roman" w:hint="default"/>
          <w:spacing w:val="-1"/>
        </w:rPr>
        <w:t>;</w:t>
      </w:r>
      <w:r>
        <w:rPr>
          <w:spacing w:val="-1"/>
        </w:rPr>
        <w:t>除上述情形外的其他长期职工福利，按照设定受益计划的有关规定，确认和计量其他长期职工福利净负债或净资产。</w:t>
      </w:r>
      <w:r>
        <w:rPr>
          <w:spacing w:val="-79"/>
        </w:rPr>
        <w:t> </w:t>
      </w:r>
      <w:r>
        <w:rPr>
          <w:spacing w:val="-79"/>
        </w:rPr>
      </w:r>
      <w:r>
        <w:rPr/>
        <w:t>在报告期末，公司将其他长期职工福利产生的福利义务归属于职工提供服务期间，并计入当期损益或相关资产成本。</w:t>
      </w:r>
    </w:p>
    <w:p>
      <w:pPr>
        <w:spacing w:after="0" w:line="31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44" w:firstLine="360"/>
        <w:jc w:val="both"/>
      </w:pPr>
      <w:r>
        <w:rPr>
          <w:spacing w:val="-2"/>
        </w:rPr>
        <w:t>公司如果与或有事项相关的义务同时符合以下条件，则将其确认为负债：（</w:t>
      </w:r>
      <w:r>
        <w:rPr>
          <w:rFonts w:ascii="Times New Roman" w:hAnsi="Times New Roman" w:cs="Times New Roman" w:eastAsia="Times New Roman" w:hint="default"/>
          <w:spacing w:val="-2"/>
        </w:rPr>
        <w:t>1</w:t>
      </w:r>
      <w:r>
        <w:rPr>
          <w:spacing w:val="-2"/>
        </w:rPr>
        <w:t>）该义务是公司承担的现时义务；（</w:t>
      </w:r>
      <w:r>
        <w:rPr>
          <w:rFonts w:ascii="Times New Roman" w:hAnsi="Times New Roman" w:cs="Times New Roman" w:eastAsia="Times New Roman" w:hint="default"/>
          <w:spacing w:val="-2"/>
        </w:rPr>
        <w:t>2</w:t>
      </w:r>
      <w:r>
        <w:rPr>
          <w:spacing w:val="-2"/>
        </w:rPr>
        <w:t>）该</w:t>
      </w:r>
      <w:r>
        <w:rPr>
          <w:spacing w:val="-12"/>
        </w:rPr>
        <w:t> </w:t>
      </w:r>
      <w:r>
        <w:rPr/>
        <w:t>义务的履行可能导致经济利益的流出；（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033" w:firstLine="360"/>
        <w:jc w:val="left"/>
      </w:pPr>
      <w:r>
        <w:rPr/>
        <w:t>预计负债所需支出全部或部分预期由第三方或其他方补偿时，或者补偿金额在基本确定能收到时，作为资产单独确认， </w:t>
      </w:r>
      <w:r>
        <w:rPr>
          <w:spacing w:val="-2"/>
        </w:rPr>
        <w:t>确认的补偿金额不超过所确认负债的账面价值。预计负债按照履行相关现时义务所需支出的最佳估计数进行初始计量，并综</w:t>
      </w:r>
      <w:r>
        <w:rPr>
          <w:spacing w:val="-64"/>
        </w:rPr>
        <w:t> </w:t>
      </w:r>
      <w:r>
        <w:rPr>
          <w:spacing w:val="-64"/>
        </w:rPr>
      </w:r>
      <w:r>
        <w:rPr>
          <w:spacing w:val="-2"/>
        </w:rPr>
        <w:t>合考虑与或有事项有关的风险、不确定性和货币时间价值等因素。货币时间价值影响重大的，通过对相关未来现金流出进行</w:t>
      </w:r>
      <w:r>
        <w:rPr>
          <w:spacing w:val="-66"/>
        </w:rPr>
        <w:t> </w:t>
      </w:r>
      <w:r>
        <w:rPr>
          <w:spacing w:val="-66"/>
        </w:rPr>
      </w:r>
      <w:r>
        <w:rPr/>
        <w:t>折现后确定最佳估计数。</w:t>
      </w:r>
    </w:p>
    <w:p>
      <w:pPr>
        <w:pStyle w:val="BodyText"/>
        <w:spacing w:line="316" w:lineRule="auto" w:before="19"/>
        <w:ind w:right="1050" w:firstLine="360"/>
        <w:jc w:val="both"/>
      </w:pPr>
      <w:r>
        <w:rPr/>
        <w:t>在资产负债表日，公司对预计负债的账面价值进行复核，有确凿证据表明该账面价值不能真实反映当前最佳估计数的， 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33" w:right="4873" w:hanging="300"/>
        <w:jc w:val="left"/>
      </w:pPr>
      <w:r>
        <w:rPr>
          <w:rFonts w:ascii="Times New Roman" w:hAnsi="Times New Roman" w:cs="Times New Roman" w:eastAsia="Times New Roman" w:hint="default"/>
        </w:rPr>
        <w:t>1</w:t>
      </w:r>
      <w:r>
        <w:rPr/>
        <w:t>、股份支付的种类 公司的股份支付分为以现金结算的股份支付和以权益结算的股份支付。</w:t>
      </w:r>
    </w:p>
    <w:p>
      <w:pPr>
        <w:pStyle w:val="BodyText"/>
        <w:spacing w:line="316" w:lineRule="auto" w:before="31"/>
        <w:ind w:right="1133" w:firstLine="300"/>
        <w:jc w:val="both"/>
      </w:pPr>
      <w:r>
        <w:rPr>
          <w:spacing w:val="-1"/>
        </w:rPr>
        <w:t>以权益结算的股份支付，按授予职工权益工具的公允价值计量。授予后立即可行权的，在授予日按照权益工具的公允价</w:t>
      </w:r>
      <w:r>
        <w:rPr/>
        <w:t> </w:t>
      </w: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6" w:lineRule="auto" w:before="19"/>
        <w:ind w:right="1131" w:firstLine="300"/>
        <w:jc w:val="both"/>
      </w:pPr>
      <w:r>
        <w:rPr>
          <w:spacing w:val="-1"/>
        </w:rPr>
        <w:t>以现金结算的股份支付，按照公司承担的以股份或其他权益工具为基础计算确定的负债的公允价值计量。授予后立即可</w:t>
      </w:r>
      <w:r>
        <w:rPr/>
        <w:t> </w:t>
      </w:r>
      <w:r>
        <w:rPr>
          <w:spacing w:val="-2"/>
        </w:rPr>
        <w:t>行权的，在授予日以公司承担负债的公允价值计入相关成本或费用，相应增加负债。在完成等待期内的服务或达到规定业绩</w:t>
      </w:r>
      <w:r>
        <w:rPr>
          <w:spacing w:val="-66"/>
        </w:rPr>
        <w:t> </w:t>
      </w:r>
      <w:r>
        <w:rPr>
          <w:spacing w:val="-66"/>
        </w:rPr>
      </w:r>
      <w:r>
        <w:rPr>
          <w:spacing w:val="-2"/>
        </w:rPr>
        <w:t>条件以后才可行权的以现金结算的股份支付，在等待期内的每个资产负债表日，以对可行权情况的最佳估计为基础，按照公</w:t>
      </w:r>
      <w:r>
        <w:rPr>
          <w:spacing w:val="-66"/>
        </w:rPr>
        <w:t> </w:t>
      </w:r>
      <w:r>
        <w:rPr>
          <w:spacing w:val="-66"/>
        </w:rPr>
      </w:r>
      <w:r>
        <w:rPr>
          <w:spacing w:val="-2"/>
        </w:rPr>
        <w:t>司承担负债的公允价值金额，将当期取得的服务计入成本或费用和相应的负债。在相关负债结算前的每个资产负债表日以及</w:t>
      </w:r>
      <w:r>
        <w:rPr>
          <w:spacing w:val="-64"/>
        </w:rPr>
        <w:t> </w:t>
      </w:r>
      <w:r>
        <w:rPr>
          <w:spacing w:val="-64"/>
        </w:rPr>
      </w:r>
      <w:r>
        <w:rPr/>
        <w:t>结算日，对负债的公允价值重新计量，其变动计入当期损益。</w:t>
      </w:r>
    </w:p>
    <w:p>
      <w:pPr>
        <w:pStyle w:val="BodyText"/>
        <w:spacing w:line="300" w:lineRule="auto" w:before="19"/>
        <w:ind w:left="1351" w:right="0" w:hanging="218"/>
        <w:jc w:val="left"/>
      </w:pPr>
      <w:r>
        <w:rPr>
          <w:rFonts w:ascii="Times New Roman" w:hAnsi="Times New Roman" w:cs="Times New Roman" w:eastAsia="Times New Roman" w:hint="default"/>
        </w:rPr>
        <w:t>2</w:t>
      </w:r>
      <w:r>
        <w:rPr/>
        <w:t>、实施、修改、终止股份支付计划的相关会计处理 无论已授予的权益工具的条款和条件如何修改，甚至取消权益工具的授予或结算该权益工具，公司都应至少确认按照所</w:t>
      </w:r>
    </w:p>
    <w:p>
      <w:pPr>
        <w:pStyle w:val="BodyText"/>
        <w:spacing w:line="316" w:lineRule="auto" w:before="31"/>
        <w:ind w:left="1134" w:right="1118"/>
        <w:jc w:val="left"/>
      </w:pPr>
      <w:r>
        <w:rPr>
          <w:spacing w:val="-2"/>
        </w:rPr>
        <w:t>授予的权益工具在授予日的公允价值来计量获取的相应的服务，除非因不能满足权益工具的可行权条件（除市场条件外）而</w:t>
      </w:r>
      <w:r>
        <w:rPr>
          <w:spacing w:val="-66"/>
        </w:rPr>
        <w:t> </w:t>
      </w:r>
      <w:r>
        <w:rPr>
          <w:spacing w:val="-66"/>
        </w:rPr>
      </w:r>
      <w:r>
        <w:rPr/>
        <w:t>无法可行权。</w:t>
      </w:r>
    </w:p>
    <w:p>
      <w:pPr>
        <w:pStyle w:val="BodyText"/>
        <w:spacing w:line="316" w:lineRule="auto" w:before="19"/>
        <w:ind w:left="1134" w:right="1133" w:firstLine="300"/>
        <w:jc w:val="both"/>
      </w:pPr>
      <w:r>
        <w:rPr>
          <w:spacing w:val="-1"/>
        </w:rPr>
        <w:t>如果公司在等待期内取消了所授予的权益工具或结算了所授予的权益工具（因未满足可行权条件而被取消的除外），处</w:t>
      </w:r>
      <w:r>
        <w:rPr/>
        <w:t> 理如下：</w:t>
      </w:r>
    </w:p>
    <w:p>
      <w:pPr>
        <w:pStyle w:val="BodyText"/>
        <w:spacing w:line="304" w:lineRule="auto" w:before="19"/>
        <w:ind w:left="1134" w:right="0" w:firstLine="145"/>
        <w:jc w:val="left"/>
      </w:pPr>
      <w:r>
        <w:rPr>
          <w:rFonts w:ascii="Times New Roman" w:hAnsi="Times New Roman" w:cs="Times New Roman" w:eastAsia="Times New Roman" w:hint="default"/>
        </w:rPr>
        <w:t>(1)</w:t>
      </w:r>
      <w:r>
        <w:rPr/>
        <w:t>将取消或结算作为加速可行权处理，立即确认原本应在剩余等待期内确认的金额。</w:t>
      </w:r>
      <w:r>
        <w:rPr>
          <w:w w:val="99"/>
        </w:rPr>
        <w:t> </w:t>
      </w:r>
      <w:r>
        <w:rPr>
          <w:rFonts w:ascii="Times New Roman" w:hAnsi="Times New Roman" w:cs="Times New Roman" w:eastAsia="Times New Roman" w:hint="default"/>
        </w:rPr>
        <w:t>(2)</w:t>
      </w:r>
      <w:r>
        <w:rPr/>
        <w:t>在取消或结算时支付给职工的所有款项均应作为权益的回购处理，回购支付的金额高于该权益工具在回购日公允价值</w:t>
      </w:r>
      <w:r>
        <w:rPr>
          <w:spacing w:val="-38"/>
        </w:rPr>
        <w:t> </w:t>
      </w:r>
      <w:r>
        <w:rPr>
          <w:spacing w:val="-38"/>
        </w:rPr>
      </w:r>
      <w:r>
        <w:rPr/>
        <w:t>的部分，计入当期费用。</w:t>
      </w:r>
      <w:r>
        <w:rPr>
          <w:w w:val="99"/>
        </w:rPr>
        <w:t> </w:t>
      </w:r>
      <w:r>
        <w:rPr>
          <w:rFonts w:ascii="Times New Roman" w:hAnsi="Times New Roman" w:cs="Times New Roman" w:eastAsia="Times New Roman" w:hint="default"/>
        </w:rPr>
        <w:t>(3)</w:t>
      </w:r>
      <w:r>
        <w:rPr/>
        <w:t>如果向职工授予新的权益工具，并在新权益工具授予日认定所授予的新权益工具是用于替代被取消的权益工具的，公</w:t>
      </w:r>
      <w:r>
        <w:rPr>
          <w:spacing w:val="-38"/>
        </w:rPr>
        <w:t> </w:t>
      </w:r>
      <w:r>
        <w:rPr>
          <w:spacing w:val="-38"/>
        </w:rPr>
      </w:r>
      <w:r>
        <w:rPr/>
        <w:t>司应以处理原权益工具条款和条件修改相同的方式，对所授予的替代权益工具进行处理。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left="1134"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公司是否需要遵守特殊行业的披露要求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240" w:lineRule="auto" w:before="115"/>
        <w:ind w:left="1494" w:right="0"/>
        <w:jc w:val="left"/>
      </w:pPr>
      <w:r>
        <w:rPr/>
        <w:t>本公司对收入的具体确认原则如下：</w:t>
      </w:r>
    </w:p>
    <w:p>
      <w:pPr>
        <w:pStyle w:val="BodyText"/>
        <w:spacing w:line="300" w:lineRule="auto" w:before="76"/>
        <w:ind w:left="1493" w:right="1118"/>
        <w:jc w:val="left"/>
      </w:pPr>
      <w:r>
        <w:rPr>
          <w:rFonts w:ascii="Times New Roman" w:hAnsi="Times New Roman" w:cs="Times New Roman" w:eastAsia="Times New Roman" w:hint="default"/>
        </w:rPr>
        <w:t>(1)</w:t>
      </w:r>
      <w:r>
        <w:rPr/>
        <w:t>、销售商品</w:t>
      </w:r>
      <w:r>
        <w:rPr>
          <w:w w:val="99"/>
        </w:rPr>
        <w:t> </w:t>
      </w:r>
      <w:r>
        <w:rPr>
          <w:spacing w:val="-2"/>
        </w:rPr>
        <w:t>在公司已将商品所有权上的主要风险和报酬转移给购货方；公司既没有保留通常与所有权相联系的继续管理权，也没有</w:t>
      </w:r>
    </w:p>
    <w:p>
      <w:pPr>
        <w:pStyle w:val="BodyText"/>
        <w:spacing w:line="316" w:lineRule="auto" w:before="32"/>
        <w:ind w:right="1133"/>
        <w:jc w:val="both"/>
      </w:pPr>
      <w:r>
        <w:rPr>
          <w:spacing w:val="-2"/>
        </w:rPr>
        <w:t>对已售出的商品实施有效控制；收入的金额能够可靠地计量；相关的经济利益很可能流入企业；相关的已发生或将发生的成</w:t>
      </w:r>
      <w:r>
        <w:rPr>
          <w:spacing w:val="-66"/>
        </w:rPr>
        <w:t> </w:t>
      </w:r>
      <w:r>
        <w:rPr>
          <w:spacing w:val="-66"/>
        </w:rPr>
      </w:r>
      <w:r>
        <w:rPr/>
        <w:t>本能够可靠地计量时，确认销售商品收入的实现。</w:t>
      </w:r>
    </w:p>
    <w:p>
      <w:pPr>
        <w:pStyle w:val="BodyText"/>
        <w:spacing w:line="240" w:lineRule="auto" w:before="19"/>
        <w:ind w:left="1493" w:right="0"/>
        <w:jc w:val="left"/>
      </w:pPr>
      <w:r>
        <w:rPr/>
        <w:t>本公司商品销售主要包括产品化软件销售收入和硬件及耗材销售收入，其收入的具体确认原则如下：</w:t>
      </w:r>
    </w:p>
    <w:p>
      <w:pPr>
        <w:pStyle w:val="BodyText"/>
        <w:spacing w:line="316" w:lineRule="auto" w:before="76"/>
        <w:ind w:right="1131" w:firstLine="360"/>
        <w:jc w:val="both"/>
      </w:pPr>
      <w:r>
        <w:rPr>
          <w:spacing w:val="-2"/>
        </w:rPr>
        <w:t>①产品化软件销售收入是指本公司销售自主研发的软件产品收入。公司自主研发的软件产品是指获得了软件产品登记证</w:t>
      </w:r>
      <w:r>
        <w:rPr/>
        <w:t> </w:t>
      </w:r>
      <w:r>
        <w:rPr>
          <w:spacing w:val="-2"/>
        </w:rPr>
        <w:t>书，具有较强的行业通用性，客户需求差异性较小，并且可以批量复制销售的应用软件。对于产品化软件销售，本公司在按</w:t>
      </w:r>
      <w:r>
        <w:rPr>
          <w:spacing w:val="-66"/>
        </w:rPr>
        <w:t> </w:t>
      </w:r>
      <w:r>
        <w:rPr>
          <w:spacing w:val="-66"/>
        </w:rPr>
      </w:r>
      <w:r>
        <w:rPr>
          <w:spacing w:val="-2"/>
        </w:rPr>
        <w:t>照合同约定内容向购买方移交，并完成安装、调试工作，取得了购买方的确认单，并同时满足上述销售商品收入确认条件时</w:t>
      </w:r>
      <w:r>
        <w:rPr>
          <w:spacing w:val="-66"/>
        </w:rPr>
        <w:t> </w:t>
      </w:r>
      <w:r>
        <w:rPr>
          <w:spacing w:val="-66"/>
        </w:rPr>
      </w:r>
      <w:r>
        <w:rPr/>
        <w:t>确认软件产品销售收入。</w:t>
      </w:r>
    </w:p>
    <w:p>
      <w:pPr>
        <w:pStyle w:val="BodyText"/>
        <w:spacing w:line="316" w:lineRule="auto" w:before="19"/>
        <w:ind w:right="1132" w:firstLine="360"/>
        <w:jc w:val="both"/>
      </w:pPr>
      <w:r>
        <w:rPr>
          <w:spacing w:val="-2"/>
        </w:rPr>
        <w:t>②硬件及耗材销售收入是指公司应客户要求代其外购硬件系统及相关第三方软件等，并安装调试所获得的收入。硬件销</w:t>
      </w:r>
      <w:r>
        <w:rPr/>
        <w:t> </w:t>
      </w:r>
      <w:r>
        <w:rPr>
          <w:spacing w:val="-2"/>
        </w:rPr>
        <w:t>售收入在按照合同约定内容向购买方移交了所提供的代购硬件设备或第三方软件的所有权，取得了购买方的验收单，并同时</w:t>
      </w:r>
      <w:r>
        <w:rPr>
          <w:spacing w:val="-64"/>
        </w:rPr>
        <w:t> </w:t>
      </w:r>
      <w:r>
        <w:rPr>
          <w:spacing w:val="-64"/>
        </w:rPr>
      </w:r>
      <w:r>
        <w:rPr/>
        <w:t>满足上述销售商品收入确认条件时确认硬件销售收入。</w:t>
      </w:r>
    </w:p>
    <w:p>
      <w:pPr>
        <w:pStyle w:val="BodyText"/>
        <w:spacing w:line="300" w:lineRule="auto" w:before="19"/>
        <w:ind w:left="1493" w:right="1118"/>
        <w:jc w:val="left"/>
      </w:pPr>
      <w:r>
        <w:rPr>
          <w:rFonts w:ascii="Times New Roman" w:hAnsi="Times New Roman" w:cs="Times New Roman" w:eastAsia="Times New Roman" w:hint="default"/>
        </w:rPr>
        <w:t>(2)</w:t>
      </w:r>
      <w:r>
        <w:rPr/>
        <w:t>、提供劳务</w:t>
      </w:r>
      <w:r>
        <w:rPr>
          <w:w w:val="99"/>
        </w:rPr>
        <w:t> </w:t>
      </w:r>
      <w:r>
        <w:rPr>
          <w:spacing w:val="-2"/>
        </w:rPr>
        <w:t>在资产负债表日提供劳务交易的结果能够可靠估计的，采用完工百分比法确认提供劳务的收入。在资产负债表日提供劳</w:t>
      </w:r>
    </w:p>
    <w:p>
      <w:pPr>
        <w:pStyle w:val="BodyText"/>
        <w:spacing w:line="316" w:lineRule="auto" w:before="31"/>
        <w:ind w:right="1133"/>
        <w:jc w:val="both"/>
      </w:pPr>
      <w:r>
        <w:rPr>
          <w:spacing w:val="-2"/>
        </w:rPr>
        <w:t>务交易的结果不能够可靠估计的，分别下列情况处理：已经发生的劳务成本预计能够得到补偿的，按照已经发生的劳务成本</w:t>
      </w:r>
      <w:r>
        <w:rPr>
          <w:spacing w:val="-66"/>
        </w:rPr>
        <w:t> </w:t>
      </w:r>
      <w:r>
        <w:rPr>
          <w:spacing w:val="-66"/>
        </w:rPr>
      </w:r>
      <w:r>
        <w:rPr>
          <w:spacing w:val="-2"/>
        </w:rPr>
        <w:t>金额确认提供劳务收入，并按相同的金额结转劳务成本；已经发生的劳务成本预计不能够得到补偿的，应当将已经发生的劳</w:t>
      </w:r>
      <w:r>
        <w:rPr>
          <w:spacing w:val="-66"/>
        </w:rPr>
        <w:t> </w:t>
      </w:r>
      <w:r>
        <w:rPr>
          <w:spacing w:val="-66"/>
        </w:rPr>
      </w:r>
      <w:r>
        <w:rPr/>
        <w:t>务成本转入当期损益，不确认提供劳务收入。</w:t>
      </w:r>
    </w:p>
    <w:p>
      <w:pPr>
        <w:pStyle w:val="BodyText"/>
        <w:spacing w:line="240" w:lineRule="auto" w:before="19"/>
        <w:ind w:left="1493" w:right="0"/>
        <w:jc w:val="left"/>
      </w:pPr>
      <w:r>
        <w:rPr/>
        <w:t>本公司提供劳务主要包括定制化软件开发收入和技术服务收入，其收入的具体确认原则如下：</w:t>
      </w:r>
    </w:p>
    <w:p>
      <w:pPr>
        <w:pStyle w:val="BodyText"/>
        <w:spacing w:line="316" w:lineRule="auto" w:before="76"/>
        <w:ind w:right="1049" w:firstLine="360"/>
        <w:jc w:val="both"/>
      </w:pPr>
      <w:r>
        <w:rPr/>
        <w:t>①软件开发收入是指公司接受客户委托，针对客户提出的软件需求进行研究开发所获得的收入。公司在劳务已经提供， 收到价款或取得收款的依据，获取了开发项目服务成果确认资料后确认收入的实现。</w:t>
      </w:r>
    </w:p>
    <w:p>
      <w:pPr>
        <w:pStyle w:val="BodyText"/>
        <w:spacing w:line="312" w:lineRule="auto" w:before="19"/>
        <w:ind w:right="1131" w:firstLine="360"/>
        <w:jc w:val="both"/>
      </w:pPr>
      <w:r>
        <w:rPr>
          <w:spacing w:val="-2"/>
        </w:rPr>
        <w:t>②技术服务收入是指公司向客户提供专业的技术服务实现的收入。本公司的技术服务收入通常包含但不限于向客户提供</w:t>
      </w:r>
      <w:r>
        <w:rPr/>
        <w:t> </w:t>
      </w:r>
      <w:r>
        <w:rPr>
          <w:spacing w:val="-2"/>
        </w:rPr>
        <w:t>的与</w:t>
      </w:r>
      <w:r>
        <w:rPr>
          <w:rFonts w:ascii="Times New Roman" w:hAnsi="Times New Roman" w:cs="Times New Roman" w:eastAsia="Times New Roman" w:hint="default"/>
          <w:spacing w:val="-2"/>
        </w:rPr>
        <w:t>IT</w:t>
      </w:r>
      <w:r>
        <w:rPr>
          <w:spacing w:val="-2"/>
        </w:rPr>
        <w:t>运维管理相关的技术支持、技术咨询、系统维护、运营管理等服务内容。公司根据与客户签订的相关合同约定的合同</w:t>
      </w:r>
      <w:r>
        <w:rPr>
          <w:spacing w:val="-52"/>
        </w:rPr>
        <w:t> </w:t>
      </w:r>
      <w:r>
        <w:rPr>
          <w:spacing w:val="-52"/>
        </w:rPr>
      </w:r>
      <w:r>
        <w:rPr>
          <w:spacing w:val="-2"/>
        </w:rPr>
        <w:t>总额与服务期间，按提供劳务的进度确认收入。合同明确约定服务成果需经客户验收确认的，根据取得的客户验收单据确认</w:t>
      </w:r>
      <w:r>
        <w:rPr>
          <w:spacing w:val="-66"/>
        </w:rPr>
        <w:t> </w:t>
      </w:r>
      <w:r>
        <w:rPr>
          <w:spacing w:val="-66"/>
        </w:rPr>
      </w:r>
      <w:r>
        <w:rPr/>
        <w:t>收入。</w:t>
      </w:r>
    </w:p>
    <w:p>
      <w:pPr>
        <w:pStyle w:val="BodyText"/>
        <w:spacing w:line="316" w:lineRule="auto" w:before="22"/>
        <w:ind w:left="1134" w:right="1131" w:firstLine="360"/>
        <w:jc w:val="both"/>
      </w:pPr>
      <w:r>
        <w:rPr>
          <w:spacing w:val="-2"/>
        </w:rPr>
        <w:t>合同中涉及两项以上业务，如合同中能明确区分各项业务合同金额时，按照上述业务收入确认原则分别确认收入；如合</w:t>
      </w:r>
      <w:r>
        <w:rPr/>
        <w:t> 同中未能明确区分各项业务金额时，按照合同主要业务归属收入确认原则确认收入。</w:t>
      </w:r>
    </w:p>
    <w:p>
      <w:pPr>
        <w:pStyle w:val="BodyText"/>
        <w:spacing w:line="300" w:lineRule="auto" w:before="19"/>
        <w:ind w:left="1494" w:right="0"/>
        <w:jc w:val="left"/>
      </w:pPr>
      <w:r>
        <w:rPr>
          <w:rFonts w:ascii="Times New Roman" w:hAnsi="Times New Roman" w:cs="Times New Roman" w:eastAsia="Times New Roman" w:hint="default"/>
        </w:rPr>
        <w:t>(3)</w:t>
      </w:r>
      <w:r>
        <w:rPr/>
        <w:t>、让渡资产使用权</w:t>
      </w:r>
      <w:r>
        <w:rPr>
          <w:w w:val="99"/>
        </w:rPr>
        <w:t> </w:t>
      </w:r>
      <w:r>
        <w:rPr>
          <w:spacing w:val="-2"/>
        </w:rPr>
        <w:t>提供资金的利息收入，按照他人使用公司货币资金的时间和实际利率计算确定；他人使用公司非现金资产，发生的使用</w:t>
      </w:r>
    </w:p>
    <w:p>
      <w:pPr>
        <w:pStyle w:val="BodyText"/>
        <w:spacing w:line="316" w:lineRule="auto" w:before="31"/>
        <w:ind w:left="1134" w:right="1133"/>
        <w:jc w:val="both"/>
      </w:pPr>
      <w:r>
        <w:rPr>
          <w:spacing w:val="-2"/>
        </w:rPr>
        <w:t>费收入按照有关合同或协议约定的收费时间和方法计算确定。让渡资产使用权收入应同时满足下列条件的，予以确认：相关</w:t>
      </w:r>
      <w:r>
        <w:rPr>
          <w:spacing w:val="-66"/>
        </w:rPr>
        <w:t> </w:t>
      </w:r>
      <w:r>
        <w:rPr>
          <w:spacing w:val="-66"/>
        </w:rPr>
      </w:r>
      <w:r>
        <w:rPr/>
        <w:t>的经济利益很可能流入企业；收入的金额能够可靠地计量。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4" w:right="0"/>
        <w:jc w:val="both"/>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与资产相关的政府补助判断依据及会计处理方法" w:id="208"/>
      <w:bookmarkEnd w:id="20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360"/>
        <w:jc w:val="both"/>
      </w:pPr>
      <w:r>
        <w:rPr>
          <w:spacing w:val="-2"/>
        </w:rPr>
        <w:t>与资产相关的政府补助，在取得时冲减相关资产的账面价值或确认为递延收益。确认为递延收益的，在相关资产使用寿</w:t>
      </w:r>
      <w:r>
        <w:rPr/>
        <w:t> 命内按照合理、系统的方法分期计入损益。按照名义金额计量的政府补助，直接计入当期损益。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与收益相关的政府补助判断依据及会计处理方法" w:id="209"/>
      <w:bookmarkEnd w:id="20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8" w:right="0"/>
        <w:jc w:val="left"/>
      </w:pPr>
      <w:r>
        <w:rPr>
          <w:rFonts w:ascii="Times New Roman" w:hAnsi="Times New Roman" w:cs="Times New Roman" w:eastAsia="Times New Roman" w:hint="default"/>
        </w:rPr>
        <w:t>A</w:t>
      </w:r>
      <w:r>
        <w:rPr/>
        <w:t>、用于补偿公司以后期间的相关成本费用或损失的，在取得时确认为递延收益，并在确认相关成本费用或损失的期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间，计入当期损益或冲减相关成本。</w:t>
      </w:r>
    </w:p>
    <w:p>
      <w:pPr>
        <w:pStyle w:val="BodyText"/>
        <w:spacing w:line="240" w:lineRule="auto" w:before="76"/>
        <w:ind w:left="1558" w:right="0"/>
        <w:jc w:val="left"/>
      </w:pPr>
      <w:r>
        <w:rPr>
          <w:rFonts w:ascii="Times New Roman" w:hAnsi="Times New Roman" w:cs="Times New Roman" w:eastAsia="Times New Roman" w:hint="default"/>
        </w:rPr>
        <w:t>B</w:t>
      </w:r>
      <w:r>
        <w:rPr/>
        <w:t>、用于补偿公司已发生的相关成本费用或损失的，在取得时直接计入当期损益或冲减相关成本。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公司在取得资产、负债时，确定其计税基础。资产、负债的账面价值与其计税基础存在的暂时性差异，按照规定确认所</w:t>
      </w:r>
      <w:r>
        <w:rPr/>
        <w:t> 产生的递延所得税资产或递延所得税负债。</w:t>
      </w:r>
    </w:p>
    <w:p>
      <w:pPr>
        <w:pStyle w:val="BodyText"/>
        <w:spacing w:line="240" w:lineRule="auto" w:before="19"/>
        <w:ind w:left="1493" w:right="0"/>
        <w:jc w:val="left"/>
      </w:pPr>
      <w:r>
        <w:rPr>
          <w:rFonts w:ascii="Times New Roman" w:hAnsi="Times New Roman" w:cs="Times New Roman" w:eastAsia="Times New Roman" w:hint="default"/>
        </w:rPr>
        <w:t>(1)</w:t>
      </w:r>
      <w:r>
        <w:rPr/>
        <w:t>递延所得税资产的确认</w:t>
      </w:r>
    </w:p>
    <w:p>
      <w:pPr>
        <w:pStyle w:val="BodyText"/>
        <w:spacing w:line="309" w:lineRule="auto" w:before="63"/>
        <w:ind w:right="1132" w:firstLine="360"/>
        <w:jc w:val="both"/>
      </w:pPr>
      <w:r>
        <w:rPr/>
        <w:t>①公司以很可能取得用来抵扣可抵扣暂时性差异的应纳税所得额为限，确认由可抵扣暂时性差异产生的递延所得税资 </w:t>
      </w:r>
      <w:r>
        <w:rPr>
          <w:spacing w:val="-2"/>
        </w:rPr>
        <w:t>产。但是，同时具有下列特征的交易中因资产或负债的初始确认所产生的递延所得税资产不予确认：</w:t>
      </w:r>
      <w:r>
        <w:rPr>
          <w:rFonts w:ascii="Times New Roman" w:hAnsi="Times New Roman" w:cs="Times New Roman" w:eastAsia="Times New Roman" w:hint="default"/>
          <w:spacing w:val="-2"/>
        </w:rPr>
        <w:t>A.</w:t>
      </w:r>
      <w:r>
        <w:rPr>
          <w:spacing w:val="-2"/>
        </w:rPr>
        <w:t>该项交易不是企业合</w:t>
      </w:r>
      <w:r>
        <w:rPr>
          <w:spacing w:val="-61"/>
        </w:rPr>
        <w:t> </w:t>
      </w:r>
      <w:r>
        <w:rPr>
          <w:spacing w:val="-61"/>
        </w:rPr>
      </w:r>
      <w:r>
        <w:rPr/>
        <w:t>并；</w:t>
      </w:r>
      <w:r>
        <w:rPr>
          <w:rFonts w:ascii="Times New Roman" w:hAnsi="Times New Roman" w:cs="Times New Roman" w:eastAsia="Times New Roman" w:hint="default"/>
        </w:rPr>
        <w:t>B.</w:t>
      </w:r>
      <w:r>
        <w:rPr/>
        <w:t>交易发生时既不影响会计利润也不影响应纳税所得额（或可抵扣亏损）。</w:t>
      </w:r>
    </w:p>
    <w:p>
      <w:pPr>
        <w:pStyle w:val="BodyText"/>
        <w:spacing w:line="316" w:lineRule="auto" w:before="5"/>
        <w:ind w:right="1133" w:firstLine="360"/>
        <w:jc w:val="both"/>
      </w:pPr>
      <w:r>
        <w:rPr>
          <w:spacing w:val="-2"/>
        </w:rPr>
        <w:t>②公司对与子公司、联营公司及合营企业投资相关的可抵扣暂时性差异，同时满足下列条件的，确认相应的递延所得税</w:t>
      </w:r>
      <w:r>
        <w:rPr/>
        <w:t> 资产：</w:t>
      </w:r>
      <w:r>
        <w:rPr>
          <w:rFonts w:ascii="Times New Roman" w:hAnsi="Times New Roman" w:cs="Times New Roman" w:eastAsia="Times New Roman" w:hint="default"/>
        </w:rPr>
        <w:t>A.</w:t>
      </w:r>
      <w:r>
        <w:rPr/>
        <w:t>暂时性差异在可预见的未来很可能转回；</w:t>
      </w:r>
      <w:r>
        <w:rPr>
          <w:rFonts w:ascii="Times New Roman" w:hAnsi="Times New Roman" w:cs="Times New Roman" w:eastAsia="Times New Roman" w:hint="default"/>
        </w:rPr>
        <w:t>B.</w:t>
      </w:r>
      <w:r>
        <w:rPr/>
        <w:t>未来很可能获得用来抵扣可抵扣暂时性差异的应纳税所得额。</w:t>
      </w:r>
    </w:p>
    <w:p>
      <w:pPr>
        <w:pStyle w:val="BodyText"/>
        <w:spacing w:line="316" w:lineRule="auto"/>
        <w:ind w:right="1132" w:firstLine="360"/>
        <w:jc w:val="both"/>
      </w:pPr>
      <w:r>
        <w:rPr>
          <w:spacing w:val="-2"/>
        </w:rPr>
        <w:t>③对于按照税法规定可以结转以后年度的可抵扣亏损和税款抵减，视同可抵扣暂时性差异处理，以很可能获得用来抵扣</w:t>
      </w:r>
      <w:r>
        <w:rPr/>
        <w:t> 可抵扣亏损和税款抵减的未来应纳税所得额为限，确认相应的递延所得税资产。</w:t>
      </w:r>
    </w:p>
    <w:p>
      <w:pPr>
        <w:pStyle w:val="BodyText"/>
        <w:spacing w:line="240" w:lineRule="auto" w:before="19"/>
        <w:ind w:left="1493" w:right="0"/>
        <w:jc w:val="left"/>
      </w:pPr>
      <w:r>
        <w:rPr>
          <w:rFonts w:ascii="Times New Roman" w:hAnsi="Times New Roman" w:cs="Times New Roman" w:eastAsia="Times New Roman" w:hint="default"/>
        </w:rPr>
        <w:t>(2)</w:t>
      </w:r>
      <w:r>
        <w:rPr/>
        <w:t>递延所得税负债的确认</w:t>
      </w:r>
    </w:p>
    <w:p>
      <w:pPr>
        <w:pStyle w:val="BodyText"/>
        <w:spacing w:line="300" w:lineRule="auto" w:before="63"/>
        <w:ind w:right="1130" w:firstLine="360"/>
        <w:jc w:val="both"/>
      </w:pPr>
      <w:r>
        <w:rPr>
          <w:spacing w:val="-2"/>
        </w:rPr>
        <w:t>①除下列交易中产生的递延所得税负债以外，公司确认所有应纳税暂时性差异产生的递延所得税负债：</w:t>
      </w:r>
      <w:r>
        <w:rPr>
          <w:rFonts w:ascii="Times New Roman" w:hAnsi="Times New Roman" w:cs="Times New Roman" w:eastAsia="Times New Roman" w:hint="default"/>
          <w:spacing w:val="-2"/>
        </w:rPr>
        <w:t>A.</w:t>
      </w:r>
      <w:r>
        <w:rPr>
          <w:spacing w:val="-2"/>
        </w:rPr>
        <w:t>商誉的初始确</w:t>
      </w:r>
      <w:r>
        <w:rPr/>
        <w:t> </w:t>
      </w:r>
      <w:r>
        <w:rPr>
          <w:spacing w:val="-2"/>
        </w:rPr>
        <w:t>认；</w:t>
      </w:r>
      <w:r>
        <w:rPr>
          <w:rFonts w:ascii="Times New Roman" w:hAnsi="Times New Roman" w:cs="Times New Roman" w:eastAsia="Times New Roman" w:hint="default"/>
          <w:spacing w:val="-2"/>
        </w:rPr>
        <w:t>B.</w:t>
      </w:r>
      <w:r>
        <w:rPr>
          <w:spacing w:val="-2"/>
        </w:rPr>
        <w:t>同时满足具有下列特征的交易中产生的资产或负债的初始确认：该项交易不是企业合并；交易发生时既不影响会计利</w:t>
      </w:r>
      <w:r>
        <w:rPr>
          <w:spacing w:val="-49"/>
        </w:rPr>
        <w:t> </w:t>
      </w:r>
      <w:r>
        <w:rPr>
          <w:spacing w:val="-49"/>
        </w:rPr>
      </w:r>
      <w:r>
        <w:rPr/>
        <w:t>润也不影响应纳税所得额（或可抵扣亏损）。</w:t>
      </w:r>
    </w:p>
    <w:p>
      <w:pPr>
        <w:pStyle w:val="BodyText"/>
        <w:spacing w:line="319" w:lineRule="auto" w:before="72"/>
        <w:ind w:right="1131" w:firstLine="290"/>
        <w:jc w:val="both"/>
      </w:pPr>
      <w:r>
        <w:rPr>
          <w:spacing w:val="-1"/>
        </w:rPr>
        <w:t>②公司对与子公司、联营公司及合营企业投资相关的应纳税暂时性差异，确认相应的递延所得税负债。但是，同时满足</w:t>
      </w:r>
      <w:r>
        <w:rPr/>
        <w:t> 下列条件的除外：</w:t>
      </w:r>
      <w:r>
        <w:rPr>
          <w:rFonts w:ascii="Times New Roman" w:hAnsi="Times New Roman" w:cs="Times New Roman" w:eastAsia="Times New Roman" w:hint="default"/>
        </w:rPr>
        <w:t>A.</w:t>
      </w:r>
      <w:r>
        <w:rPr/>
        <w:t>投资企业能够控制暂时性差异转回的时间；</w:t>
      </w:r>
      <w:r>
        <w:rPr>
          <w:rFonts w:ascii="Times New Roman" w:hAnsi="Times New Roman" w:cs="Times New Roman" w:eastAsia="Times New Roman" w:hint="default"/>
        </w:rPr>
        <w:t>B.</w:t>
      </w:r>
      <w:r>
        <w:rPr/>
        <w:t>该暂时性差异在可预见的未来很可能不会转回。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3"/>
        <w:ind w:right="0"/>
        <w:jc w:val="both"/>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对于经营租赁的租金，出租人、承租人在租赁期内各个期间按照直线法确认为当期损益。出租人、承租人发生的初始直</w:t>
      </w:r>
      <w:r>
        <w:rPr/>
        <w:t> 接费用，计入当期损益。或有租金在实际发生时计入当期损益。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4" w:right="0"/>
        <w:jc w:val="both"/>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①承租人的会计处理 </w:t>
      </w:r>
      <w:r>
        <w:rPr>
          <w:spacing w:val="-2"/>
        </w:rPr>
        <w:t>在租赁期开始日，将租赁开始日租赁资产公允价值与最低租赁付款额现值两者中较低者作为租入资产的入账价值，将最</w:t>
      </w:r>
    </w:p>
    <w:p>
      <w:pPr>
        <w:pStyle w:val="BodyText"/>
        <w:spacing w:line="319" w:lineRule="auto" w:before="19"/>
        <w:ind w:left="1134" w:right="1131"/>
        <w:jc w:val="both"/>
      </w:pPr>
      <w:r>
        <w:rPr>
          <w:spacing w:val="-2"/>
        </w:rPr>
        <w:t>低租赁付款额作为长期应付款的入账价值，其差额作为未确认融资费用。在租赁谈判和签订租赁合同过程中发生的可归属于</w:t>
      </w:r>
      <w:r>
        <w:rPr>
          <w:spacing w:val="-64"/>
        </w:rPr>
        <w:t> </w:t>
      </w:r>
      <w:r>
        <w:rPr>
          <w:spacing w:val="-64"/>
        </w:rPr>
      </w:r>
      <w:r>
        <w:rPr>
          <w:spacing w:val="-2"/>
        </w:rPr>
        <w:t>租赁项目的手续费、律师费、差旅费、印花税等初始直接费用（下同），计入租入资产价值。在计算最低租赁付款额的现值</w:t>
      </w:r>
      <w:r>
        <w:rPr>
          <w:spacing w:val="-72"/>
        </w:rPr>
        <w:t> </w:t>
      </w:r>
      <w:r>
        <w:rPr>
          <w:spacing w:val="-72"/>
        </w:rPr>
      </w:r>
      <w:r>
        <w:rPr>
          <w:spacing w:val="-2"/>
        </w:rPr>
        <w:t>时，能够取得出租人租赁内含利率的，采用租赁内含利率作为折现率；否则，采用租赁合同规定的利率作为折现率。无法取</w:t>
      </w:r>
      <w:r>
        <w:rPr>
          <w:spacing w:val="-66"/>
        </w:rPr>
        <w:t> </w:t>
      </w:r>
      <w:r>
        <w:rPr>
          <w:spacing w:val="-66"/>
        </w:rPr>
      </w:r>
      <w:r>
        <w:rPr>
          <w:spacing w:val="-2"/>
        </w:rPr>
        <w:t>得出租人的租赁内含利率且租赁合同没有规定利率的，采用同期银行贷款利率作为折现率。未确认融资费用在租赁期内按照</w:t>
      </w:r>
      <w:r>
        <w:rPr>
          <w:spacing w:val="-64"/>
        </w:rPr>
        <w:t> </w:t>
      </w:r>
      <w:r>
        <w:rPr>
          <w:spacing w:val="-64"/>
        </w:rPr>
      </w:r>
      <w:r>
        <w:rPr/>
        <w:t>实际利率法计算确认当期的融资费用。</w:t>
      </w:r>
    </w:p>
    <w:p>
      <w:pPr>
        <w:pStyle w:val="BodyText"/>
        <w:spacing w:line="316" w:lineRule="auto" w:before="17"/>
        <w:ind w:left="1134" w:right="1132" w:firstLine="360"/>
        <w:jc w:val="both"/>
      </w:pPr>
      <w:r>
        <w:rPr>
          <w:spacing w:val="-2"/>
        </w:rPr>
        <w:t>公司采用与自有固定资产相一致的折旧政策计提租赁资产折旧。能够合理确定租赁期届满时取得租赁资产所有权的，在</w:t>
      </w:r>
      <w:r>
        <w:rPr/>
        <w:t> </w:t>
      </w:r>
      <w:r>
        <w:rPr>
          <w:spacing w:val="-2"/>
        </w:rPr>
        <w:t>租赁资产使用寿命内计提折旧。无法合理确定租赁期届满时能够取得租赁资产所有权的，在租赁期与租赁资产使用寿命两者</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中较短的期间内计提折旧。或有租金在实际发生时计入当期损益。</w:t>
      </w:r>
    </w:p>
    <w:p>
      <w:pPr>
        <w:pStyle w:val="BodyText"/>
        <w:spacing w:line="316" w:lineRule="auto" w:before="76"/>
        <w:ind w:left="1493" w:right="0"/>
        <w:jc w:val="left"/>
      </w:pPr>
      <w:r>
        <w:rPr/>
        <w:t>②出租人的会计处理 </w:t>
      </w:r>
      <w:r>
        <w:rPr>
          <w:spacing w:val="-2"/>
        </w:rPr>
        <w:t>在租赁期开始日，出租人将租赁开始日最低租赁收款额与初始直接费用之和作为应收融资租赁款的入账价值，同时记录</w:t>
      </w:r>
    </w:p>
    <w:p>
      <w:pPr>
        <w:pStyle w:val="BodyText"/>
        <w:spacing w:line="338" w:lineRule="auto" w:before="19"/>
        <w:ind w:left="1424" w:right="1933" w:hanging="291"/>
        <w:jc w:val="left"/>
      </w:pPr>
      <w:r>
        <w:rPr/>
        <w:t>未担保余值；将最低租赁收款额、初始直接费用及未担保余值之和与其现值之和的差额确认为未实现融资收益。 未实现融资收益在租赁期内按照实际利率法计算确认当期的融资收入。 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left="1134"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4812"/>
        <w:jc w:val="left"/>
      </w:pPr>
      <w:r>
        <w:rPr>
          <w:rFonts w:ascii="Times New Roman" w:hAnsi="Times New Roman" w:cs="Times New Roman" w:eastAsia="Times New Roman" w:hint="default"/>
        </w:rPr>
        <w:t>(1)</w:t>
      </w:r>
      <w:r>
        <w:rPr/>
        <w:t>回购本公司股份</w:t>
      </w:r>
      <w:r>
        <w:rPr>
          <w:w w:val="99"/>
        </w:rPr>
        <w:t> </w:t>
      </w:r>
      <w:r>
        <w:rPr/>
        <w:t>公司回购自身权益工具支付的对价和交易费用，应当减少所有者权益。</w:t>
      </w:r>
    </w:p>
    <w:p>
      <w:pPr>
        <w:pStyle w:val="BodyText"/>
        <w:spacing w:line="316" w:lineRule="auto" w:before="31"/>
        <w:ind w:right="0" w:firstLine="360"/>
        <w:jc w:val="left"/>
      </w:pPr>
      <w:r>
        <w:rPr>
          <w:spacing w:val="-2"/>
        </w:rPr>
        <w:t>公司按法定程序报经批准采用收购本公司股票方式减资，按注销股票面值总额减少股本，购回股票支付的价款（含交易</w:t>
      </w:r>
      <w:r>
        <w:rPr/>
        <w:t> </w:t>
      </w:r>
      <w:r>
        <w:rPr>
          <w:spacing w:val="-4"/>
        </w:rPr>
        <w:t>费用）与股票面值的差额调整所有者权益，超过面值总额的部分，依次冲减资本公积（股本溢价）、盈余公积和未分配利润；</w:t>
      </w:r>
      <w:r>
        <w:rPr>
          <w:spacing w:val="-44"/>
        </w:rPr>
        <w:t> </w:t>
      </w:r>
      <w:r>
        <w:rPr>
          <w:spacing w:val="-44"/>
        </w:rPr>
      </w:r>
      <w:r>
        <w:rPr/>
        <w:t>如低于面值总额的，低于面值总额的部分增加资本公积（股本溢价）。公司回购自身权益工具，不确认利得或损失。</w:t>
      </w:r>
    </w:p>
    <w:p>
      <w:pPr>
        <w:pStyle w:val="BodyText"/>
        <w:spacing w:line="316" w:lineRule="auto" w:before="19"/>
        <w:ind w:left="1493" w:right="0"/>
        <w:jc w:val="left"/>
      </w:pPr>
      <w:r>
        <w:rPr/>
        <w:t>公司回购的股份在注销或者转让之前，作为库存股管理，回购股份的全部支出转作库存股成本，同时进行备查登记。 </w:t>
      </w:r>
      <w:r>
        <w:rPr>
          <w:spacing w:val="-1"/>
        </w:rPr>
        <w:t>库存股转让时，转让收入高于库存股成本的部分，增加资本公积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；低于库存股成本的部分，依次冲减资本公</w:t>
      </w:r>
    </w:p>
    <w:p>
      <w:pPr>
        <w:pStyle w:val="BodyText"/>
        <w:spacing w:line="307" w:lineRule="auto"/>
        <w:ind w:left="1493" w:right="0" w:hanging="360"/>
        <w:jc w:val="left"/>
      </w:pPr>
      <w:r>
        <w:rPr/>
        <w:t>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、盈余公积、未分配利润。 公司回购其普通股形成的库存股不参与公司利润分配，公司将其作为在资产负债表中所有者权益的备抵项目列示。 </w:t>
      </w:r>
      <w:r>
        <w:rPr>
          <w:rFonts w:ascii="Times New Roman" w:hAnsi="Times New Roman" w:cs="Times New Roman" w:eastAsia="Times New Roman" w:hint="default"/>
        </w:rPr>
        <w:t>(2).</w:t>
      </w:r>
      <w:r>
        <w:rPr/>
        <w:t>资产证券化业务 </w:t>
      </w:r>
      <w:r>
        <w:rPr>
          <w:spacing w:val="-2"/>
        </w:rPr>
        <w:t>公司设立特殊目的主体作为结构化融资的载体，公司把金融资产转移到特殊目的主体，如果公司能够控制该特殊目的主</w:t>
      </w:r>
    </w:p>
    <w:p>
      <w:pPr>
        <w:pStyle w:val="BodyText"/>
        <w:spacing w:line="319" w:lineRule="auto" w:before="26"/>
        <w:ind w:left="1493" w:right="0" w:hanging="360"/>
        <w:jc w:val="left"/>
      </w:pPr>
      <w:r>
        <w:rPr/>
        <w:t>体，这些特殊目的主体则视同为子公司而纳入公司合并财务报表的范围。 </w:t>
      </w:r>
      <w:r>
        <w:rPr>
          <w:spacing w:val="-2"/>
        </w:rPr>
        <w:t>公司出售金融资产作出承诺，已转移的金融资产将来发生信用损失时，由公司进行全额补偿，公司实质上保留了该金融</w:t>
      </w:r>
    </w:p>
    <w:p>
      <w:pPr>
        <w:pStyle w:val="BodyText"/>
        <w:spacing w:line="316" w:lineRule="auto" w:before="17"/>
        <w:ind w:left="1493" w:right="0" w:hanging="360"/>
        <w:jc w:val="left"/>
      </w:pPr>
      <w:r>
        <w:rPr/>
        <w:t>资产所有权上几乎所有的风险和报酬，公司未终止确认所出售的金融资产。 </w:t>
      </w:r>
      <w:r>
        <w:rPr>
          <w:spacing w:val="-2"/>
        </w:rPr>
        <w:t>资产证券化募集的资金列专项应付款，资产证券化融资费用（包括财务顾问费、银行担保费等）列入当期财务费用，收</w:t>
      </w:r>
    </w:p>
    <w:p>
      <w:pPr>
        <w:pStyle w:val="BodyText"/>
        <w:spacing w:line="309" w:lineRule="auto" w:before="19"/>
        <w:ind w:left="1493" w:right="1933" w:hanging="360"/>
        <w:jc w:val="left"/>
      </w:pPr>
      <w:r>
        <w:rPr/>
        <w:t>益权与实际募集的委托资金差额列长期待摊费用，在存续期内按证券化实施的项目进行摊销列入财务费用。 </w:t>
      </w:r>
      <w:r>
        <w:rPr>
          <w:rFonts w:ascii="Times New Roman" w:hAnsi="Times New Roman" w:cs="Times New Roman" w:eastAsia="Times New Roman" w:hint="default"/>
        </w:rPr>
        <w:t>(3).</w:t>
      </w:r>
      <w:r>
        <w:rPr/>
        <w:t>套期会计 套期会计方法是指在相同会计期间将套期工具和被套期项目公允价值变动的抵销结果计入当期损益的方法。</w:t>
      </w:r>
    </w:p>
    <w:p>
      <w:pPr>
        <w:pStyle w:val="BodyText"/>
        <w:spacing w:line="316" w:lineRule="auto" w:before="24"/>
        <w:ind w:right="0" w:firstLine="360"/>
        <w:jc w:val="left"/>
      </w:pPr>
      <w:r>
        <w:rPr>
          <w:spacing w:val="-2"/>
        </w:rPr>
        <w:t>套期工具是指公司为规避外汇风险、利率风险、商品价格风险、股票价格风险、信用风险等所使用的衍生工具，分为公</w:t>
      </w:r>
      <w:r>
        <w:rPr/>
        <w:t> 允价值套期、现金流量套期和境外净投资套期。对于满足下列条件的套期工具，运用套期会计方法进行处理：</w:t>
      </w:r>
    </w:p>
    <w:p>
      <w:pPr>
        <w:pStyle w:val="BodyText"/>
        <w:spacing w:line="300" w:lineRule="auto" w:before="19"/>
        <w:ind w:right="0" w:firstLine="360"/>
        <w:jc w:val="left"/>
      </w:pPr>
      <w:r>
        <w:rPr>
          <w:spacing w:val="-2"/>
        </w:rPr>
        <w:t>①</w:t>
      </w:r>
      <w:r>
        <w:rPr>
          <w:rFonts w:ascii="Times New Roman" w:hAnsi="Times New Roman" w:cs="Times New Roman" w:eastAsia="Times New Roman" w:hint="default"/>
          <w:spacing w:val="-2"/>
        </w:rPr>
        <w:t>.</w:t>
      </w:r>
      <w:r>
        <w:rPr>
          <w:spacing w:val="-2"/>
        </w:rPr>
        <w:t>在套期开始时，公司对套期关系</w:t>
      </w:r>
      <w:r>
        <w:rPr>
          <w:rFonts w:ascii="Times New Roman" w:hAnsi="Times New Roman" w:cs="Times New Roman" w:eastAsia="Times New Roman" w:hint="default"/>
          <w:spacing w:val="-2"/>
        </w:rPr>
        <w:t>(</w:t>
      </w:r>
      <w:r>
        <w:rPr>
          <w:spacing w:val="-2"/>
        </w:rPr>
        <w:t>即套期工具和被套期项目之间的关系</w:t>
      </w:r>
      <w:r>
        <w:rPr>
          <w:rFonts w:ascii="Times New Roman" w:hAnsi="Times New Roman" w:cs="Times New Roman" w:eastAsia="Times New Roman" w:hint="default"/>
          <w:spacing w:val="-2"/>
        </w:rPr>
        <w:t>)</w:t>
      </w:r>
      <w:r>
        <w:rPr>
          <w:spacing w:val="-2"/>
        </w:rPr>
        <w:t>有正式指定，并准备了关于套期关系、风险管</w:t>
      </w:r>
      <w:r>
        <w:rPr/>
        <w:t> 理目标和套期策略的正式书面文件；</w:t>
      </w:r>
    </w:p>
    <w:p>
      <w:pPr>
        <w:pStyle w:val="BodyText"/>
        <w:spacing w:line="240" w:lineRule="auto" w:before="31"/>
        <w:ind w:left="1494" w:right="0"/>
        <w:jc w:val="left"/>
      </w:pPr>
      <w:r>
        <w:rPr/>
        <w:t>②</w:t>
      </w:r>
      <w:r>
        <w:rPr>
          <w:rFonts w:ascii="Times New Roman" w:hAnsi="Times New Roman" w:cs="Times New Roman" w:eastAsia="Times New Roman" w:hint="default"/>
        </w:rPr>
        <w:t>.</w:t>
      </w:r>
      <w:r>
        <w:rPr/>
        <w:t>该套期预期高度有效，且符合公司最初为该套期关系所确定的风险管理策略；</w:t>
      </w:r>
    </w:p>
    <w:p>
      <w:pPr>
        <w:pStyle w:val="BodyText"/>
        <w:spacing w:line="240" w:lineRule="auto" w:before="63"/>
        <w:ind w:left="1493" w:right="0"/>
        <w:jc w:val="left"/>
      </w:pPr>
      <w:r>
        <w:rPr/>
        <w:t>③</w:t>
      </w:r>
      <w:r>
        <w:rPr>
          <w:rFonts w:ascii="Times New Roman" w:hAnsi="Times New Roman" w:cs="Times New Roman" w:eastAsia="Times New Roman" w:hint="default"/>
        </w:rPr>
        <w:t>.</w:t>
      </w:r>
      <w:r>
        <w:rPr/>
        <w:t>对预期交易的现金流量套期，预期交易应当很可能发生，且必须使公司面临最终将影响损益的现金流量变动风险；</w:t>
      </w:r>
    </w:p>
    <w:p>
      <w:pPr>
        <w:pStyle w:val="BodyText"/>
        <w:spacing w:line="240" w:lineRule="auto" w:before="63"/>
        <w:ind w:left="1494" w:right="0"/>
        <w:jc w:val="left"/>
      </w:pPr>
      <w:r>
        <w:rPr/>
        <w:t>④</w:t>
      </w:r>
      <w:r>
        <w:rPr>
          <w:rFonts w:ascii="Times New Roman" w:hAnsi="Times New Roman" w:cs="Times New Roman" w:eastAsia="Times New Roman" w:hint="default"/>
        </w:rPr>
        <w:t>.</w:t>
      </w:r>
      <w:r>
        <w:rPr/>
        <w:t>套期有效性能够可靠地计量；</w:t>
      </w:r>
    </w:p>
    <w:p>
      <w:pPr>
        <w:pStyle w:val="BodyText"/>
        <w:spacing w:line="309" w:lineRule="auto" w:before="63"/>
        <w:ind w:left="1494" w:right="0"/>
        <w:jc w:val="left"/>
      </w:pPr>
      <w:r>
        <w:rPr/>
        <w:t>⑤</w:t>
      </w:r>
      <w:r>
        <w:rPr>
          <w:rFonts w:ascii="Times New Roman" w:hAnsi="Times New Roman" w:cs="Times New Roman" w:eastAsia="Times New Roman" w:hint="default"/>
        </w:rPr>
        <w:t>.</w:t>
      </w:r>
      <w:r>
        <w:rPr/>
        <w:t>公司应当持续地对套期有效性进行评价，并确保该套期在套期关系被指定的会计期间内高度有效。 公允价值套期满足上述条件的，公允价值变动形成的利得或损失计入当期损益。 </w:t>
      </w:r>
      <w:r>
        <w:rPr>
          <w:spacing w:val="-2"/>
        </w:rPr>
        <w:t>现金流量套期满足上述条件的，套期利得或损失中属于有效套期的部分计入其他综合收益，无效部分计入当期损益。对</w:t>
      </w:r>
    </w:p>
    <w:p>
      <w:pPr>
        <w:pStyle w:val="BodyText"/>
        <w:spacing w:line="316" w:lineRule="auto" w:before="24"/>
        <w:ind w:left="1134" w:right="0"/>
        <w:jc w:val="left"/>
      </w:pPr>
      <w:r>
        <w:rPr>
          <w:spacing w:val="-2"/>
        </w:rPr>
        <w:t>于被套期项目为预期交易且该预期交易使公司随后确认一项金融资产或金融负债的，原确认为其他综合收益的利得或损失在</w:t>
      </w:r>
      <w:r>
        <w:rPr>
          <w:spacing w:val="-63"/>
        </w:rPr>
        <w:t> </w:t>
      </w:r>
      <w:r>
        <w:rPr>
          <w:spacing w:val="-63"/>
        </w:rPr>
      </w:r>
      <w:r>
        <w:rPr/>
        <w:t>该金融资产或金融负债影响公司损益的相同期间转出，计入当期损益。</w:t>
      </w:r>
    </w:p>
    <w:p>
      <w:pPr>
        <w:pStyle w:val="BodyText"/>
        <w:spacing w:line="316" w:lineRule="auto" w:before="19"/>
        <w:ind w:left="1134" w:right="1131" w:firstLine="360"/>
        <w:jc w:val="both"/>
      </w:pPr>
      <w:r>
        <w:rPr>
          <w:spacing w:val="-2"/>
        </w:rPr>
        <w:t>境外经营净投资套期满足上述条件的，公司应按类似于现金流量套期会计的规定处理：套期工具形成的利得或损失中属</w:t>
      </w:r>
      <w:r>
        <w:rPr/>
        <w:t> </w:t>
      </w:r>
      <w:r>
        <w:rPr>
          <w:spacing w:val="-2"/>
        </w:rPr>
        <w:t>于有效套期的部分，直接确认为所有者权益，并单列项目反映。处置境外经营时，将上述在所有者权益中单列项目反映的套</w:t>
      </w:r>
      <w:r>
        <w:rPr>
          <w:spacing w:val="-66"/>
        </w:rPr>
        <w:t> </w:t>
      </w:r>
      <w:r>
        <w:rPr>
          <w:spacing w:val="-66"/>
        </w:rPr>
      </w:r>
      <w:r>
        <w:rPr/>
        <w:t>期工具利得或损失转出，计入当期损益。</w:t>
      </w:r>
    </w:p>
    <w:p>
      <w:pPr>
        <w:pStyle w:val="BodyText"/>
        <w:spacing w:line="240" w:lineRule="auto" w:before="19"/>
        <w:ind w:left="1494" w:right="0"/>
        <w:jc w:val="left"/>
      </w:pPr>
      <w:r>
        <w:rPr/>
        <w:t>套期工具形成的利得或损失中属于无效套期的部分，计入当期损益。</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left="1493" w:right="1032"/>
        <w:jc w:val="left"/>
      </w:pPr>
      <w:r>
        <w:rPr/>
        <w:t>不符合上述条件的其他公允价值套期、现金流量套期和境外净投资套期，其公允价值变动直接计入当期损益。 </w:t>
      </w:r>
      <w:r>
        <w:rPr>
          <w:rFonts w:ascii="Times New Roman" w:hAnsi="Times New Roman" w:cs="Times New Roman" w:eastAsia="Times New Roman" w:hint="default"/>
        </w:rPr>
        <w:t>(4).</w:t>
      </w:r>
      <w:r>
        <w:rPr/>
        <w:t>建造合同 在建造合同的结果能够可靠估计的情况下，本公司于资产负债表日按照完工百分比法确认合同收入和合同费用。 </w:t>
      </w:r>
      <w:r>
        <w:rPr>
          <w:spacing w:val="-4"/>
        </w:rPr>
        <w:t>建造合同的结果能够可靠估计是指同时满足：①合同总收入能够可靠地计量；②与合同相关的经济利益很可能流入企业；</w:t>
      </w:r>
    </w:p>
    <w:p>
      <w:pPr>
        <w:pStyle w:val="BodyText"/>
        <w:spacing w:line="316" w:lineRule="auto" w:before="23"/>
        <w:ind w:left="1493" w:right="0" w:hanging="360"/>
        <w:jc w:val="left"/>
      </w:pPr>
      <w:r>
        <w:rPr/>
        <w:t>③实际发生的合同成本能够清楚地区分和可靠地计量；④合同完工进度和为完成合同尚需发生的成本能够可靠地确定。 本公司于资产负债表日按照合同总收入乘以完工程度扣除以前会计期间累计已确认收入后的金额，确认为当期合同收</w:t>
      </w:r>
    </w:p>
    <w:p>
      <w:pPr>
        <w:pStyle w:val="BodyText"/>
        <w:spacing w:line="316" w:lineRule="auto" w:before="19"/>
        <w:ind w:left="1493" w:right="1753" w:hanging="360"/>
        <w:jc w:val="left"/>
      </w:pPr>
      <w:r>
        <w:rPr/>
        <w:t>入；同时，按照合同预计总成本乘以完工程度扣除以前会计期间累计已确认费用后的金额，确认为当期合同费用。 合同预计总成本超过合同总收入的，将预计损失确认为当期费用。</w:t>
      </w:r>
    </w:p>
    <w:p>
      <w:pPr>
        <w:pStyle w:val="BodyText"/>
        <w:spacing w:line="300" w:lineRule="auto" w:before="19"/>
        <w:ind w:left="1493" w:right="0"/>
        <w:jc w:val="left"/>
      </w:pPr>
      <w:r>
        <w:rPr>
          <w:rFonts w:ascii="Times New Roman" w:hAnsi="Times New Roman" w:cs="Times New Roman" w:eastAsia="Times New Roman" w:hint="default"/>
        </w:rPr>
        <w:t>(5).</w:t>
      </w:r>
      <w:r>
        <w:rPr/>
        <w:t>附回购条件的资产转让</w:t>
      </w:r>
      <w:r>
        <w:rPr>
          <w:w w:val="99"/>
        </w:rPr>
        <w:t> </w:t>
      </w:r>
      <w:r>
        <w:rPr>
          <w:spacing w:val="-2"/>
        </w:rPr>
        <w:t>售后回购是指销售商品的同时，公司同意日后再将同样或类似的商品购回的销售方式。公司根据合同或协议条款判断销</w:t>
      </w:r>
    </w:p>
    <w:p>
      <w:pPr>
        <w:pStyle w:val="BodyText"/>
        <w:spacing w:line="316" w:lineRule="auto" w:before="31"/>
        <w:ind w:right="0"/>
        <w:jc w:val="left"/>
      </w:pPr>
      <w:r>
        <w:rPr>
          <w:spacing w:val="-4"/>
        </w:rPr>
        <w:t>售商品是否满足收入确认条件。若售后回购交易属于融资交易的，商品所有权上的主要风险和报酬没有转移，不应确认收入；</w:t>
      </w:r>
      <w:r>
        <w:rPr>
          <w:spacing w:val="-44"/>
        </w:rPr>
        <w:t> </w:t>
      </w:r>
      <w:r>
        <w:rPr>
          <w:spacing w:val="-44"/>
        </w:rPr>
      </w:r>
      <w:r>
        <w:rPr/>
        <w:t>回购价格大于原售价的差额，公司在回购期间按期计提利息费用，计入财务费用。</w:t>
      </w:r>
    </w:p>
    <w:p>
      <w:pPr>
        <w:pStyle w:val="BodyText"/>
        <w:spacing w:line="300" w:lineRule="auto" w:before="19"/>
        <w:ind w:left="1493" w:right="0"/>
        <w:jc w:val="left"/>
      </w:pPr>
      <w:r>
        <w:rPr>
          <w:rFonts w:ascii="Times New Roman" w:hAnsi="Times New Roman" w:cs="Times New Roman" w:eastAsia="Times New Roman" w:hint="default"/>
        </w:rPr>
        <w:t>(6).</w:t>
      </w:r>
      <w:r>
        <w:rPr/>
        <w:t>衍生金融工具</w:t>
      </w:r>
      <w:r>
        <w:rPr>
          <w:w w:val="99"/>
        </w:rPr>
        <w:t> </w:t>
      </w:r>
      <w:r>
        <w:rPr>
          <w:spacing w:val="-2"/>
        </w:rPr>
        <w:t>衍生金融工具初始以衍生交易合同签订当日的公允价值计量，并以其公允价值进行后续计量。公允价值为正数的衍生金</w:t>
      </w:r>
    </w:p>
    <w:p>
      <w:pPr>
        <w:pStyle w:val="BodyText"/>
        <w:spacing w:line="316" w:lineRule="auto" w:before="31"/>
        <w:ind w:left="1493" w:right="1573" w:hanging="360"/>
        <w:jc w:val="left"/>
      </w:pPr>
      <w:r>
        <w:rPr/>
        <w:t>融工具确认为一项资产，公允价值为负数的衍生金融工具确认为一项负债。 公司根据政策管理衍生金融工具的应用，并以书面方式列明与公司风险管理策略一致的衍生金融工具应用原则。</w:t>
      </w:r>
    </w:p>
    <w:p>
      <w:pPr>
        <w:pStyle w:val="BodyText"/>
        <w:spacing w:line="316" w:lineRule="auto" w:before="59"/>
        <w:ind w:right="0"/>
        <w:jc w:val="left"/>
      </w:pPr>
      <w:r>
        <w:rPr>
          <w:spacing w:val="-4"/>
        </w:rPr>
        <w:t>衍生金融工具的后续计量时，因公允价值变动而产生的利得或损失在利润表中确认。对于符合套期会计处理的衍生金融工具，</w:t>
      </w:r>
      <w:r>
        <w:rPr>
          <w:spacing w:val="-44"/>
        </w:rPr>
        <w:t> </w:t>
      </w:r>
      <w:r>
        <w:rPr>
          <w:spacing w:val="-44"/>
        </w:rPr>
      </w:r>
      <w:r>
        <w:rPr>
          <w:spacing w:val="-2"/>
        </w:rPr>
        <w:t>确认任何产生的利得或损失取决于被套期项目的性质。不符合套期会计处理的衍生金融工具分类为以公允价值计量且其变动</w:t>
      </w:r>
      <w:r>
        <w:rPr>
          <w:spacing w:val="-64"/>
        </w:rPr>
        <w:t> </w:t>
      </w:r>
      <w:r>
        <w:rPr>
          <w:spacing w:val="-64"/>
        </w:rPr>
      </w:r>
      <w:r>
        <w:rPr/>
        <w:t>计入当期损益的金融资产及金融负债。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0"/>
        <w:ind w:right="113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日，财政部颁布《关于印发</w:t>
      </w:r>
      <w:r>
        <w:rPr>
          <w:rFonts w:ascii="Times New Roman" w:hAnsi="Times New Roman" w:cs="Times New Roman" w:eastAsia="Times New Roman" w:hint="default"/>
          <w:spacing w:val="-4"/>
        </w:rPr>
        <w:t>&lt;</w:t>
      </w:r>
      <w:r>
        <w:rPr>
          <w:spacing w:val="-4"/>
        </w:rPr>
        <w:t>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w:t>
      </w:r>
      <w:r>
        <w:rPr>
          <w:rFonts w:ascii="Times New Roman" w:hAnsi="Times New Roman" w:cs="Times New Roman" w:eastAsia="Times New Roman" w:hint="default"/>
          <w:spacing w:val="-4"/>
        </w:rPr>
        <w:t>&gt;</w:t>
      </w:r>
      <w:r>
        <w:rPr>
          <w:spacing w:val="-4"/>
        </w:rPr>
        <w:t>的通知》</w:t>
      </w:r>
      <w:r>
        <w:rPr>
          <w:rFonts w:ascii="Times New Roman" w:hAnsi="Times New Roman" w:cs="Times New Roman" w:eastAsia="Times New Roman" w:hint="default"/>
          <w:spacing w:val="-4"/>
        </w:rPr>
        <w:t>(</w:t>
      </w:r>
      <w:r>
        <w:rPr>
          <w:spacing w:val="-4"/>
        </w:rPr>
        <w:t>财</w:t>
      </w:r>
      <w:r>
        <w:rPr>
          <w:spacing w:val="-73"/>
        </w:rPr>
        <w:t> </w:t>
      </w:r>
      <w:r>
        <w:rPr/>
        <w:t>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日施行。报告期内，公司不存在持有待售的非流动资产、处置组和终止经营的资产组，此项 会计政策变更对公司</w:t>
      </w:r>
      <w:r>
        <w:rPr>
          <w:rFonts w:ascii="Times New Roman" w:hAnsi="Times New Roman" w:cs="Times New Roman" w:eastAsia="Times New Roman" w:hint="default"/>
        </w:rPr>
        <w:t>2017</w:t>
      </w:r>
      <w:r>
        <w:rPr/>
        <w:t>年度财务报表无实质性影响。</w:t>
      </w:r>
    </w:p>
    <w:p>
      <w:pPr>
        <w:pStyle w:val="BodyText"/>
        <w:spacing w:line="302" w:lineRule="auto" w:before="13"/>
        <w:ind w:right="1126"/>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日，财政部颁布《关于印发修订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spacing w:val="-1"/>
        </w:rPr>
        <w:t>号），自</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12</w:t>
      </w:r>
      <w:r>
        <w:rPr>
          <w:spacing w:val="-3"/>
        </w:rPr>
        <w:t>日起施行。新修订的准则要求执行企业会计准则的企业对</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日存在的政府补助采用未来适用法处理，对</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日至新修订的准则施行日之间新增的政府补助根据新修订的准则进行调整。 本次会计政策将修改财务报表列报，与企业日常经营活动相关的政府补助，按照经济业务实质，计入其他收益或冲减相关 成本费用；与企业日常活动无关的政府补助，计入营业外收支。报表列示，在利润表中的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 </w:t>
      </w:r>
      <w:r>
        <w:rPr>
          <w:spacing w:val="-1"/>
        </w:rPr>
        <w:t>他收益</w:t>
      </w:r>
      <w:r>
        <w:rPr>
          <w:rFonts w:ascii="Times New Roman" w:hAnsi="Times New Roman" w:cs="Times New Roman" w:eastAsia="Times New Roman" w:hint="default"/>
          <w:spacing w:val="-1"/>
        </w:rPr>
        <w:t>”</w:t>
      </w:r>
      <w:r>
        <w:rPr>
          <w:spacing w:val="-1"/>
        </w:rPr>
        <w:t>项目。报告期内，公司与企业日常经营活动相关的政府补助计元，变更后减少当期营业外收入</w:t>
      </w:r>
      <w:r>
        <w:rPr>
          <w:rFonts w:ascii="Times New Roman" w:hAnsi="Times New Roman" w:cs="Times New Roman" w:eastAsia="Times New Roman" w:hint="default"/>
          <w:spacing w:val="-1"/>
        </w:rPr>
        <w:t>7,237,978.49</w:t>
      </w:r>
      <w:r>
        <w:rPr>
          <w:spacing w:val="-1"/>
        </w:rPr>
        <w:t>元，增加</w:t>
      </w:r>
      <w:r>
        <w:rPr>
          <w:spacing w:val="-64"/>
        </w:rPr>
        <w:t> </w:t>
      </w:r>
      <w:r>
        <w:rPr>
          <w:spacing w:val="-64"/>
        </w:rPr>
      </w:r>
      <w:r>
        <w:rPr/>
        <w:t>其他收益</w:t>
      </w:r>
      <w:r>
        <w:rPr>
          <w:rFonts w:ascii="Times New Roman" w:hAnsi="Times New Roman" w:cs="Times New Roman" w:eastAsia="Times New Roman" w:hint="default"/>
        </w:rPr>
        <w:t>7,237,978.49</w:t>
      </w:r>
      <w:r>
        <w:rPr/>
        <w:t>元。</w:t>
      </w:r>
    </w:p>
    <w:p>
      <w:pPr>
        <w:pStyle w:val="BodyText"/>
        <w:spacing w:line="314" w:lineRule="auto" w:before="11"/>
        <w:ind w:right="1131"/>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日，财政部颁布《关于修订印发一般企业财务报表格式的通知》财会〔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30</w:t>
      </w:r>
      <w:r>
        <w:rPr>
          <w:spacing w:val="-3"/>
        </w:rPr>
        <w:t>号，新增</w:t>
      </w:r>
      <w:r>
        <w:rPr>
          <w:rFonts w:ascii="Times New Roman" w:hAnsi="Times New Roman" w:cs="Times New Roman" w:eastAsia="Times New Roman" w:hint="default"/>
          <w:spacing w:val="-3"/>
        </w:rPr>
        <w:t>“</w:t>
      </w:r>
      <w:r>
        <w:rPr>
          <w:spacing w:val="-3"/>
        </w:rPr>
        <w:t>资产处置收益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1"/>
        </w:rPr>
        <w:t> </w:t>
      </w:r>
      <w:r>
        <w:rPr>
          <w:spacing w:val="-2"/>
        </w:rPr>
        <w:t>项目，反映企业出售划分为持有待售的非流动资产（金融工具、长期股权投资和投资性房地产除外）或处置组时确认的处置</w:t>
      </w:r>
      <w:r>
        <w:rPr>
          <w:spacing w:val="-66"/>
        </w:rPr>
        <w:t> </w:t>
      </w:r>
      <w:r>
        <w:rPr>
          <w:spacing w:val="-66"/>
        </w:rPr>
      </w:r>
      <w:r>
        <w:rPr>
          <w:spacing w:val="-2"/>
        </w:rPr>
        <w:t>利得或损失，以及处置未划分为持有待售的固定资产、在建工程、生产性生物资产及无形资产而产生的处置利得或损失。债</w:t>
      </w:r>
      <w:r>
        <w:rPr>
          <w:spacing w:val="-66"/>
        </w:rPr>
        <w:t> </w:t>
      </w:r>
      <w:r>
        <w:rPr>
          <w:spacing w:val="-66"/>
        </w:rPr>
      </w:r>
      <w:r>
        <w:rPr>
          <w:spacing w:val="-2"/>
        </w:rPr>
        <w:t>务重组中因处置非流动资产产生的利得或损失和非货币性资产交换产生的利得或损失也包括在本项目内。报告期内，此项会</w:t>
      </w:r>
      <w:r>
        <w:rPr>
          <w:spacing w:val="-64"/>
        </w:rPr>
        <w:t> </w:t>
      </w:r>
      <w:r>
        <w:rPr>
          <w:spacing w:val="-64"/>
        </w:rPr>
      </w:r>
      <w:r>
        <w:rPr/>
        <w:t>计政策变更对公司</w:t>
      </w:r>
      <w:r>
        <w:rPr>
          <w:rFonts w:ascii="Times New Roman" w:hAnsi="Times New Roman" w:cs="Times New Roman" w:eastAsia="Times New Roman" w:hint="default"/>
        </w:rPr>
        <w:t>2017</w:t>
      </w:r>
      <w:r>
        <w:rPr/>
        <w:t>年度财务报表无实质性影响。</w:t>
      </w:r>
    </w:p>
    <w:p>
      <w:pPr>
        <w:spacing w:after="0" w:line="314"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销售货物或服务过程中产生的增值额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9" w:firstLine="360"/>
        <w:jc w:val="both"/>
      </w:pPr>
      <w:r>
        <w:rPr>
          <w:spacing w:val="-2"/>
        </w:rPr>
        <w:t>根据《中华人民共和国企业所得税法》及《中华人民共和国企业所得税法实施条例》的规定，对国家需要重点扶持的高</w:t>
      </w:r>
      <w:r>
        <w:rPr/>
        <w:t> 新技术企业，减按</w:t>
      </w:r>
      <w:r>
        <w:rPr>
          <w:rFonts w:ascii="Times New Roman" w:hAnsi="Times New Roman" w:cs="Times New Roman" w:eastAsia="Times New Roman" w:hint="default"/>
        </w:rPr>
        <w:t>15</w:t>
      </w:r>
      <w:r>
        <w:rPr/>
        <w:t>％的税率征收企业所得税。母公司福建博思软件股份有限公司于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月通过高新复审，证书编号为</w:t>
      </w:r>
      <w:r>
        <w:rPr>
          <w:spacing w:val="-83"/>
        </w:rPr>
        <w:t> </w:t>
      </w:r>
      <w:r>
        <w:rPr>
          <w:spacing w:val="-83"/>
        </w:rPr>
      </w:r>
      <w:r>
        <w:rPr>
          <w:rFonts w:ascii="Times New Roman" w:hAnsi="Times New Roman" w:cs="Times New Roman" w:eastAsia="Times New Roman" w:hint="default"/>
          <w:spacing w:val="-1"/>
        </w:rPr>
        <w:t>GR201535000034</w:t>
      </w:r>
      <w:r>
        <w:rPr>
          <w:spacing w:val="-1"/>
        </w:rPr>
        <w:t>；子公司福建博思电子政务科技有限公司于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月通过高新评审，证书编号为</w:t>
      </w:r>
      <w:r>
        <w:rPr>
          <w:rFonts w:ascii="Times New Roman" w:hAnsi="Times New Roman" w:cs="Times New Roman" w:eastAsia="Times New Roman" w:hint="default"/>
          <w:spacing w:val="-1"/>
        </w:rPr>
        <w:t>GR201735000479</w:t>
      </w:r>
      <w:r>
        <w:rPr>
          <w:spacing w:val="-1"/>
        </w:rPr>
        <w:t>；子公</w:t>
      </w:r>
      <w:r>
        <w:rPr>
          <w:spacing w:val="-65"/>
        </w:rPr>
        <w:t> </w:t>
      </w:r>
      <w:r>
        <w:rPr>
          <w:spacing w:val="-65"/>
        </w:rPr>
      </w:r>
      <w:r>
        <w:rPr/>
        <w:t>司黑龙江博思软件有限公司于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月通过高新评审，证书编号为</w:t>
      </w:r>
      <w:r>
        <w:rPr>
          <w:rFonts w:ascii="Times New Roman" w:hAnsi="Times New Roman" w:cs="Times New Roman" w:eastAsia="Times New Roman" w:hint="default"/>
        </w:rPr>
        <w:t>GR201523000138</w:t>
      </w:r>
      <w:r>
        <w:rPr/>
        <w:t>；有效期三年。</w:t>
      </w:r>
    </w:p>
    <w:p>
      <w:pPr>
        <w:pStyle w:val="BodyText"/>
        <w:spacing w:line="300" w:lineRule="auto" w:before="7"/>
        <w:ind w:right="1130" w:firstLine="360"/>
        <w:jc w:val="both"/>
      </w:pPr>
      <w:r>
        <w:rPr/>
        <w:t>根据财政部《国家税务总局关于进一步鼓励软件产业和集成电路产业发展企业所得税政策的通知》（财税〔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 </w:t>
      </w:r>
      <w:r>
        <w:rPr>
          <w:spacing w:val="-2"/>
        </w:rPr>
        <w:t>号），子公司福州兴博新中大软件有限公司在</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日通过软件企业认证，经福州市鼓楼区地方税务局受理备案，可</w:t>
      </w:r>
      <w:r>
        <w:rPr>
          <w:spacing w:val="-58"/>
        </w:rPr>
        <w:t> </w:t>
      </w:r>
      <w:r>
        <w:rPr>
          <w:spacing w:val="-58"/>
        </w:rPr>
      </w:r>
      <w:r>
        <w:rPr/>
        <w:t>享受新设软件企业税收优惠政策。福州兴博</w:t>
      </w:r>
      <w:r>
        <w:rPr>
          <w:rFonts w:ascii="Times New Roman" w:hAnsi="Times New Roman" w:cs="Times New Roman" w:eastAsia="Times New Roman" w:hint="default"/>
        </w:rPr>
        <w:t>2013-2014</w:t>
      </w:r>
      <w:r>
        <w:rPr/>
        <w:t>年免征企业所得税，</w:t>
      </w:r>
      <w:r>
        <w:rPr>
          <w:rFonts w:ascii="Times New Roman" w:hAnsi="Times New Roman" w:cs="Times New Roman" w:eastAsia="Times New Roman" w:hint="default"/>
        </w:rPr>
        <w:t>2015-2017</w:t>
      </w:r>
      <w:r>
        <w:rPr/>
        <w:t>年减半按</w:t>
      </w:r>
      <w:r>
        <w:rPr>
          <w:rFonts w:ascii="Times New Roman" w:hAnsi="Times New Roman" w:cs="Times New Roman" w:eastAsia="Times New Roman" w:hint="default"/>
        </w:rPr>
        <w:t>12.50%</w:t>
      </w:r>
      <w:r>
        <w:rPr/>
        <w:t>征收所得税。</w:t>
      </w:r>
    </w:p>
    <w:p>
      <w:pPr>
        <w:pStyle w:val="BodyText"/>
        <w:spacing w:line="240" w:lineRule="auto" w:before="13"/>
        <w:ind w:left="1494" w:right="0"/>
        <w:jc w:val="left"/>
      </w:pPr>
      <w:r>
        <w:rPr/>
        <w:t>根据财税〔</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43</w:t>
      </w:r>
      <w:r>
        <w:rPr/>
        <w:t>号《关于扩大小型微利企业所得税优惠政策范围的通知》自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0"/>
        <w:jc w:val="left"/>
      </w:pPr>
      <w:r>
        <w:rPr>
          <w:spacing w:val="-2"/>
        </w:rPr>
        <w:t>型微利企业的年应纳税所得额上限由</w:t>
      </w:r>
      <w:r>
        <w:rPr>
          <w:rFonts w:ascii="Times New Roman" w:hAnsi="Times New Roman" w:cs="Times New Roman" w:eastAsia="Times New Roman" w:hint="default"/>
          <w:spacing w:val="-2"/>
        </w:rPr>
        <w:t>30</w:t>
      </w:r>
      <w:r>
        <w:rPr>
          <w:spacing w:val="-2"/>
        </w:rPr>
        <w:t>万元提高至</w:t>
      </w:r>
      <w:r>
        <w:rPr>
          <w:rFonts w:ascii="Times New Roman" w:hAnsi="Times New Roman" w:cs="Times New Roman" w:eastAsia="Times New Roman" w:hint="default"/>
          <w:spacing w:val="-2"/>
        </w:rPr>
        <w:t>50</w:t>
      </w:r>
      <w:r>
        <w:rPr>
          <w:spacing w:val="-2"/>
        </w:rPr>
        <w:t>万元，对年应纳税所得额低于</w:t>
      </w:r>
      <w:r>
        <w:rPr>
          <w:rFonts w:ascii="Times New Roman" w:hAnsi="Times New Roman" w:cs="Times New Roman" w:eastAsia="Times New Roman" w:hint="default"/>
          <w:spacing w:val="-2"/>
        </w:rPr>
        <w:t>50</w:t>
      </w:r>
      <w:r>
        <w:rPr>
          <w:spacing w:val="-2"/>
        </w:rPr>
        <w:t>万元（含</w:t>
      </w:r>
      <w:r>
        <w:rPr>
          <w:rFonts w:ascii="Times New Roman" w:hAnsi="Times New Roman" w:cs="Times New Roman" w:eastAsia="Times New Roman" w:hint="default"/>
          <w:spacing w:val="-2"/>
        </w:rPr>
        <w:t>50</w:t>
      </w:r>
      <w:r>
        <w:rPr>
          <w:spacing w:val="-2"/>
        </w:rPr>
        <w:t>万元）的小型微利企业，其</w:t>
      </w:r>
      <w:r>
        <w:rPr>
          <w:spacing w:val="-59"/>
        </w:rPr>
        <w:t> </w:t>
      </w:r>
      <w:r>
        <w:rPr>
          <w:spacing w:val="-59"/>
        </w:rPr>
      </w:r>
      <w:r>
        <w:rPr/>
        <w:t>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0" w:lineRule="auto" w:before="13"/>
        <w:ind w:left="1134" w:right="1122" w:firstLine="360"/>
        <w:jc w:val="left"/>
      </w:pPr>
      <w:r>
        <w:rPr/>
        <w:t>根据财政部《关于软件产品增值税政策的通知》财税〔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号文的规定，增值税一般纳税人销售其自行开发生产 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1"/>
        <w:rPr>
          <w:rFonts w:ascii="宋体" w:hAnsi="宋体" w:cs="宋体" w:eastAsia="宋体" w:hint="default"/>
          <w:sz w:val="22"/>
          <w:szCs w:val="22"/>
        </w:rPr>
      </w:pPr>
    </w:p>
    <w:p>
      <w:pPr>
        <w:spacing w:line="487" w:lineRule="auto" w:before="0"/>
        <w:ind w:left="1133" w:right="7693" w:firstLine="0"/>
        <w:jc w:val="left"/>
        <w:rPr>
          <w:rFonts w:ascii="宋体" w:hAnsi="宋体" w:cs="宋体" w:eastAsia="宋体" w:hint="default"/>
          <w:sz w:val="21"/>
          <w:szCs w:val="21"/>
        </w:rPr>
      </w:pPr>
      <w:bookmarkStart w:name="3、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4"/>
      <w:bookmarkEnd w:id="22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202,612.67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300,336,781.77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259,224,393.37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2,672,444.07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207,860.00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303,161,159.47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259,634,866.04</w:t>
            </w:r>
          </w:p>
        </w:tc>
      </w:tr>
    </w:tbl>
    <w:p>
      <w:pPr>
        <w:pStyle w:val="BodyText"/>
        <w:spacing w:line="240" w:lineRule="auto" w:before="51"/>
        <w:ind w:left="1134" w:right="0"/>
        <w:jc w:val="left"/>
      </w:pPr>
      <w:r>
        <w:rPr/>
        <w:t>其他说明</w:t>
      </w:r>
    </w:p>
    <w:p>
      <w:pPr>
        <w:pStyle w:val="BodyText"/>
        <w:spacing w:line="302" w:lineRule="auto" w:before="116"/>
        <w:ind w:left="1134" w:right="0"/>
        <w:jc w:val="left"/>
      </w:pPr>
      <w:r>
        <w:rPr/>
        <w:t>其他货币资金期末数中因办理保函而受限的金额</w:t>
      </w:r>
      <w:r>
        <w:rPr>
          <w:rFonts w:ascii="Times New Roman" w:hAnsi="Times New Roman" w:cs="Times New Roman" w:eastAsia="Times New Roman" w:hint="default"/>
        </w:rPr>
        <w:t>2,672,444.07</w:t>
      </w:r>
      <w:r>
        <w:rPr/>
        <w:t>元。除此之外，公司无其他因抵押、质押或冻结等对使用有限</w:t>
      </w:r>
      <w:r>
        <w:rPr>
          <w:spacing w:val="-48"/>
        </w:rPr>
        <w:t> </w:t>
      </w:r>
      <w:r>
        <w:rPr>
          <w:spacing w:val="-48"/>
        </w:rPr>
      </w:r>
      <w:r>
        <w:rPr/>
        <w:t>制、存放在境外、有潜在回收风险的款项。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Heading3"/>
        <w:spacing w:line="240" w:lineRule="auto"/>
        <w:ind w:left="1134"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7"/>
      <w:bookmarkEnd w:id="22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8"/>
      <w:bookmarkEnd w:id="22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4" w:right="0"/>
        <w:jc w:val="left"/>
        <w:rPr>
          <w:b w:val="0"/>
          <w:bCs w:val="0"/>
        </w:rPr>
      </w:pPr>
      <w:bookmarkStart w:name="（2）期末公司已质押的应收票据" w:id="229"/>
      <w:bookmarkEnd w:id="229"/>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公司已背书或贴现且在资产负债表日尚未到期的应收票据" w:id="230"/>
      <w:bookmarkEnd w:id="23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31"/>
      <w:bookmarkEnd w:id="231"/>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32"/>
      <w:bookmarkEnd w:id="23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33"/>
      <w:bookmarkEnd w:id="2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122,658,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000.97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14,702,8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107,955,1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55,981,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157.74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8,306,996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47,674,161.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122,658,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14,702,8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107,955,1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55,981,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157.74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8,306,996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47,674,161.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105,394,487.82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5,269,724.40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105,394,487.82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5,269,724.40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7,973,201.64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1,993,300.41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3,700,942.65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1,850,471.33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5,589,368.86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5,589,368.86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122,658,000.97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14,702,865.00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11.99%</w:t>
            </w:r>
          </w:p>
        </w:tc>
      </w:tr>
    </w:tbl>
    <w:p>
      <w:pPr>
        <w:pStyle w:val="BodyText"/>
        <w:spacing w:line="357" w:lineRule="auto" w:before="51"/>
        <w:ind w:right="4453"/>
        <w:jc w:val="left"/>
      </w:pPr>
      <w:r>
        <w:rPr/>
        <w:t>确定该组合依据的说明： 其他不重大应收款项及经单独测试后未发现减值迹象的单项金额重大应收款项。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5,594,612.80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35"/>
      <w:bookmarkEnd w:id="23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251,710.00</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134" w:right="2832"/>
        <w:jc w:val="left"/>
      </w:pPr>
      <w:r>
        <w:rPr/>
        <w:t>应收账款核销说明： 因债务人逾期三年未履行偿债义务，并且有确凿证据表明无法收回或收回的可能性不大的应收款项。</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36"/>
      <w:bookmarkEnd w:id="23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spacing w:after="0" w:line="357" w:lineRule="auto"/>
        <w:jc w:val="left"/>
        <w:sectPr>
          <w:type w:val="continuous"/>
          <w:pgSz w:w="11910" w:h="16840"/>
          <w:pgMar w:top="1060" w:bottom="1160" w:left="0" w:right="0"/>
        </w:sectPr>
      </w:pPr>
    </w:p>
    <w:p>
      <w:pPr>
        <w:spacing w:line="240" w:lineRule="auto" w:before="11"/>
        <w:rPr>
          <w:rFonts w:ascii="宋体" w:hAnsi="宋体" w:cs="宋体" w:eastAsia="宋体" w:hint="default"/>
          <w:sz w:val="29"/>
          <w:szCs w:val="29"/>
        </w:rPr>
      </w:pPr>
    </w:p>
    <w:p>
      <w:pPr>
        <w:spacing w:line="2460" w:lineRule="exact"/>
        <w:ind w:left="1134"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848350" cy="15621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5848350" cy="1562100"/>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8"/>
        <w:rPr>
          <w:rFonts w:ascii="宋体" w:hAnsi="宋体" w:cs="宋体" w:eastAsia="宋体" w:hint="default"/>
          <w:sz w:val="20"/>
          <w:szCs w:val="20"/>
        </w:rPr>
      </w:pPr>
    </w:p>
    <w:p>
      <w:pPr>
        <w:pStyle w:val="Heading3"/>
        <w:spacing w:line="240" w:lineRule="auto" w:before="35"/>
        <w:ind w:right="0"/>
        <w:jc w:val="left"/>
        <w:rPr>
          <w:b w:val="0"/>
          <w:bCs w:val="0"/>
        </w:rPr>
      </w:pPr>
      <w:bookmarkStart w:name="（5）因金融资产转移而终止确认的应收账款" w:id="237"/>
      <w:bookmarkEnd w:id="23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38"/>
      <w:bookmarkEnd w:id="23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预付款项" w:id="239"/>
      <w:bookmarkEnd w:id="23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5,206,601.35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3,184,050.53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595,522.50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338,422.50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5,912,730.25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3,779,573.03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1232" w:lineRule="exact"/>
        <w:ind w:left="1134"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4469701" cy="782669"/>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8" cstate="print"/>
                    <a:stretch>
                      <a:fillRect/>
                    </a:stretch>
                  </pic:blipFill>
                  <pic:spPr>
                    <a:xfrm>
                      <a:off x="0" y="0"/>
                      <a:ext cx="4469701" cy="782669"/>
                    </a:xfrm>
                    <a:prstGeom prst="rect">
                      <a:avLst/>
                    </a:prstGeom>
                  </pic:spPr>
                </pic:pic>
              </a:graphicData>
            </a:graphic>
          </wp:inline>
        </w:drawing>
      </w:r>
      <w:r>
        <w:rPr>
          <w:rFonts w:ascii="宋体" w:hAnsi="宋体" w:cs="宋体" w:eastAsia="宋体" w:hint="default"/>
          <w:position w:val="-24"/>
          <w:sz w:val="20"/>
          <w:szCs w:val="20"/>
        </w:rPr>
      </w:r>
    </w:p>
    <w:p>
      <w:pPr>
        <w:spacing w:after="0" w:line="1232"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5"/>
          <w:szCs w:val="25"/>
        </w:rPr>
      </w:pPr>
    </w:p>
    <w:p>
      <w:pPr>
        <w:spacing w:line="2490" w:lineRule="exact"/>
        <w:ind w:left="1134"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5572760" cy="15811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9" cstate="print"/>
                    <a:stretch>
                      <a:fillRect/>
                    </a:stretch>
                  </pic:blipFill>
                  <pic:spPr>
                    <a:xfrm>
                      <a:off x="0" y="0"/>
                      <a:ext cx="5572760" cy="1581150"/>
                    </a:xfrm>
                    <a:prstGeom prst="rect">
                      <a:avLst/>
                    </a:prstGeom>
                  </pic:spPr>
                </pic:pic>
              </a:graphicData>
            </a:graphic>
          </wp:inline>
        </w:drawing>
      </w:r>
      <w:r>
        <w:rPr>
          <w:rFonts w:ascii="宋体" w:hAnsi="宋体" w:cs="宋体" w:eastAsia="宋体" w:hint="default"/>
          <w:position w:val="-49"/>
          <w:sz w:val="20"/>
          <w:szCs w:val="20"/>
        </w:rPr>
      </w:r>
    </w:p>
    <w:p>
      <w:pPr>
        <w:pStyle w:val="BodyText"/>
        <w:spacing w:line="240" w:lineRule="auto" w:before="55"/>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应收利息" w:id="242"/>
      <w:bookmarkEnd w:id="242"/>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43"/>
      <w:bookmarkEnd w:id="243"/>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316,273.98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316,273.98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逾期利息" w:id="244"/>
      <w:bookmarkEnd w:id="244"/>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应收股利" w:id="245"/>
      <w:bookmarkEnd w:id="245"/>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股利" w:id="246"/>
      <w:bookmarkEnd w:id="246"/>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的账龄超过1年的应收股利" w:id="247"/>
      <w:bookmarkEnd w:id="247"/>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9、其他应收款" w:id="248"/>
      <w:bookmarkEnd w:id="24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9"/>
      <w:bookmarkEnd w:id="2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7,032,97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2,239,16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4,793,812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5,793,3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1,218,477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4,574,851.7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7,032,97</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6.75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2,239,16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31.84%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4,793,812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5,793,3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21.03%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4,574,851.7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2,321,962.55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2,321,962.55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2,066,797.00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516,699.25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1,037,850.00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568,517.20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568,517.20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7,032,976.75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2,239,164.58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38"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971,774.66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251"/>
      <w:bookmarkEnd w:id="25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252"/>
      <w:bookmarkEnd w:id="25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5,624,625.59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5,192,322.20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430,500.36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977,850.80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601,007.32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7,032,976.75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5,793,329.52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53"/>
      <w:bookmarkEnd w:id="25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江西省煤田地质局 测绘大队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1,627,060.00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406,765.00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南平市延平区会计 集中核算中心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北京京瑞大厦有限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209,468.52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163,707.67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重庆市财政局非税 收入征收管理中心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3,704,528.52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1,592,472.67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54"/>
      <w:bookmarkEnd w:id="25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255"/>
      <w:bookmarkEnd w:id="25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256"/>
      <w:bookmarkEnd w:id="25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512"/>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left="1134"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7,616,573.84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7,616,573.84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5,812,635.08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5,812,635.08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2,066,008.75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2,066,008.75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1,059,002.70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1,059,002.70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3,460,161.32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3,460,161.32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207,900.00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13,142,743.91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13,142,743.91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7,079,537.78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7,079,537.78</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60"/>
      <w:bookmarkEnd w:id="26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期末建造合同形成的已完工未结算资产情况" w:id="261"/>
      <w:bookmarkEnd w:id="26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持有待售的资产" w:id="262"/>
      <w:bookmarkEnd w:id="262"/>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63"/>
      <w:bookmarkEnd w:id="26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64"/>
      <w:bookmarkEnd w:id="26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13,224.81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一年内到期的银行理财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90,000,875.00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90,004,954.71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13,224.81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65"/>
      <w:bookmarkEnd w:id="26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6"/>
      <w:bookmarkEnd w:id="26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7"/>
      <w:bookmarkEnd w:id="26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按成本计量的可供出售金融资产" w:id="268"/>
      <w:bookmarkEnd w:id="26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9"/>
      <w:bookmarkEnd w:id="26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70"/>
      <w:bookmarkEnd w:id="27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71"/>
      <w:bookmarkEnd w:id="27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2"/>
      <w:bookmarkEnd w:id="27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重要的持有至到期投资" w:id="273"/>
      <w:bookmarkEnd w:id="27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重分类的持有至到期投资" w:id="274"/>
      <w:bookmarkEnd w:id="27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16、长期应收款" w:id="275"/>
      <w:bookmarkEnd w:id="275"/>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6"/>
      <w:bookmarkEnd w:id="27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因金融资产转移而终止确认的长期应收款" w:id="277"/>
      <w:bookmarkEnd w:id="27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78"/>
      <w:bookmarkEnd w:id="27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9"/>
      <w:bookmarkEnd w:id="279"/>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58,206.85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firstLine="180"/>
              <w:jc w:val="both"/>
              <w:rPr>
                <w:rFonts w:ascii="宋体" w:hAnsi="宋体" w:cs="宋体" w:eastAsia="宋体" w:hint="default"/>
                <w:sz w:val="18"/>
                <w:szCs w:val="18"/>
              </w:rPr>
            </w:pPr>
            <w:r>
              <w:rPr>
                <w:rFonts w:ascii="宋体" w:hAnsi="宋体" w:cs="宋体" w:eastAsia="宋体" w:hint="default"/>
                <w:sz w:val="18"/>
                <w:szCs w:val="18"/>
              </w:rPr>
              <w:t>福州同 力科技开 发有限公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9,610,144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2"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1,788,888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16,788,88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金财科技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firstLine="180"/>
              <w:jc w:val="both"/>
              <w:rPr>
                <w:rFonts w:ascii="宋体" w:hAnsi="宋体" w:cs="宋体" w:eastAsia="宋体" w:hint="default"/>
                <w:sz w:val="18"/>
                <w:szCs w:val="18"/>
              </w:rPr>
            </w:pPr>
            <w:r>
              <w:rPr>
                <w:rFonts w:ascii="宋体" w:hAnsi="宋体" w:cs="宋体" w:eastAsia="宋体" w:hint="default"/>
                <w:sz w:val="18"/>
                <w:szCs w:val="18"/>
              </w:rPr>
              <w:t>哈尔滨 派斯内特 科技发展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18,454.26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418,454.2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2,475,693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29,082,22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2,475,693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29,082,22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80"/>
      <w:bookmarkEnd w:id="280"/>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81"/>
      <w:bookmarkEnd w:id="28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13,069,650.33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13,069,650.33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13,069,650.33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13,069,650.33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728,928.01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728,928.01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414,076.86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414,076.86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414,076.86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414,076.86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1,143,004.87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11,926,645.46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11,926,645.46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12,340,722.32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12,340,722.32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采用公允价值计量模式的投资性房地产" w:id="282"/>
      <w:bookmarkEnd w:id="28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83"/>
      <w:bookmarkEnd w:id="28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研发大楼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11,926,645.46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84"/>
      <w:bookmarkEnd w:id="284"/>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85"/>
      <w:bookmarkEnd w:id="28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594"/>
        <w:gridCol w:w="1594"/>
        <w:gridCol w:w="1595"/>
        <w:gridCol w:w="1594"/>
      </w:tblGrid>
      <w:tr>
        <w:trPr>
          <w:trHeight w:val="402" w:hRule="exact"/>
        </w:trPr>
        <w:tc>
          <w:tcPr>
            <w:tcW w:w="159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120,568,709.82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7,337,110.28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5,333,867.10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3,026,167.27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136,265,854.47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5,860,794.82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3,429,688.49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853,006.89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32,851,290.20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4,548,569.71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2,657,594.49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416,999.89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7,623,164.09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1,312,225.11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772,094.00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436,007.00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25,228,126.11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38,151.90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752,353.90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38,151.90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714,202.00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752,353.90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143,276,509.82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13,159,753.20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8,049,353.59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3,879,174.16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168,364,790.77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6,721,407.71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4,089,152.07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3,459,423.52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1,002,636.20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15,272,619.50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4,660,037.50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3,068,240.81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1,619,276.03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990,541.05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10,338,095.39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4,248,255.40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1,853,078.37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870,344.84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566,867.23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7,538,545.84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411,782.10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1,215,162.44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748,931.19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423,673.82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2,799,549.55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678,491.90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715,499.24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37,007.34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678,491.90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715,499.24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11,381,445.21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7,120,385.54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4,400,207.65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1,993,177.25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24,895,215.65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131,895,064.61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6,039,367.66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3,649,145.94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1,885,996.91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143,469,575.12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56" w:right="0"/>
              <w:jc w:val="left"/>
              <w:rPr>
                <w:rFonts w:ascii="Times New Roman" w:hAnsi="Times New Roman" w:cs="Times New Roman" w:eastAsia="Times New Roman" w:hint="default"/>
                <w:sz w:val="18"/>
                <w:szCs w:val="18"/>
              </w:rPr>
            </w:pPr>
            <w:r>
              <w:rPr>
                <w:rFonts w:ascii="Times New Roman"/>
                <w:sz w:val="18"/>
              </w:rPr>
              <w:t>113,847,302.11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3,247,958.21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1,874,443.58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2,023,531.07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120,993,234.97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2）暂时闲置的固定资产情况" w:id="286"/>
      <w:bookmarkEnd w:id="28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通过融资租赁租入的固定资产情况" w:id="287"/>
      <w:bookmarkEnd w:id="28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通过经营租赁租出的固定资产" w:id="288"/>
      <w:bookmarkEnd w:id="28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89"/>
      <w:bookmarkEnd w:id="28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106,035,696.81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内蒙古办公楼停车位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678,896.76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呼和浩特不办理车位产权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2"/>
              <w:jc w:val="righ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106,714,593.57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在建工程" w:id="290"/>
      <w:bookmarkEnd w:id="290"/>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91"/>
      <w:bookmarkEnd w:id="29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92"/>
      <w:bookmarkEnd w:id="29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93"/>
      <w:bookmarkEnd w:id="29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工程物资" w:id="294"/>
      <w:bookmarkEnd w:id="294"/>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95"/>
      <w:bookmarkEnd w:id="295"/>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96"/>
      <w:bookmarkEnd w:id="29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7"/>
      <w:bookmarkEnd w:id="29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8"/>
      <w:bookmarkEnd w:id="29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99"/>
      <w:bookmarkEnd w:id="29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300"/>
      <w:bookmarkEnd w:id="300"/>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301"/>
      <w:bookmarkEnd w:id="30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594"/>
        <w:gridCol w:w="1594"/>
        <w:gridCol w:w="1605"/>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0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办公软件、软著权</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6,489,538.90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470,957.27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6,960,496.17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16,657,906.50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16,657,906.50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336,677.44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336,677.44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16,321,229.06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16,321,229.06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6,489,538.90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17,128,863.77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23,618,402.67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665,593.76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142,291.89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807,885.65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133,118.76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1,051,112.36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1,184,231.12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630,007.04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554,224.08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554,224.08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798,712.52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1,193,404.25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1,992,116.77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5,690,826.38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15,935,459.52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21,626,285.90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5,823,945.14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328,665.38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6,152,610.52</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302"/>
      <w:bookmarkEnd w:id="30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303"/>
      <w:bookmarkEnd w:id="30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商誉" w:id="304"/>
      <w:bookmarkEnd w:id="304"/>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305"/>
      <w:bookmarkEnd w:id="30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1,932,398.53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1,932,398.53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12,624,974.61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12,624,974.61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50,416,305.84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50,416,305.84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14,557,373.14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50,416,305.84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64,973,678.98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6"/>
      <w:bookmarkEnd w:id="30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both"/>
      </w:pPr>
      <w:r>
        <w:rPr/>
        <w:t>说明商誉减值测试过程、参数及商誉减值损失的确认方法：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240" w:lineRule="auto"/>
        <w:ind w:left="1134" w:right="0"/>
        <w:jc w:val="both"/>
      </w:pPr>
      <w:r>
        <w:rPr/>
        <w:t>其他说明</w:t>
      </w:r>
    </w:p>
    <w:p>
      <w:pPr>
        <w:pStyle w:val="BodyText"/>
        <w:spacing w:line="240" w:lineRule="auto" w:before="115"/>
        <w:ind w:left="1494" w:right="0"/>
        <w:jc w:val="left"/>
      </w:pPr>
      <w:r>
        <w:rPr/>
        <w:t>注①：以前年度商誉的形成说明</w:t>
      </w:r>
    </w:p>
    <w:p>
      <w:pPr>
        <w:pStyle w:val="BodyText"/>
        <w:spacing w:line="300" w:lineRule="auto" w:before="76"/>
        <w:ind w:right="1130"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月公司非同一控制下合并博思电子政务，合并成本为人民币</w:t>
      </w:r>
      <w:r>
        <w:rPr>
          <w:rFonts w:ascii="Times New Roman" w:hAnsi="Times New Roman" w:cs="Times New Roman" w:eastAsia="Times New Roman" w:hint="default"/>
        </w:rPr>
        <w:t>7,912,839.88</w:t>
      </w:r>
      <w:r>
        <w:rPr/>
        <w:t>元，合并日博思电子政务可辨认净资 </w:t>
      </w:r>
      <w:r>
        <w:rPr>
          <w:spacing w:val="-1"/>
        </w:rPr>
        <w:t>产的公允价值为</w:t>
      </w:r>
      <w:r>
        <w:rPr>
          <w:rFonts w:ascii="Times New Roman" w:hAnsi="Times New Roman" w:cs="Times New Roman" w:eastAsia="Times New Roman" w:hint="default"/>
          <w:spacing w:val="-1"/>
        </w:rPr>
        <w:t>5,980,441.35</w:t>
      </w:r>
      <w:r>
        <w:rPr>
          <w:spacing w:val="-1"/>
        </w:rPr>
        <w:t>元，公司按持股比例享有的可辨认净资产的公允价值份额为</w:t>
      </w:r>
      <w:r>
        <w:rPr>
          <w:rFonts w:ascii="Times New Roman" w:hAnsi="Times New Roman" w:cs="Times New Roman" w:eastAsia="Times New Roman" w:hint="default"/>
          <w:spacing w:val="-1"/>
        </w:rPr>
        <w:t>5,980,441.35</w:t>
      </w:r>
      <w:r>
        <w:rPr>
          <w:spacing w:val="-1"/>
        </w:rPr>
        <w:t>元，差额</w:t>
      </w:r>
      <w:r>
        <w:rPr>
          <w:rFonts w:ascii="Times New Roman" w:hAnsi="Times New Roman" w:cs="Times New Roman" w:eastAsia="Times New Roman" w:hint="default"/>
          <w:spacing w:val="-1"/>
        </w:rPr>
        <w:t>1,932,398.53</w:t>
      </w:r>
      <w:r>
        <w:rPr>
          <w:spacing w:val="-1"/>
        </w:rPr>
        <w:t>元</w:t>
      </w:r>
      <w:r>
        <w:rPr>
          <w:spacing w:val="-60"/>
        </w:rPr>
        <w:t> </w:t>
      </w:r>
      <w:r>
        <w:rPr/>
        <w:t>确认为商誉。</w:t>
      </w:r>
    </w:p>
    <w:p>
      <w:pPr>
        <w:pStyle w:val="BodyText"/>
        <w:spacing w:line="300" w:lineRule="auto" w:before="31"/>
        <w:ind w:right="1130"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月公司非同一控制下合并支点国际，合并成本为人民币</w:t>
      </w:r>
      <w:r>
        <w:rPr>
          <w:rFonts w:ascii="Times New Roman" w:hAnsi="Times New Roman" w:cs="Times New Roman" w:eastAsia="Times New Roman" w:hint="default"/>
          <w:spacing w:val="-1"/>
        </w:rPr>
        <w:t>16,345,500.00</w:t>
      </w:r>
      <w:r>
        <w:rPr>
          <w:spacing w:val="-1"/>
        </w:rPr>
        <w:t>元，合并日支点国际可辨认净资产的公允</w:t>
      </w:r>
      <w:r>
        <w:rPr/>
        <w:t> 价值为</w:t>
      </w:r>
      <w:r>
        <w:rPr>
          <w:rFonts w:ascii="Times New Roman" w:hAnsi="Times New Roman" w:cs="Times New Roman" w:eastAsia="Times New Roman" w:hint="default"/>
        </w:rPr>
        <w:t>7,289,430.62</w:t>
      </w:r>
      <w:r>
        <w:rPr/>
        <w:t>元，公司按持股比例享有的可辨认净资产的公允价值份额为</w:t>
      </w:r>
      <w:r>
        <w:rPr>
          <w:rFonts w:ascii="Times New Roman" w:hAnsi="Times New Roman" w:cs="Times New Roman" w:eastAsia="Times New Roman" w:hint="default"/>
        </w:rPr>
        <w:t>3,720,525.39</w:t>
      </w:r>
      <w:r>
        <w:rPr/>
        <w:t>元，差额</w:t>
      </w:r>
      <w:r>
        <w:rPr>
          <w:rFonts w:ascii="Times New Roman" w:hAnsi="Times New Roman" w:cs="Times New Roman" w:eastAsia="Times New Roman" w:hint="default"/>
        </w:rPr>
        <w:t>12,624,974.61</w:t>
      </w:r>
      <w:r>
        <w:rPr/>
        <w:t>元确认为</w:t>
      </w:r>
      <w:r>
        <w:rPr>
          <w:spacing w:val="-53"/>
        </w:rPr>
        <w:t> </w:t>
      </w:r>
      <w:r>
        <w:rPr/>
        <w:t>商誉。</w:t>
      </w:r>
    </w:p>
    <w:p>
      <w:pPr>
        <w:pStyle w:val="BodyText"/>
        <w:spacing w:line="300" w:lineRule="auto" w:before="32"/>
        <w:ind w:left="1351" w:right="1115" w:firstLine="142"/>
        <w:jc w:val="left"/>
      </w:pPr>
      <w:r>
        <w:rPr/>
        <w:t>注②：本期增加商誉</w:t>
      </w:r>
      <w:r>
        <w:rPr>
          <w:rFonts w:ascii="Times New Roman" w:hAnsi="Times New Roman" w:cs="Times New Roman" w:eastAsia="Times New Roman" w:hint="default"/>
        </w:rPr>
        <w:t>50,416,305.84</w:t>
      </w:r>
      <w:r>
        <w:rPr/>
        <w:t>元，其中：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月签订协议以</w:t>
      </w:r>
      <w:r>
        <w:rPr>
          <w:rFonts w:ascii="Times New Roman" w:hAnsi="Times New Roman" w:cs="Times New Roman" w:eastAsia="Times New Roman" w:hint="default"/>
        </w:rPr>
        <w:t>8,400.00</w:t>
      </w:r>
      <w:r>
        <w:rPr/>
        <w:t>万元购买内蒙古金财</w:t>
      </w:r>
      <w:r>
        <w:rPr>
          <w:rFonts w:ascii="Times New Roman" w:hAnsi="Times New Roman" w:cs="Times New Roman" w:eastAsia="Times New Roman" w:hint="default"/>
        </w:rPr>
        <w:t>70%</w:t>
      </w:r>
      <w:r>
        <w:rPr/>
        <w:t>股权，</w:t>
      </w:r>
      <w:r>
        <w:rPr>
          <w:rFonts w:ascii="Times New Roman" w:hAnsi="Times New Roman" w:cs="Times New Roman" w:eastAsia="Times New Roman" w:hint="default"/>
        </w:rPr>
        <w:t>9</w:t>
      </w:r>
      <w:r>
        <w:rPr/>
        <w:t>月支付首付款，根据北京中天衡平国际资产评估有限</w:t>
      </w:r>
    </w:p>
    <w:p>
      <w:pPr>
        <w:pStyle w:val="BodyText"/>
        <w:spacing w:line="300" w:lineRule="auto" w:before="13"/>
        <w:ind w:right="1132"/>
        <w:jc w:val="both"/>
      </w:pPr>
      <w:r>
        <w:rPr/>
        <w:t>公司出具的中天衡平评字（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16017</w:t>
      </w:r>
      <w:r>
        <w:rPr/>
        <w:t>号评估报告评估确定的房屋建筑物、软著权增值，并考虑评估基准日至购买日期间 </w:t>
      </w:r>
      <w:r>
        <w:rPr>
          <w:spacing w:val="-1"/>
        </w:rPr>
        <w:t>评估增值资产对应的折旧（摊销）的影响，购买日应享有内蒙古金财可辨认净资产公允价值的份额为</w:t>
      </w:r>
      <w:r>
        <w:rPr>
          <w:rFonts w:ascii="Times New Roman" w:hAnsi="Times New Roman" w:cs="Times New Roman" w:eastAsia="Times New Roman" w:hint="default"/>
          <w:spacing w:val="-1"/>
        </w:rPr>
        <w:t>31,512,254.16</w:t>
      </w:r>
      <w:r>
        <w:rPr>
          <w:spacing w:val="-1"/>
        </w:rPr>
        <w:t>元，需支</w:t>
      </w:r>
      <w:r>
        <w:rPr>
          <w:spacing w:val="-70"/>
        </w:rPr>
        <w:t> </w:t>
      </w:r>
      <w:r>
        <w:rPr>
          <w:spacing w:val="-70"/>
        </w:rPr>
      </w:r>
      <w:r>
        <w:rPr/>
        <w:t>付对价与可辨认净资产公允价值的差额</w:t>
      </w:r>
      <w:r>
        <w:rPr>
          <w:rFonts w:ascii="Times New Roman" w:hAnsi="Times New Roman" w:cs="Times New Roman" w:eastAsia="Times New Roman" w:hint="default"/>
        </w:rPr>
        <w:t>50,416,305.84</w:t>
      </w:r>
      <w:r>
        <w:rPr/>
        <w:t>元计入商誉。</w:t>
      </w:r>
    </w:p>
    <w:p>
      <w:pPr>
        <w:pStyle w:val="BodyText"/>
        <w:spacing w:line="300" w:lineRule="auto" w:before="13"/>
        <w:ind w:left="1493" w:right="1123" w:hanging="70"/>
        <w:jc w:val="left"/>
      </w:pPr>
      <w:r>
        <w:rPr/>
        <w:t>具体详见</w:t>
      </w:r>
      <w:r>
        <w:rPr>
          <w:rFonts w:ascii="Times New Roman" w:hAnsi="Times New Roman" w:cs="Times New Roman" w:eastAsia="Times New Roman" w:hint="default"/>
        </w:rPr>
        <w:t>“</w:t>
      </w:r>
      <w:r>
        <w:rPr/>
        <w:t>附注六、</w:t>
      </w:r>
      <w:r>
        <w:rPr>
          <w:rFonts w:ascii="Times New Roman" w:hAnsi="Times New Roman" w:cs="Times New Roman" w:eastAsia="Times New Roman" w:hint="default"/>
        </w:rPr>
        <w:t>1</w:t>
      </w:r>
      <w:r>
        <w:rPr/>
        <w:t>合并范围的变更</w:t>
      </w:r>
      <w:r>
        <w:rPr>
          <w:rFonts w:ascii="Times New Roman" w:hAnsi="Times New Roman" w:cs="Times New Roman" w:eastAsia="Times New Roman" w:hint="default"/>
        </w:rPr>
        <w:t>-</w:t>
      </w:r>
      <w:r>
        <w:rPr/>
        <w:t>非同一控制下企业合并</w:t>
      </w:r>
      <w:r>
        <w:rPr>
          <w:rFonts w:ascii="Times New Roman" w:hAnsi="Times New Roman" w:cs="Times New Roman" w:eastAsia="Times New Roman" w:hint="default"/>
        </w:rPr>
        <w:t>”</w:t>
      </w:r>
      <w:r>
        <w:rPr/>
        <w:t>情况说明。 注③：资产负债表日，管理层根据并购公司过往表现及其对市场发展的预期编制财务预算，预计未来</w:t>
      </w:r>
      <w:r>
        <w:rPr>
          <w:rFonts w:ascii="Times New Roman" w:hAnsi="Times New Roman" w:cs="Times New Roman" w:eastAsia="Times New Roman" w:hint="default"/>
        </w:rPr>
        <w:t>5</w:t>
      </w:r>
      <w:r>
        <w:rPr/>
        <w:t>年内现金流量，</w:t>
      </w:r>
    </w:p>
    <w:p>
      <w:pPr>
        <w:pStyle w:val="BodyText"/>
        <w:spacing w:line="240" w:lineRule="auto" w:before="13"/>
        <w:ind w:right="0"/>
        <w:jc w:val="both"/>
      </w:pPr>
      <w:r>
        <w:rPr/>
        <w:t>并假设其后年度现金流量均保持稳定增长。测试结果，商誉未发生减值。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8、长期待摊费用" w:id="307"/>
      <w:bookmarkEnd w:id="30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1,660,386.81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290,280.39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1,370,106.42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1,660,386.81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290,280.39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1,370,106.42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9、递延所得税资产/递延所得税负债" w:id="308"/>
      <w:bookmarkEnd w:id="30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9"/>
      <w:bookmarkEnd w:id="3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16,942,029.58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2,592,388.70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9,527,679.00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1,435,424.98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10,271,613.79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2,567,903.45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10,673,960.00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1,665,680.25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37,887,603.37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6,825,972.40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9,527,679.00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1,435,424.98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10"/>
      <w:bookmarkEnd w:id="31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31,083,544.10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4,662,531.62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31,083,544.10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4,662,531.62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11"/>
      <w:bookmarkEnd w:id="31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6,825,972.40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1,435,424.98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4,662,531.62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12"/>
      <w:bookmarkEnd w:id="31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5,469,938.83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5,678,143.38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5,469,938.83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5,678,143.38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13"/>
      <w:bookmarkEnd w:id="31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1,357,392.08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5,678,143.38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4,112,546.75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5,469,938.83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5,678,143.38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14"/>
      <w:bookmarkEnd w:id="314"/>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短期借款" w:id="315"/>
      <w:bookmarkEnd w:id="315"/>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16"/>
      <w:bookmarkEnd w:id="31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51"/>
        <w:ind w:left="113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17"/>
      <w:bookmarkEnd w:id="31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18"/>
      <w:bookmarkEnd w:id="318"/>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19"/>
      <w:bookmarkEnd w:id="319"/>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应付票据" w:id="320"/>
      <w:bookmarkEnd w:id="320"/>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5、应付账款" w:id="321"/>
      <w:bookmarkEnd w:id="321"/>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22"/>
      <w:bookmarkEnd w:id="32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24,303,245.78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14,149,121.11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投资未结算款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550,422.75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768,392.87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191,493.77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469,358.06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29,545,162.30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15,386,872.04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380,280.00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尚未支付</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杭州快鸟遥感科技有限公司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256,796.12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福建省中智建设技术工程有限责任公司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491,525.75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1,128,601.87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24"/>
      <w:bookmarkEnd w:id="324"/>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25"/>
      <w:bookmarkEnd w:id="32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13,299,983.59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7,974,858.01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13,299,983.59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7,974,858.01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预收款项"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福建省交通信息通信与应急处置中心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项目尚未完工结算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福州市数字福州建设领导小组办公室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项目尚未完工结算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972,000.00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27"/>
      <w:bookmarkEnd w:id="32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28"/>
      <w:bookmarkEnd w:id="328"/>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9"/>
      <w:bookmarkEnd w:id="32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17,017,415.04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128,012,888.94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111,649,936.64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33,380,367.34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7,103,695.03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6,989,840.73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131,976.94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17,035,537.68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135,116,583.97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118,639,777.37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33,512,344.28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30"/>
      <w:bookmarkEnd w:id="33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16,912,704.68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110,273,024.11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94,054,179.38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33,131,549.41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6,908,535.80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6,817,535.80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5,197,077.97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5,141,034.20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64,253.06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4,817,489.87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4,766,097.63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59,063.04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133,916.19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132,193.48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245,671.91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242,743.09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3,542.52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4,680,971.34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4,662,012.66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30,233.68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85,226.07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953,279.72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975,174.60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63,331.19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17,017,415.04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128,012,888.94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111,649,936.64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33,380,367.34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31"/>
      <w:bookmarkEnd w:id="33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6,764,158.37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128,176.17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228,736.21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225,682.36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7,103,695.03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6,989,840.73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131,976.94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应交税费" w:id="332"/>
      <w:bookmarkEnd w:id="332"/>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8,538,447.09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2,962,568.07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7,665,354.21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3,101,357.10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1,750,341.57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173,223.68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601,007.29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207,139.93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160,363.24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109,868.60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429,849.97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147,886.51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80,510.19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90,780.28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19,393,960.59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6,873,334.36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应付利息" w:id="333"/>
      <w:bookmarkEnd w:id="333"/>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0、应付股利" w:id="334"/>
      <w:bookmarkEnd w:id="334"/>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本期并购的内蒙古金财信息子公司股东 分利款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16,798,666.11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16,798,666.11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5"/>
      <w:bookmarkEnd w:id="33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6"/>
      <w:bookmarkEnd w:id="33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1,885,787.83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2,157,610.00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社医保代垫款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88,755.19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187,067.83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310,668.61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收到股权激励款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129,636,032.33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131,727,791.26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2,557,033.80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持有待售的负债" w:id="338"/>
      <w:bookmarkEnd w:id="338"/>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39"/>
      <w:bookmarkEnd w:id="339"/>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4、其他流动负债" w:id="340"/>
      <w:bookmarkEnd w:id="340"/>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长期借款" w:id="341"/>
      <w:bookmarkEnd w:id="341"/>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42"/>
      <w:bookmarkEnd w:id="34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6、应付债券" w:id="343"/>
      <w:bookmarkEnd w:id="343"/>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44"/>
      <w:bookmarkEnd w:id="34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债券的增减变动（不包括划分为金融负债的优先股、永续债等其他金融工具）" w:id="345"/>
      <w:bookmarkEnd w:id="34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6"/>
      <w:bookmarkEnd w:id="34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7"/>
      <w:bookmarkEnd w:id="34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after="0" w:line="36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48"/>
      <w:bookmarkEnd w:id="348"/>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9"/>
      <w:bookmarkEnd w:id="34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未支付投资款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48,693,960.00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50"/>
      <w:bookmarkEnd w:id="350"/>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1"/>
      <w:bookmarkEnd w:id="35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设定受益计划变动情况" w:id="352"/>
      <w:bookmarkEnd w:id="35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9、专项应付款" w:id="353"/>
      <w:bookmarkEnd w:id="353"/>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54"/>
      <w:bookmarkEnd w:id="354"/>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1、递延收益" w:id="355"/>
      <w:bookmarkEnd w:id="355"/>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56"/>
      <w:bookmarkEnd w:id="356"/>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3、股本" w:id="357"/>
      <w:bookmarkEnd w:id="357"/>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68,139,000.00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3,893,000.00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3,893,000.00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72,032,000.00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其他权益工具" w:id="358"/>
      <w:bookmarkEnd w:id="358"/>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9"/>
      <w:bookmarkEnd w:id="35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60"/>
      <w:bookmarkEnd w:id="36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5、资本公积" w:id="361"/>
      <w:bookmarkEnd w:id="36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195,510,487.50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125,860,690.00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321,371,177.50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-909,005.85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4,365,097.26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3,456,091.41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194,601,481.65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130,225,787.26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324,827,268.91</w:t>
            </w:r>
          </w:p>
        </w:tc>
      </w:tr>
    </w:tbl>
    <w:p>
      <w:pPr>
        <w:pStyle w:val="BodyText"/>
        <w:spacing w:line="357" w:lineRule="auto" w:before="51"/>
        <w:ind w:left="1616" w:right="0" w:hanging="483"/>
        <w:jc w:val="left"/>
        <w:rPr>
          <w:rFonts w:ascii="Times New Roman" w:hAnsi="Times New Roman" w:cs="Times New Roman" w:eastAsia="Times New Roman" w:hint="default"/>
        </w:rPr>
      </w:pPr>
      <w:r>
        <w:rPr/>
        <w:t>其他说明，包括本期增减变动情况、变动原因说明： 注</w:t>
      </w:r>
      <w:r>
        <w:rPr>
          <w:rFonts w:ascii="Times New Roman" w:hAnsi="Times New Roman" w:cs="Times New Roman" w:eastAsia="Times New Roman" w:hint="default"/>
        </w:rPr>
        <w:t>1</w:t>
      </w:r>
      <w:r>
        <w:rPr/>
        <w:t>：根据第二届董事会第十三、十四次会议决议并同意《关于公司</w:t>
      </w:r>
      <w:r>
        <w:rPr>
          <w:rFonts w:ascii="Times New Roman" w:hAnsi="Times New Roman" w:cs="Times New Roman" w:eastAsia="Times New Roman" w:hint="default"/>
        </w:rPr>
        <w:t>&lt;2017</w:t>
      </w:r>
      <w:r>
        <w:rPr/>
        <w:t>年限制性股票激励计划（草案）及其摘要</w:t>
      </w:r>
      <w:r>
        <w:rPr>
          <w:rFonts w:ascii="Times New Roman" w:hAnsi="Times New Roman" w:cs="Times New Roman" w:eastAsia="Times New Roman" w:hint="default"/>
        </w:rPr>
        <w:t>&gt;</w:t>
      </w:r>
    </w:p>
    <w:p>
      <w:pPr>
        <w:pStyle w:val="BodyText"/>
        <w:spacing w:line="214" w:lineRule="exact"/>
        <w:ind w:left="1134" w:right="0"/>
        <w:jc w:val="left"/>
      </w:pPr>
      <w:r>
        <w:rPr/>
        <w:t>的议案》、《关于审议博思软件</w:t>
      </w:r>
      <w:r>
        <w:rPr>
          <w:rFonts w:ascii="Times New Roman" w:hAnsi="Times New Roman" w:cs="Times New Roman" w:eastAsia="Times New Roman" w:hint="default"/>
        </w:rPr>
        <w:t>&lt;2017</w:t>
      </w:r>
      <w:r>
        <w:rPr/>
        <w:t>年限制性股票激励计划实施考核管理办法</w:t>
      </w:r>
      <w:r>
        <w:rPr>
          <w:rFonts w:ascii="Times New Roman" w:hAnsi="Times New Roman" w:cs="Times New Roman" w:eastAsia="Times New Roman" w:hint="default"/>
        </w:rPr>
        <w:t>&gt;</w:t>
      </w:r>
      <w:r>
        <w:rPr/>
        <w:t>的议案》、《关于调整限制性股票激励计</w:t>
      </w:r>
    </w:p>
    <w:p>
      <w:pPr>
        <w:pStyle w:val="BodyText"/>
        <w:spacing w:line="300" w:lineRule="auto" w:before="63"/>
        <w:ind w:left="1134" w:right="1131"/>
        <w:jc w:val="left"/>
      </w:pPr>
      <w:r>
        <w:rPr/>
        <w:t>划相关事项的议案》等，以每股</w:t>
      </w:r>
      <w:r>
        <w:rPr>
          <w:rFonts w:ascii="Times New Roman" w:hAnsi="Times New Roman" w:cs="Times New Roman" w:eastAsia="Times New Roman" w:hint="default"/>
        </w:rPr>
        <w:t>33.33</w:t>
      </w:r>
      <w:r>
        <w:rPr/>
        <w:t>元授予限制性股票</w:t>
      </w:r>
      <w:r>
        <w:rPr>
          <w:rFonts w:ascii="Times New Roman" w:hAnsi="Times New Roman" w:cs="Times New Roman" w:eastAsia="Times New Roman" w:hint="default"/>
        </w:rPr>
        <w:t>389.30</w:t>
      </w:r>
      <w:r>
        <w:rPr/>
        <w:t>万股，此预案实施后公司股本由</w:t>
      </w:r>
      <w:r>
        <w:rPr>
          <w:rFonts w:ascii="Times New Roman" w:hAnsi="Times New Roman" w:cs="Times New Roman" w:eastAsia="Times New Roman" w:hint="default"/>
        </w:rPr>
        <w:t>6,813.90</w:t>
      </w:r>
      <w:r>
        <w:rPr/>
        <w:t>万股增加为</w:t>
      </w:r>
      <w:r>
        <w:rPr>
          <w:rFonts w:ascii="Times New Roman" w:hAnsi="Times New Roman" w:cs="Times New Roman" w:eastAsia="Times New Roman" w:hint="default"/>
        </w:rPr>
        <w:t>7,203.20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万股，资本公积</w:t>
      </w:r>
      <w:r>
        <w:rPr>
          <w:rFonts w:ascii="Times New Roman" w:hAnsi="Times New Roman" w:cs="Times New Roman" w:eastAsia="Times New Roman" w:hint="default"/>
        </w:rPr>
        <w:t>-</w:t>
      </w:r>
      <w:r>
        <w:rPr/>
        <w:t>资本溢价（股本溢价）增加</w:t>
      </w:r>
      <w:r>
        <w:rPr>
          <w:rFonts w:ascii="Times New Roman" w:hAnsi="Times New Roman" w:cs="Times New Roman" w:eastAsia="Times New Roman" w:hint="default"/>
        </w:rPr>
        <w:t>125,860,690.00</w:t>
      </w:r>
      <w:r>
        <w:rPr/>
        <w:t>元。</w:t>
      </w:r>
    </w:p>
    <w:p>
      <w:pPr>
        <w:pStyle w:val="BodyText"/>
        <w:spacing w:line="300" w:lineRule="auto" w:before="13"/>
        <w:ind w:right="1131" w:firstLine="482"/>
        <w:jc w:val="left"/>
      </w:pPr>
      <w:r>
        <w:rPr/>
        <w:t>注</w:t>
      </w:r>
      <w:r>
        <w:rPr>
          <w:rFonts w:ascii="Times New Roman" w:hAnsi="Times New Roman" w:cs="Times New Roman" w:eastAsia="Times New Roman" w:hint="default"/>
        </w:rPr>
        <w:t>2</w:t>
      </w:r>
      <w:r>
        <w:rPr/>
        <w:t>：本期根据《企业会计准则第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rFonts w:ascii="Times New Roman" w:hAnsi="Times New Roman" w:cs="Times New Roman" w:eastAsia="Times New Roman" w:hint="default"/>
        </w:rPr>
        <w:t>—</w:t>
      </w:r>
      <w:r>
        <w:rPr/>
        <w:t>股份支付》的相关规定确认与限制性股票相关的股份支付费用，该股份支付 费用计入相关成本费用，同时增加资本公积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3,324,917.40</w:t>
      </w:r>
      <w:r>
        <w:rPr/>
        <w:t>元。</w:t>
      </w:r>
    </w:p>
    <w:p>
      <w:pPr>
        <w:pStyle w:val="BodyText"/>
        <w:spacing w:line="300" w:lineRule="auto" w:before="13"/>
        <w:ind w:right="1136" w:firstLine="482"/>
        <w:jc w:val="left"/>
      </w:pPr>
      <w:r>
        <w:rPr/>
        <w:t>注</w:t>
      </w:r>
      <w:r>
        <w:rPr>
          <w:rFonts w:ascii="Times New Roman" w:hAnsi="Times New Roman" w:cs="Times New Roman" w:eastAsia="Times New Roman" w:hint="default"/>
        </w:rPr>
        <w:t>3</w:t>
      </w:r>
      <w:r>
        <w:rPr/>
        <w:t>：本期公司账面确认与限制性股票相关的股份支付费用与税法规定的税前可抵扣金额存在差异，超过部分增加递 延所得税资产，同时增加资本公积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1,040,179.86</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56、库存股" w:id="362"/>
      <w:bookmarkEnd w:id="36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129,753,690.00</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7、其他综合收益" w:id="363"/>
      <w:bookmarkEnd w:id="36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64"/>
      <w:bookmarkEnd w:id="36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9、盈余公积" w:id="365"/>
      <w:bookmarkEnd w:id="36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13,943,396.06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5,024,772.10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18,968,168.16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13,943,396.06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5,024,772.10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18,968,168.16</w:t>
            </w:r>
          </w:p>
        </w:tc>
      </w:tr>
    </w:tbl>
    <w:p>
      <w:pPr>
        <w:pStyle w:val="BodyText"/>
        <w:spacing w:line="240" w:lineRule="auto" w:before="51"/>
        <w:ind w:left="113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0、未分配利润" w:id="366"/>
      <w:bookmarkEnd w:id="36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145,541,481.37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123,662,686.95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145,541,481.37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123,662,686.95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54,685,146.71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38,301,620.49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5,024,772.10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2,795,026.07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13,627,800.00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195,201,855.98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145,541,481.37</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67"/>
      <w:bookmarkEnd w:id="36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308,375,323.93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96,969,740.69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169,939,209.49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52,278,969.91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1,507,048.00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414,076.86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1,312,086.63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407,578.60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309,882,371.93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97,383,817.55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171,251,296.12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52,686,548.51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2、税金及附加" w:id="368"/>
      <w:bookmarkEnd w:id="36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1,592,995.74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685,657.48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1,137,080.95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489,909.96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1,054,247.55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746,251.56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230,030.74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166,645.53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229,615.52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116,187.69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420,726.86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155,739.44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19,613.30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5,950.01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4,700,632.37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2,399,994.96</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3、销售费用" w:id="369"/>
      <w:bookmarkEnd w:id="36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25,575,669.13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9,263,979.29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5,623,438.22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2,527,136.75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6,973,687.53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2,923,685.48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3,426,129.74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2,698,142.60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3,539,003.51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2,657,478.47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450,510.82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139,771.29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7,994,291.20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7,062,525.28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621,542.90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352,742.86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1,005,244.00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196,845.73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55,209,517.05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27,822,307.75</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4、管理费用" w:id="370"/>
      <w:bookmarkEnd w:id="37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21,069,973.49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10,141,007.90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3,357,661.01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3,043,108.50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1,897,746.95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1,071,130.32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5,825,321.73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2,416,871.94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4,559,254.59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3,569,820.59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338,318.46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5,962,870.47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2,827,698.06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48,655,797.15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24,446,038.31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1,407,748.35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961,743.36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150,012.00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2,208,228.43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1,926,635.40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95,095,448.67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50,892,384.84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5、财务费用" w:id="371"/>
      <w:bookmarkEnd w:id="371"/>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64,766.66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1,690,342.61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837,894.70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31,616.47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-741,678.62</w:t>
            </w:r>
            <w:r>
              <w:rPr>
                <w:rFonts w:ascii="Times New Roman"/>
                <w:sz w:val="18"/>
              </w:rPr>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72"/>
      <w:bookmarkEnd w:id="372"/>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6,566,387.46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4,570,784.55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6,566,387.46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4,570,784.55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73"/>
      <w:bookmarkEnd w:id="373"/>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74"/>
      <w:bookmarkEnd w:id="37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2,475,693.66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288,270.84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316,273.98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1,166,523.72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3,958,491.36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288,270.84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资产处置收益" w:id="375"/>
      <w:bookmarkEnd w:id="375"/>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0、其他收益" w:id="376"/>
      <w:bookmarkEnd w:id="376"/>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6,467,119.27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第五批科技项目专利奖励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第一批省科技创新领军人才奖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科技成果转化与扩散专项经费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知识产权示范企业奖励资金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发明专利奖励和资助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小微企业免征增值税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1、营业外收入" w:id="377"/>
      <w:bookmarkEnd w:id="377"/>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35,607.25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9,362,502.38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35,607.25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35,298.89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35,298.89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35,298.89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35,298.89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23" w:right="0"/>
              <w:jc w:val="left"/>
              <w:rPr>
                <w:rFonts w:ascii="宋体" w:hAnsi="宋体" w:cs="宋体" w:eastAsia="宋体" w:hint="default"/>
                <w:sz w:val="18"/>
                <w:szCs w:val="18"/>
              </w:rPr>
            </w:pPr>
            <w:r>
              <w:rPr>
                <w:rFonts w:ascii="宋体" w:hAnsi="宋体" w:cs="宋体" w:eastAsia="宋体" w:hint="default"/>
                <w:sz w:val="18"/>
                <w:szCs w:val="18"/>
              </w:rPr>
              <w:t>无形资产处置利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152,253.49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21,882.45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152,253.49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223,159.63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9,390,733.04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223,159.63</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软件增值税 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国家税务总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6,467,119.27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6,680,352.38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福州市科技 局第七批省 创新型企业 项目配套奖 励经费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小微企业创 新发展项目 补助收入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哈尔滨市科 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高校毕业生 补贴等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77"/>
              <w:jc w:val="both"/>
              <w:rPr>
                <w:rFonts w:ascii="宋体" w:hAnsi="宋体" w:cs="宋体" w:eastAsia="宋体" w:hint="default"/>
                <w:sz w:val="18"/>
                <w:szCs w:val="18"/>
              </w:rPr>
            </w:pPr>
            <w:r>
              <w:rPr>
                <w:rFonts w:ascii="宋体" w:hAnsi="宋体" w:cs="宋体" w:eastAsia="宋体" w:hint="default"/>
                <w:sz w:val="18"/>
                <w:szCs w:val="18"/>
              </w:rPr>
              <w:t>福州市公务 员局</w:t>
            </w:r>
            <w:r>
              <w:rPr>
                <w:rFonts w:ascii="Times New Roman" w:hAnsi="Times New Roman" w:cs="Times New Roman" w:eastAsia="Times New Roman" w:hint="default"/>
                <w:sz w:val="18"/>
                <w:szCs w:val="18"/>
              </w:rPr>
              <w:t>/</w:t>
            </w:r>
            <w:r>
              <w:rPr>
                <w:rFonts w:ascii="宋体" w:hAnsi="宋体" w:cs="宋体" w:eastAsia="宋体" w:hint="default"/>
                <w:sz w:val="18"/>
                <w:szCs w:val="18"/>
              </w:rPr>
              <w:t>福州市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112"/>
              <w:jc w:val="both"/>
              <w:rPr>
                <w:rFonts w:ascii="宋体" w:hAnsi="宋体" w:cs="宋体" w:eastAsia="宋体" w:hint="default"/>
                <w:sz w:val="18"/>
                <w:szCs w:val="18"/>
              </w:rPr>
            </w:pPr>
            <w:r>
              <w:rPr>
                <w:rFonts w:ascii="宋体" w:hAnsi="宋体" w:cs="宋体" w:eastAsia="宋体" w:hint="default"/>
                <w:sz w:val="18"/>
                <w:szCs w:val="18"/>
              </w:rPr>
              <w:t>福州市发展 和改革委员 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缴通互 联网资金补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福州市科技 局动态公务 监管系统专 项经费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福州市财政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南岗区科技 计划项目扶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哈尔滨市南 岗区科学技 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业政策性资 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哈尔滨市科 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失业保险稳 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哈尔滨失业 保险基金管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35,607.25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第五批科技 项目专利奖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晋安区发展 改革和科技 局</w:t>
            </w:r>
            <w:r>
              <w:rPr>
                <w:rFonts w:ascii="Times New Roman" w:hAnsi="Times New Roman" w:cs="Times New Roman" w:eastAsia="Times New Roman" w:hint="default"/>
                <w:sz w:val="18"/>
                <w:szCs w:val="18"/>
              </w:rPr>
              <w:t>/</w:t>
            </w:r>
            <w:r>
              <w:rPr>
                <w:rFonts w:ascii="宋体" w:hAnsi="宋体" w:cs="宋体" w:eastAsia="宋体" w:hint="default"/>
                <w:sz w:val="18"/>
                <w:szCs w:val="18"/>
              </w:rPr>
              <w:t>晋安区财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第一批省科 技创新领军 人才奖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福州市科学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发明专利奖 励和资助款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福州市知识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科技成果转 化与扩散专 项经费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晋安区发展 改革和科技 局</w:t>
            </w:r>
            <w:r>
              <w:rPr>
                <w:rFonts w:ascii="Times New Roman" w:hAnsi="Times New Roman" w:cs="Times New Roman" w:eastAsia="Times New Roman" w:hint="default"/>
                <w:sz w:val="18"/>
                <w:szCs w:val="18"/>
              </w:rPr>
              <w:t>/</w:t>
            </w:r>
            <w:r>
              <w:rPr>
                <w:rFonts w:ascii="宋体" w:hAnsi="宋体" w:cs="宋体" w:eastAsia="宋体" w:hint="default"/>
                <w:sz w:val="18"/>
                <w:szCs w:val="18"/>
              </w:rPr>
              <w:t>晋安区财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知识产权示 范企业奖励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福州市知识 产权局</w:t>
            </w:r>
            <w:r>
              <w:rPr>
                <w:rFonts w:ascii="Times New Roman" w:hAnsi="Times New Roman" w:cs="Times New Roman" w:eastAsia="Times New Roman" w:hint="default"/>
                <w:sz w:val="18"/>
                <w:szCs w:val="18"/>
              </w:rPr>
              <w:t>/</w:t>
            </w:r>
            <w:r>
              <w:rPr>
                <w:rFonts w:ascii="宋体" w:hAnsi="宋体" w:cs="宋体" w:eastAsia="宋体" w:hint="default"/>
                <w:sz w:val="18"/>
                <w:szCs w:val="18"/>
              </w:rPr>
              <w:t>福州 市科学技术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小微企业免 征增值税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国家税务总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7,273,585.74</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9,362,502.38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营业外支出" w:id="378"/>
      <w:bookmarkEnd w:id="378"/>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137,320.00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1,532.93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1,532.93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143,252.93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143,252.93</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所得税费用" w:id="379"/>
      <w:bookmarkEnd w:id="379"/>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80"/>
      <w:bookmarkEnd w:id="3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10,682,122.11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5,901,617.23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-4,115,273.95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-232,204.22</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6,566,848.16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5,669,413.01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81"/>
      <w:bookmarkEnd w:id="3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63,493,058.32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9,523,958.76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-604,523.25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-371,354.05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3,029,709.63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-1,076,462.91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615,524.91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-4,474,392.85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递延所得税资产使用税率与实际税率不同差异影响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-76,244.26</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6,566,848.16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4、其他综合收益" w:id="382"/>
      <w:bookmarkEnd w:id="382"/>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5、现金流量表项目" w:id="383"/>
      <w:bookmarkEnd w:id="383"/>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84"/>
      <w:bookmarkEnd w:id="3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2,701,389.25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1,690,982.94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837,894.70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18,716,543.93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7,833,618.22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21,177,526.87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11,372,902.17</w:t>
            </w:r>
          </w:p>
        </w:tc>
      </w:tr>
    </w:tbl>
    <w:p>
      <w:pPr>
        <w:pStyle w:val="BodyText"/>
        <w:spacing w:line="240" w:lineRule="auto" w:before="51"/>
        <w:ind w:left="113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85"/>
      <w:bookmarkEnd w:id="3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管理费用、销售费用中支付的现金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52,749,786.10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32,250,864.12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31,329.42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21,487,666.54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12,265,763.18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74,269,569.44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44,547,956.72</w:t>
            </w:r>
          </w:p>
        </w:tc>
      </w:tr>
    </w:tbl>
    <w:p>
      <w:pPr>
        <w:pStyle w:val="BodyText"/>
        <w:spacing w:line="240" w:lineRule="auto" w:before="51"/>
        <w:ind w:left="113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86"/>
      <w:bookmarkEnd w:id="3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87"/>
      <w:bookmarkEnd w:id="38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88"/>
      <w:bookmarkEnd w:id="38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支付的其他与筹资活动有关的现金" w:id="389"/>
      <w:bookmarkEnd w:id="38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上市费用及其他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447,986.35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7,611,756.05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447,986.35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7,611,756.05</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6、现金流量表补充资料" w:id="390"/>
      <w:bookmarkEnd w:id="390"/>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1"/>
      <w:bookmarkEnd w:id="3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56,926,210.16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37,628,351.54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6,314,677.46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4,570,784.55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7,952,622.70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5,975,859.38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630,007.04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180,214.44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290,280.39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-6,348.21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-33,765.96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368,753.20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64,886.66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92.009979pt;width:151.25pt;height:20.8pt;mso-position-horizontal-relative:page;mso-position-vertical-relative:page;z-index:-988312" coordorigin="4467,1840" coordsize="3025,416">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90;top:1852;width:3002;height:393" coordorigin="4490,1852" coordsize="3002,393">
              <v:shape style="position:absolute;left:4490;top:1852;width:3002;height:393" coordorigin="4490,1852" coordsize="3002,393" path="m4490,2244l7491,2244,7491,1852,4490,1852,4490,2244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-3,958,491.36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-288,270.84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-5,225,265.70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-232,204.22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-731,184.57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2,200,731.03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-50,350,347.38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-20,540,673.89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39,333,447.23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3,443,762.11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4,670,961.75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56,187,904.96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32,997,092.55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300,488,715.40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259,427,006.04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259,427,006.04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88,101,251.79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41,061,709.36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171,325,754.25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92"/>
      <w:bookmarkEnd w:id="3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7,095,208.61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7,095,208.61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26,504,791.39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93"/>
      <w:bookmarkEnd w:id="39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4"/>
      <w:bookmarkEnd w:id="39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300,488,715.40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259,427,006.04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151,933.63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202,612.67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300,336,781.77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259,224,393.37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300,488,715.40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259,427,006.04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395"/>
      <w:bookmarkEnd w:id="39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396"/>
      <w:bookmarkEnd w:id="396"/>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2,672,444.07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2,672,444.07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9、外币货币性项目" w:id="397"/>
      <w:bookmarkEnd w:id="397"/>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8"/>
      <w:bookmarkEnd w:id="3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9"/>
      <w:bookmarkEnd w:id="39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0、套期" w:id="400"/>
      <w:bookmarkEnd w:id="400"/>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8329" w:firstLine="0"/>
        <w:jc w:val="left"/>
        <w:rPr>
          <w:rFonts w:ascii="宋体" w:hAnsi="宋体" w:cs="宋体" w:eastAsia="宋体" w:hint="default"/>
          <w:sz w:val="21"/>
          <w:szCs w:val="21"/>
        </w:rPr>
      </w:pPr>
      <w:bookmarkStart w:name="81、其他" w:id="401"/>
      <w:bookmarkEnd w:id="401"/>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2"/>
      <w:bookmarkEnd w:id="40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4"/>
      <w:bookmarkEnd w:id="40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内蒙古金财 信息技术有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81,928,560.0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改组董事会 支付投资款 完成工商变 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5"/>
              <w:ind w:left="-140"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39,455,825.7</w:t>
            </w:r>
          </w:p>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7,800,416.87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5"/>
      <w:bookmarkEnd w:id="40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48,328,560.00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31,512,254.16</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50,416,305.84</w:t>
            </w:r>
          </w:p>
        </w:tc>
      </w:tr>
    </w:tbl>
    <w:p>
      <w:pPr>
        <w:pStyle w:val="BodyText"/>
        <w:spacing w:line="357" w:lineRule="auto" w:before="51"/>
        <w:ind w:left="1494" w:right="1122" w:hanging="360"/>
        <w:jc w:val="left"/>
      </w:pPr>
      <w:r>
        <w:rPr/>
        <w:t>合并成本公允价值的确定方法、或有对价及其变动的说明： 备注①：</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日，公司与池澈等</w:t>
      </w:r>
      <w:r>
        <w:rPr>
          <w:rFonts w:ascii="Times New Roman" w:hAnsi="Times New Roman" w:cs="Times New Roman" w:eastAsia="Times New Roman" w:hint="default"/>
        </w:rPr>
        <w:t>13</w:t>
      </w:r>
      <w:r>
        <w:rPr/>
        <w:t>名出让方签订股权转让协议，分别受让公司原</w:t>
      </w:r>
      <w:r>
        <w:rPr>
          <w:rFonts w:ascii="Times New Roman" w:hAnsi="Times New Roman" w:cs="Times New Roman" w:eastAsia="Times New Roman" w:hint="default"/>
        </w:rPr>
        <w:t>13</w:t>
      </w:r>
      <w:r>
        <w:rPr/>
        <w:t>名股东持有的内蒙金财公司</w:t>
      </w:r>
    </w:p>
    <w:p>
      <w:pPr>
        <w:pStyle w:val="BodyText"/>
        <w:spacing w:line="214" w:lineRule="exact"/>
        <w:ind w:right="0"/>
        <w:jc w:val="both"/>
      </w:pPr>
      <w:r>
        <w:rPr>
          <w:rFonts w:ascii="Times New Roman" w:hAnsi="Times New Roman" w:cs="Times New Roman" w:eastAsia="Times New Roman" w:hint="default"/>
        </w:rPr>
        <w:t>70%</w:t>
      </w:r>
      <w:r>
        <w:rPr/>
        <w:t>股权，本次股权转让目标公司估值为</w:t>
      </w:r>
      <w:r>
        <w:rPr>
          <w:rFonts w:ascii="Times New Roman" w:hAnsi="Times New Roman" w:cs="Times New Roman" w:eastAsia="Times New Roman" w:hint="default"/>
        </w:rPr>
        <w:t>1.2</w:t>
      </w:r>
      <w:r>
        <w:rPr/>
        <w:t>亿元，</w:t>
      </w:r>
      <w:r>
        <w:rPr>
          <w:rFonts w:ascii="Times New Roman" w:hAnsi="Times New Roman" w:cs="Times New Roman" w:eastAsia="Times New Roman" w:hint="default"/>
        </w:rPr>
        <w:t>70%</w:t>
      </w:r>
      <w:r>
        <w:rPr/>
        <w:t>股权转让价格为</w:t>
      </w:r>
      <w:r>
        <w:rPr>
          <w:rFonts w:ascii="Times New Roman" w:hAnsi="Times New Roman" w:cs="Times New Roman" w:eastAsia="Times New Roman" w:hint="default"/>
        </w:rPr>
        <w:t>8400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日，内蒙金财办理了股权变</w:t>
      </w:r>
    </w:p>
    <w:p>
      <w:pPr>
        <w:pStyle w:val="BodyText"/>
        <w:spacing w:line="300" w:lineRule="auto" w:before="63"/>
        <w:ind w:right="1081"/>
        <w:jc w:val="both"/>
      </w:pPr>
      <w:r>
        <w:rPr/>
        <w:t>更登记。公司持有内蒙金财</w:t>
      </w:r>
      <w:r>
        <w:rPr>
          <w:rFonts w:ascii="Times New Roman" w:hAnsi="Times New Roman" w:cs="Times New Roman" w:eastAsia="Times New Roman" w:hint="default"/>
        </w:rPr>
        <w:t>70%</w:t>
      </w:r>
      <w:r>
        <w:rPr/>
        <w:t>股权，且在内蒙金财董事会持有半数以上的表决权，能够决定公司的经营政策和财务政策， 对公司形成非同一控制下的企业合并，合并基准日为：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日。根据评估确定的并考虑评估基准日至购买日期间评</w:t>
      </w:r>
      <w:r>
        <w:rPr>
          <w:spacing w:val="-82"/>
        </w:rPr>
        <w:t> </w:t>
      </w:r>
      <w:r>
        <w:rPr>
          <w:spacing w:val="-82"/>
        </w:rPr>
      </w:r>
      <w:r>
        <w:rPr/>
        <w:t>估增值资产对应的折旧（摊销）的影响，公司购买日应享有内蒙金财可辨认净资产公允价值的份额为</w:t>
      </w:r>
      <w:r>
        <w:rPr>
          <w:rFonts w:ascii="Times New Roman" w:hAnsi="Times New Roman" w:cs="Times New Roman" w:eastAsia="Times New Roman" w:hint="default"/>
        </w:rPr>
        <w:t>31,512,254.16</w:t>
      </w:r>
      <w:r>
        <w:rPr/>
        <w:t>元，需支 付对价与可辨认净资产公允价值的差额</w:t>
      </w:r>
      <w:r>
        <w:rPr>
          <w:rFonts w:ascii="Times New Roman" w:hAnsi="Times New Roman" w:cs="Times New Roman" w:eastAsia="Times New Roman" w:hint="default"/>
        </w:rPr>
        <w:t>50,416,305.84</w:t>
      </w:r>
      <w:r>
        <w:rPr/>
        <w:t>元计入商誉。</w:t>
      </w:r>
    </w:p>
    <w:p>
      <w:pPr>
        <w:spacing w:line="240" w:lineRule="auto" w:before="0"/>
        <w:rPr>
          <w:rFonts w:ascii="宋体" w:hAnsi="宋体" w:cs="宋体" w:eastAsia="宋体" w:hint="default"/>
          <w:sz w:val="18"/>
          <w:szCs w:val="18"/>
        </w:rPr>
      </w:pPr>
    </w:p>
    <w:p>
      <w:pPr>
        <w:pStyle w:val="BodyText"/>
        <w:spacing w:line="357" w:lineRule="auto" w:before="130"/>
        <w:ind w:left="1134" w:right="8592"/>
        <w:jc w:val="left"/>
      </w:pPr>
      <w:r>
        <w:rPr/>
        <w:t>大额商誉形成的主要原因： 其他说明：</w:t>
      </w:r>
    </w:p>
    <w:p>
      <w:pPr>
        <w:spacing w:line="240" w:lineRule="auto" w:before="1"/>
        <w:rPr>
          <w:rFonts w:ascii="宋体" w:hAnsi="宋体" w:cs="宋体" w:eastAsia="宋体" w:hint="default"/>
          <w:sz w:val="20"/>
          <w:szCs w:val="20"/>
        </w:rPr>
      </w:pPr>
    </w:p>
    <w:p>
      <w:pPr>
        <w:pStyle w:val="Heading3"/>
        <w:spacing w:line="240" w:lineRule="auto"/>
        <w:ind w:left="1134" w:right="0"/>
        <w:jc w:val="both"/>
        <w:rPr>
          <w:b w:val="0"/>
          <w:bCs w:val="0"/>
        </w:rPr>
      </w:pPr>
      <w:bookmarkStart w:name="（3）被购买方于购买日可辨认资产、负债" w:id="406"/>
      <w:bookmarkEnd w:id="40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005"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7,095,208.61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7,095,208.61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19,469,354.35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19,469,354.35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5,332,021.56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5,332,021.56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22,428,576.56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7,651,450.55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15,767,004.98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586,329.90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586,329.90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递延所有税资产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165,281.72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2,925,705.93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2,925,705.93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4,662,531.62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1,239,000.15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1,239,000.15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1,230,816.63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1,230,816.63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16,798,666.11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16,798,666.11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45,017,505.94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19,263,911.56</w:t>
            </w:r>
          </w:p>
        </w:tc>
      </w:tr>
    </w:tbl>
    <w:p>
      <w:pPr>
        <w:pStyle w:val="BodyText"/>
        <w:spacing w:line="357" w:lineRule="auto" w:before="51"/>
        <w:ind w:left="1616" w:right="6130" w:hanging="483"/>
        <w:jc w:val="left"/>
      </w:pPr>
      <w:r>
        <w:rPr/>
        <w:t>可辨认资产、负债公允价值的确定方法： 购买日经评估确认的可辨认资产、负债的公允价值。</w:t>
      </w:r>
    </w:p>
    <w:p>
      <w:pPr>
        <w:spacing w:line="240" w:lineRule="auto" w:before="1"/>
        <w:rPr>
          <w:rFonts w:ascii="宋体" w:hAnsi="宋体" w:cs="宋体" w:eastAsia="宋体" w:hint="default"/>
          <w:sz w:val="26"/>
          <w:szCs w:val="26"/>
        </w:rPr>
      </w:pPr>
    </w:p>
    <w:p>
      <w:pPr>
        <w:pStyle w:val="BodyText"/>
        <w:spacing w:line="360" w:lineRule="auto"/>
        <w:ind w:left="1134" w:right="7512"/>
        <w:jc w:val="left"/>
      </w:pPr>
      <w:r>
        <w:rPr/>
        <w:t>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购买日之前持有的股权按照公允价值重新计量产生的利得或损失" w:id="407"/>
      <w:bookmarkEnd w:id="40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08"/>
      <w:bookmarkEnd w:id="40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9"/>
      <w:bookmarkEnd w:id="40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10"/>
      <w:bookmarkEnd w:id="41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1"/>
      <w:bookmarkEnd w:id="41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52"/>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被合并方名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3"/>
              <w:jc w:val="left"/>
              <w:rPr>
                <w:rFonts w:ascii="宋体" w:hAnsi="宋体" w:cs="宋体" w:eastAsia="宋体" w:hint="default"/>
                <w:sz w:val="18"/>
                <w:szCs w:val="18"/>
              </w:rPr>
            </w:pPr>
            <w:r>
              <w:rPr>
                <w:rFonts w:ascii="宋体" w:hAnsi="宋体" w:cs="宋体" w:eastAsia="宋体" w:hint="default"/>
                <w:sz w:val="18"/>
                <w:szCs w:val="18"/>
              </w:rPr>
              <w:t>企业合并中 取得的权益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构成同一控 制下企业合</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合并日的确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比较期间被 合并方的收</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63"/>
              <w:jc w:val="left"/>
              <w:rPr>
                <w:rFonts w:ascii="宋体" w:hAnsi="宋体" w:cs="宋体" w:eastAsia="宋体" w:hint="default"/>
                <w:sz w:val="18"/>
                <w:szCs w:val="18"/>
              </w:rPr>
            </w:pPr>
            <w:r>
              <w:rPr>
                <w:rFonts w:ascii="宋体" w:hAnsi="宋体" w:cs="宋体" w:eastAsia="宋体" w:hint="default"/>
                <w:sz w:val="18"/>
                <w:szCs w:val="18"/>
              </w:rPr>
              <w:t>比较期间被 合并方的净</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74" w:hanging="270"/>
              <w:jc w:val="left"/>
              <w:rPr>
                <w:rFonts w:ascii="宋体" w:hAnsi="宋体" w:cs="宋体" w:eastAsia="宋体" w:hint="default"/>
                <w:sz w:val="18"/>
                <w:szCs w:val="18"/>
              </w:rPr>
            </w:pPr>
            <w:r>
              <w:rPr>
                <w:rFonts w:ascii="宋体" w:hAnsi="宋体" w:cs="宋体" w:eastAsia="宋体" w:hint="default"/>
                <w:sz w:val="18"/>
                <w:szCs w:val="18"/>
              </w:rPr>
              <w:t>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12"/>
      <w:bookmarkEnd w:id="41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13"/>
      <w:bookmarkEnd w:id="41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反向购买" w:id="414"/>
      <w:bookmarkEnd w:id="41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4、处置子公司" w:id="415"/>
      <w:bookmarkEnd w:id="41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16"/>
      <w:bookmarkEnd w:id="41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913"/>
        <w:jc w:val="left"/>
      </w:pPr>
      <w:r>
        <w:rPr/>
        <w:t>说明其他原因导致的合并范围变动（如，新设子公司、清算子公司等）及其相关情况： 报告期内新设子公司而增加的并表单位为：福建博思创业园管理有限公司。 具体持股情况详见</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33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shape style="position:absolute;margin-left:324.399994pt;margin-top:380.299988pt;width:74.05pt;height:54.65pt;mso-position-horizontal-relative:page;mso-position-vertical-relative:page;z-index:-9881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5"/>
                      <w:szCs w:val="15"/>
                    </w:rPr>
                  </w:pPr>
                </w:p>
                <w:p>
                  <w:pPr>
                    <w:pStyle w:val="BodyText"/>
                    <w:spacing w:line="240" w:lineRule="auto"/>
                    <w:ind w:left="0" w:right="0"/>
                    <w:jc w:val="left"/>
                  </w:pPr>
                  <w:r>
                    <w:rPr/>
                    <w:t>；</w:t>
                  </w:r>
                </w:p>
              </w:txbxContent>
            </v:textbox>
            <w10:wrap type="none"/>
          </v:shape>
        </w:pict>
      </w:r>
      <w:r>
        <w:rPr/>
        <w:pict>
          <v:shape style="position:absolute;margin-left:324.390991pt;margin-top:509.619995pt;width:74.05pt;height:70.2pt;mso-position-horizontal-relative:page;mso-position-vertical-relative:page;z-index:-9881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group style="position:absolute;margin-left:330.579987pt;margin-top:380.299988pt;width:67.9pt;height:54.65pt;mso-position-horizontal-relative:page;mso-position-vertical-relative:page;z-index:-988120" coordorigin="6612,7606" coordsize="1358,1093">
            <v:shape style="position:absolute;left:6612;top:7606;width:1358;height:1093" coordorigin="6612,7606" coordsize="1358,1093" path="m6612,8698l7969,8698,7969,7606,6612,7606,6612,8698xe" filled="true" fillcolor="#ffffff" stroked="false">
              <v:path arrowok="t"/>
              <v:fill type="solid"/>
            </v:shape>
            <w10:wrap type="none"/>
          </v:group>
        </w:pict>
      </w:r>
      <w:r>
        <w:rPr/>
        <w:pict>
          <v:group style="position:absolute;margin-left:330.579987pt;margin-top:509.619995pt;width:67.9pt;height:90.35pt;mso-position-horizontal-relative:page;mso-position-vertical-relative:page;z-index:-988096" coordorigin="6612,10192" coordsize="1358,1807">
            <v:group style="position:absolute;left:6612;top:10192;width:1358;height:1404" coordorigin="6612,10192" coordsize="1358,1404">
              <v:shape style="position:absolute;left:6612;top:10192;width:1358;height:1404" coordorigin="6612,10192" coordsize="1358,1404" path="m6612,11596l7969,11596,7969,10192,6612,10192,6612,11596xe" filled="true" fillcolor="#ffffff" stroked="false">
                <v:path arrowok="t"/>
                <v:fill type="solid"/>
              </v:shape>
            </v:group>
            <v:group style="position:absolute;left:6623;top:11596;width:2;height:392" coordorigin="6623,11596" coordsize="2,392">
              <v:shape style="position:absolute;left:6623;top:11596;width:2;height:392" coordorigin="6623,11596" coordsize="0,392" path="m6623,11596l6623,11988e" filled="false" stroked="true" strokeweight="1.140pt" strokecolor="#ffffff">
                <v:path arrowok="t"/>
              </v:shape>
            </v:group>
            <v:group style="position:absolute;left:6634;top:11596;width:1312;height:392" coordorigin="6634,11596" coordsize="1312,392">
              <v:shape style="position:absolute;left:6634;top:11596;width:1312;height:392" coordorigin="6634,11596" coordsize="1312,392" path="m6634,11988l7946,11988,7946,11596,6634,11596,6634,11988xe" filled="true" fillcolor="#ffffff" stroked="false">
                <v:path arrowok="t"/>
                <v:fill type="solid"/>
              </v:shape>
            </v:group>
            <w10:wrap type="none"/>
          </v:group>
        </w:pict>
      </w:r>
    </w:p>
    <w:p>
      <w:pPr>
        <w:spacing w:line="487" w:lineRule="auto" w:before="35"/>
        <w:ind w:left="1133" w:right="7693" w:firstLine="0"/>
        <w:jc w:val="left"/>
        <w:rPr>
          <w:rFonts w:ascii="宋体" w:hAnsi="宋体" w:cs="宋体" w:eastAsia="宋体" w:hint="default"/>
          <w:sz w:val="21"/>
          <w:szCs w:val="21"/>
        </w:rPr>
      </w:pPr>
      <w:bookmarkStart w:name="6、其他" w:id="417"/>
      <w:bookmarkEnd w:id="41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8"/>
      <w:bookmarkEnd w:id="4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9"/>
      <w:bookmarkEnd w:id="41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20"/>
      <w:bookmarkEnd w:id="42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黑龙江博思软件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9" w:lineRule="auto"/>
              <w:ind w:left="22" w:right="42"/>
              <w:jc w:val="both"/>
              <w:rPr>
                <w:rFonts w:ascii="宋体" w:hAnsi="宋体" w:cs="宋体" w:eastAsia="宋体" w:hint="default"/>
                <w:sz w:val="18"/>
                <w:szCs w:val="18"/>
              </w:rPr>
            </w:pPr>
            <w:r>
              <w:rPr>
                <w:rFonts w:ascii="宋体" w:hAnsi="宋体" w:cs="宋体" w:eastAsia="宋体" w:hint="default"/>
                <w:sz w:val="18"/>
                <w:szCs w:val="18"/>
              </w:rPr>
              <w:t>哈尔滨市南岗区 衡山路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计算机软硬件的 技术开发及销 售；计算机网络 工程的技术咨 询、技术服务。</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 开展经营活动）</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北京博思兴华软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7" w:lineRule="auto"/>
              <w:ind w:left="22" w:right="72"/>
              <w:jc w:val="left"/>
              <w:rPr>
                <w:rFonts w:ascii="宋体" w:hAnsi="宋体" w:cs="宋体" w:eastAsia="宋体" w:hint="default"/>
                <w:sz w:val="18"/>
                <w:szCs w:val="18"/>
              </w:rPr>
            </w:pPr>
            <w:r>
              <w:rPr>
                <w:rFonts w:ascii="宋体" w:hAnsi="宋体" w:cs="宋体" w:eastAsia="宋体" w:hint="default"/>
                <w:sz w:val="18"/>
                <w:szCs w:val="18"/>
              </w:rPr>
              <w:t>北京市海淀区永 澄北路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座一层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应用软件服务； 技术开发、技术 </w:t>
            </w:r>
            <w:r>
              <w:rPr>
                <w:rFonts w:ascii="宋体" w:hAnsi="宋体" w:cs="宋体" w:eastAsia="宋体" w:hint="default"/>
                <w:spacing w:val="-6"/>
                <w:sz w:val="18"/>
                <w:szCs w:val="18"/>
              </w:rPr>
              <w:t>服务、技术咨询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销售计算机、软 件及辅助设备</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（计算机信息系 统安全专用产品 除外）</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1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2" w:right="77"/>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2" w:right="21"/>
              <w:jc w:val="both"/>
              <w:rPr>
                <w:rFonts w:ascii="宋体" w:hAnsi="宋体" w:cs="宋体" w:eastAsia="宋体" w:hint="default"/>
                <w:sz w:val="18"/>
                <w:szCs w:val="18"/>
              </w:rPr>
            </w:pPr>
            <w:r>
              <w:rPr>
                <w:rFonts w:ascii="宋体" w:hAnsi="宋体" w:cs="宋体" w:eastAsia="宋体" w:hint="default"/>
                <w:sz w:val="18"/>
                <w:szCs w:val="18"/>
              </w:rPr>
              <w:t>福州市鼓楼区五 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号世界 金龙大厦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计算机软件、硬 件、通信及电子 产品的研究、开 </w:t>
            </w:r>
            <w:r>
              <w:rPr>
                <w:rFonts w:ascii="宋体" w:hAnsi="宋体" w:cs="宋体" w:eastAsia="宋体" w:hint="default"/>
                <w:spacing w:val="-6"/>
                <w:sz w:val="18"/>
                <w:szCs w:val="18"/>
              </w:rPr>
              <w:t>发、销售、服务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培训、技术转让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技术咨询（依法 须经批准的项 目，经相关部门 批准后方可开展 经营活动）</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福州兴博新中大 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2" w:lineRule="auto"/>
              <w:ind w:left="22" w:right="72"/>
              <w:jc w:val="both"/>
              <w:rPr>
                <w:rFonts w:ascii="宋体" w:hAnsi="宋体" w:cs="宋体" w:eastAsia="宋体" w:hint="default"/>
                <w:sz w:val="18"/>
                <w:szCs w:val="18"/>
              </w:rPr>
            </w:pPr>
            <w:r>
              <w:rPr>
                <w:rFonts w:ascii="宋体" w:hAnsi="宋体" w:cs="宋体" w:eastAsia="宋体" w:hint="default"/>
                <w:sz w:val="18"/>
                <w:szCs w:val="18"/>
              </w:rPr>
              <w:t>福建省福州市鼓 楼区工业路</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611</w:t>
            </w:r>
            <w:r>
              <w:rPr>
                <w:rFonts w:ascii="Times New Roman" w:hAnsi="Times New Roman" w:cs="Times New Roman" w:eastAsia="Times New Roman" w:hint="default"/>
                <w:sz w:val="18"/>
                <w:szCs w:val="18"/>
              </w:rPr>
              <w:t> </w:t>
            </w:r>
            <w:r>
              <w:rPr>
                <w:rFonts w:ascii="宋体" w:hAnsi="宋体" w:cs="宋体" w:eastAsia="宋体" w:hint="default"/>
                <w:sz w:val="18"/>
                <w:szCs w:val="18"/>
              </w:rPr>
              <w:t>号福建高新技术 创业园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号楼三</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层南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计算机软硬件技 术开发、技术服 务、技术咨询、 技术转让；测绘 服务；计算机软 硬件及辅助设备</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68.61998pt;width:74.05pt;height:62.4pt;mso-position-horizontal-relative:page;mso-position-vertical-relative:page;z-index:-988072"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324.390991pt;margin-top:313.519989pt;width:74.05pt;height:217.4pt;mso-position-horizontal-relative:page;mso-position-vertical-relative:page;z-index:-988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324.390991pt;margin-top:550.539978pt;width:74.05pt;height:217.4pt;mso-position-horizontal-relative:page;mso-position-vertical-relative:page;z-index:-988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pict>
          <v:group style="position:absolute;margin-left:330.579987pt;margin-top:168.61998pt;width:67.9pt;height:62.4pt;mso-position-horizontal-relative:page;mso-position-vertical-relative:page;z-index:-988000" coordorigin="6612,3372" coordsize="1358,1248">
            <v:shape style="position:absolute;left:6612;top:3372;width:1358;height:1248" coordorigin="6612,3372" coordsize="1358,1248" path="m6612,4620l7969,4620,7969,3372,6612,3372,6612,4620xe" filled="true" fillcolor="#ffffff" stroked="false">
              <v:path arrowok="t"/>
              <v:fill type="solid"/>
            </v:shape>
            <w10:wrap type="none"/>
          </v:group>
        </w:pict>
      </w:r>
      <w:r>
        <w:rPr/>
        <w:pict>
          <v:group style="position:absolute;margin-left:330.579987pt;margin-top:313.519989pt;width:67.9pt;height:217.4pt;mso-position-horizontal-relative:page;mso-position-vertical-relative:page;z-index:-987976" coordorigin="6612,6270" coordsize="1358,4348">
            <v:shape style="position:absolute;left:6612;top:6270;width:1358;height:4348" coordorigin="6612,6270" coordsize="1358,4348" path="m6612,10618l7969,10618,7969,6270,6612,6270,6612,10618xe" filled="true" fillcolor="#ffffff" stroked="false">
              <v:path arrowok="t"/>
              <v:fill type="solid"/>
            </v:shape>
            <w10:wrap type="none"/>
          </v:group>
        </w:pict>
      </w:r>
      <w:r>
        <w:rPr/>
        <w:pict>
          <v:group style="position:absolute;margin-left:330.579987pt;margin-top:550.539978pt;width:67.9pt;height:217.4pt;mso-position-horizontal-relative:page;mso-position-vertical-relative:page;z-index:-987952" coordorigin="6612,11011" coordsize="1358,4348">
            <v:shape style="position:absolute;left:6612;top:11011;width:1358;height:4348" coordorigin="6612,11011" coordsize="1358,4348" path="m6612,15359l7969,15359,7969,11011,6612,11011,6612,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的批发、代购代 销（依法须经批 准的项目，经相 关部门批准后方 可开展经营活 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77"/>
              <w:jc w:val="left"/>
              <w:rPr>
                <w:rFonts w:ascii="宋体" w:hAnsi="宋体" w:cs="宋体" w:eastAsia="宋体" w:hint="default"/>
                <w:sz w:val="18"/>
                <w:szCs w:val="18"/>
              </w:rPr>
            </w:pPr>
            <w:r>
              <w:rPr>
                <w:rFonts w:ascii="宋体" w:hAnsi="宋体" w:cs="宋体" w:eastAsia="宋体" w:hint="default"/>
                <w:sz w:val="18"/>
                <w:szCs w:val="18"/>
              </w:rPr>
              <w:t>福州博思兴创信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22" w:right="72"/>
              <w:jc w:val="both"/>
              <w:rPr>
                <w:rFonts w:ascii="宋体" w:hAnsi="宋体" w:cs="宋体" w:eastAsia="宋体" w:hint="default"/>
                <w:sz w:val="18"/>
                <w:szCs w:val="18"/>
              </w:rPr>
            </w:pPr>
            <w:r>
              <w:rPr>
                <w:rFonts w:ascii="宋体" w:hAnsi="宋体" w:cs="宋体" w:eastAsia="宋体" w:hint="default"/>
                <w:sz w:val="18"/>
                <w:szCs w:val="18"/>
              </w:rPr>
              <w:t>福州市闽侯县上 街镇高新大道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软件开发、销售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 咨询；计算机系 统集成；通用设 备的销售、技术 服务；大数据安 全技术开发、大 数据处理分析服 务</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09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77"/>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2" w:right="21"/>
              <w:jc w:val="both"/>
              <w:rPr>
                <w:rFonts w:ascii="宋体" w:hAnsi="宋体" w:cs="宋体" w:eastAsia="宋体" w:hint="default"/>
                <w:sz w:val="18"/>
                <w:szCs w:val="18"/>
              </w:rPr>
            </w:pPr>
            <w:r>
              <w:rPr>
                <w:rFonts w:ascii="宋体" w:hAnsi="宋体" w:cs="宋体" w:eastAsia="宋体" w:hint="default"/>
                <w:sz w:val="18"/>
                <w:szCs w:val="18"/>
              </w:rPr>
              <w:t>北京市朝阳区东 三环南路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第二类增值电信 业务中的信息服 务业务（互联网 信息服务不含新 </w:t>
            </w:r>
            <w:r>
              <w:rPr>
                <w:rFonts w:ascii="宋体" w:hAnsi="宋体" w:cs="宋体" w:eastAsia="宋体" w:hint="default"/>
                <w:spacing w:val="-6"/>
                <w:sz w:val="18"/>
                <w:szCs w:val="18"/>
              </w:rPr>
              <w:t>闻、出版、教育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医疗保健、药品 和医疗器械、电 </w:t>
            </w:r>
            <w:r>
              <w:rPr>
                <w:rFonts w:ascii="宋体" w:hAnsi="宋体" w:cs="宋体" w:eastAsia="宋体" w:hint="default"/>
                <w:spacing w:val="-13"/>
                <w:sz w:val="18"/>
                <w:szCs w:val="18"/>
              </w:rPr>
              <w:t>子公告服务）。</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（互联网信息服 务增值电信业务 经营许可证有效 期至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6" w:lineRule="auto"/>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日）；项目投</w:t>
            </w:r>
            <w:r>
              <w:rPr>
                <w:rFonts w:ascii="宋体" w:hAnsi="宋体" w:cs="宋体" w:eastAsia="宋体" w:hint="default"/>
                <w:sz w:val="18"/>
                <w:szCs w:val="18"/>
              </w:rPr>
              <w:t> 资；投资管理； 经济贸易咨询； 企业管理咨询； 组织文化艺术交 流活动（不含演 </w:t>
            </w:r>
            <w:r>
              <w:rPr>
                <w:rFonts w:ascii="宋体" w:hAnsi="宋体" w:cs="宋体" w:eastAsia="宋体" w:hint="default"/>
                <w:spacing w:val="-12"/>
                <w:sz w:val="18"/>
                <w:szCs w:val="18"/>
              </w:rPr>
              <w:t>出）；影视策划；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会议及展览服 务；投资咨询； 技术推广服务； 招标代理；计算 系统服务；计算 机技术培训；销 售计算机软件、 及辅助设备；设 </w:t>
            </w:r>
            <w:r>
              <w:rPr>
                <w:rFonts w:ascii="宋体" w:hAnsi="宋体" w:cs="宋体" w:eastAsia="宋体" w:hint="default"/>
                <w:spacing w:val="-6"/>
                <w:sz w:val="18"/>
                <w:szCs w:val="18"/>
              </w:rPr>
              <w:t>计、制作、代理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发布广告；企业</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15.459991pt;margin-top:262.219971pt;width:83pt;height:62.4pt;mso-position-horizontal-relative:page;mso-position-vertical-relative:page;z-index:-987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让、</w:t>
                  </w:r>
                </w:p>
              </w:txbxContent>
            </v:textbox>
            <w10:wrap type="none"/>
          </v:shape>
        </w:pict>
      </w:r>
      <w:r>
        <w:rPr/>
        <w:pict>
          <v:shape style="position:absolute;margin-left:324.399994pt;margin-top:407.119995pt;width:74.05pt;height:54.65pt;mso-position-horizontal-relative:page;mso-position-vertical-relative:page;z-index:-987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group style="position:absolute;margin-left:330.579987pt;margin-top:262.219971pt;width:67.9pt;height:62.4pt;mso-position-horizontal-relative:page;mso-position-vertical-relative:page;z-index:-987880" coordorigin="6612,5244" coordsize="1358,1248">
            <v:shape style="position:absolute;left:6612;top:5244;width:1358;height:1248" coordorigin="6612,5244" coordsize="1358,1248" path="m6612,6492l7969,6492,7969,5244,6612,5244,6612,6492xe" filled="true" fillcolor="#ffffff" stroked="false">
              <v:path arrowok="t"/>
              <v:fill type="solid"/>
            </v:shape>
            <w10:wrap type="none"/>
          </v:group>
        </w:pict>
      </w:r>
      <w:r>
        <w:rPr/>
        <w:pict>
          <v:group style="position:absolute;margin-left:330.579987pt;margin-top:407.119995pt;width:67.9pt;height:54.65pt;mso-position-horizontal-relative:page;mso-position-vertical-relative:page;z-index:-987856" coordorigin="6612,8142" coordsize="1358,1093">
            <v:shape style="position:absolute;left:6612;top:8142;width:1358;height:1093" coordorigin="6612,8142" coordsize="1358,1093" path="m6612,9235l7969,9235,7969,8142,6612,8142,6612,92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3795"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7"/>
                <w:sz w:val="18"/>
                <w:szCs w:val="18"/>
              </w:rPr>
              <w:t>征信服务。（企业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依法自主选择经 营项目，开展经 营活动；依法须 经批准的项目， 经相关部门批准 后依批准的内容 开展经营活动； 不得从事本是产 业政策禁止和限 制类的经营活 </w:t>
            </w:r>
            <w:r>
              <w:rPr>
                <w:rFonts w:ascii="宋体" w:hAnsi="宋体" w:cs="宋体" w:eastAsia="宋体" w:hint="default"/>
                <w:spacing w:val="-30"/>
                <w:sz w:val="18"/>
                <w:szCs w:val="18"/>
              </w:rPr>
              <w:t>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77"/>
              <w:jc w:val="both"/>
              <w:rPr>
                <w:rFonts w:ascii="宋体" w:hAnsi="宋体" w:cs="宋体" w:eastAsia="宋体" w:hint="default"/>
                <w:sz w:val="18"/>
                <w:szCs w:val="18"/>
              </w:rPr>
            </w:pPr>
            <w:r>
              <w:rPr>
                <w:rFonts w:ascii="宋体" w:hAnsi="宋体" w:cs="宋体" w:eastAsia="宋体" w:hint="default"/>
                <w:sz w:val="18"/>
                <w:szCs w:val="18"/>
              </w:rPr>
              <w:t>北京博思致新互 联网科技有限责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z w:val="18"/>
                <w:szCs w:val="18"/>
              </w:rPr>
              <w:t>北京市海淀区北 三环西路甲</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号楼</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层</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7"/>
                <w:sz w:val="18"/>
                <w:szCs w:val="18"/>
              </w:rPr>
              <w:t>推广、技术转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技术咨询、技术 服务；计算机系 统服务；基础软 件服务；应用软 件服务；销售计 算机、软件及辅 助设备。</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77"/>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内蒙古自治区呼 和浩特市如意开 发区如意西街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号日信华宸大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计算机软件开 </w:t>
            </w:r>
            <w:r>
              <w:rPr>
                <w:rFonts w:ascii="宋体" w:hAnsi="宋体" w:cs="宋体" w:eastAsia="宋体" w:hint="default"/>
                <w:spacing w:val="-6"/>
                <w:sz w:val="18"/>
                <w:szCs w:val="18"/>
              </w:rPr>
              <w:t>发、服务及销售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计算机硬件、办 公服务器的销售</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 开展经营活动）</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41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福建博思创业园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福建省福州市闽 侯县上街镇海西 高新技术产业园 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号博</w:t>
            </w:r>
          </w:p>
          <w:p>
            <w:pPr>
              <w:pStyle w:val="TableParagraph"/>
              <w:spacing w:line="240" w:lineRule="auto"/>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思软件大厦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创业园的投资建 设及园内企业的 管理、服务；企 业管理咨询；房 产居间服务；物 业管理；会议服 务；市场调查； 企业形象策划； 人力资源服务</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（不含劳务派 </w:t>
            </w:r>
            <w:r>
              <w:rPr>
                <w:rFonts w:ascii="宋体" w:hAnsi="宋体" w:cs="宋体" w:eastAsia="宋体" w:hint="default"/>
                <w:spacing w:val="-23"/>
                <w:sz w:val="18"/>
                <w:szCs w:val="18"/>
              </w:rPr>
              <w:t>遣）。（依法须经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批准的项目，经 相关部门批准后 方可开展经营活</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13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2）重要的非全资子公司" w:id="421"/>
      <w:bookmarkEnd w:id="42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北京博思致新互联网科 技有限责任公司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278,422.23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4,279,132.46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内蒙古金财信息技术有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2,340,125.06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15,845,376.84</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422"/>
      <w:bookmarkEnd w:id="42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北京博 思致新 互联网 科技有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1,619.30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1,712.16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249.26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5.10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254.37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122.62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122.62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内蒙古 金财信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5,750.84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3,746.45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9,497.29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3,749.24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466.25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4,215.49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北京博思致 新互联网科 技有限责任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3,392.15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166.55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-177.16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内蒙古金财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3,945.58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3,977.90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3193"/>
        <w:jc w:val="left"/>
      </w:pPr>
      <w:r>
        <w:rPr/>
        <w:t>其他说明： 上表中控股子公司内蒙古金财信息技术有限公司的主要财务信息采用合并期间的公允价值填列。</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423"/>
      <w:bookmarkEnd w:id="42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24"/>
      <w:bookmarkEnd w:id="42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25"/>
      <w:bookmarkEnd w:id="42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26"/>
      <w:bookmarkEnd w:id="42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交易对于少数股东权益及归属于母公司所有者权益的影响" w:id="427"/>
      <w:bookmarkEnd w:id="42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8"/>
      <w:bookmarkEnd w:id="42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9"/>
      <w:bookmarkEnd w:id="42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1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22" w:right="77"/>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计算机软件开发 及技术服务；办 公自动化设备、 计算机配件及耗 材、电子产品批 发、零售（依法 须经批准的项 目，经相关部门 批准后方可开展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shape style="position:absolute;margin-left:324.399994pt;margin-top:72.47998pt;width:74.05pt;height:132.65pt;mso-position-horizontal-relative:page;mso-position-vertical-relative:page;z-index:-987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330.579987pt;margin-top:72.47998pt;width:67.9pt;height:132.65pt;mso-position-horizontal-relative:page;mso-position-vertical-relative:page;z-index:-987784" coordorigin="6612,1450" coordsize="1358,2653">
            <v:shape style="position:absolute;left:6612;top:1450;width:1358;height:2653" coordorigin="6612,1450" coordsize="1358,2653" path="m6612,4102l7969,4102,7969,1450,6612,1450,6612,410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570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福州同力科技开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电子产品、计算 机软硬件的技术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w:t>
            </w:r>
            <w:r>
              <w:rPr>
                <w:rFonts w:ascii="宋体" w:hAnsi="宋体" w:cs="宋体" w:eastAsia="宋体" w:hint="default"/>
                <w:spacing w:val="-6"/>
                <w:sz w:val="18"/>
                <w:szCs w:val="18"/>
              </w:rPr>
              <w:t>服务；日用百货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计算机软硬件、 办公用品、通信 </w:t>
            </w:r>
            <w:r>
              <w:rPr>
                <w:rFonts w:ascii="宋体" w:hAnsi="宋体" w:cs="宋体" w:eastAsia="宋体" w:hint="default"/>
                <w:spacing w:val="-6"/>
                <w:sz w:val="18"/>
                <w:szCs w:val="18"/>
              </w:rPr>
              <w:t>器材、机电设备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五金交电（不含 </w:t>
            </w:r>
            <w:r>
              <w:rPr>
                <w:rFonts w:ascii="宋体" w:hAnsi="宋体" w:cs="宋体" w:eastAsia="宋体" w:hint="default"/>
                <w:spacing w:val="-17"/>
                <w:sz w:val="18"/>
                <w:szCs w:val="18"/>
              </w:rPr>
              <w:t>电动自行车）、建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材批发、代购代 销；计算机系统 集成；网络工程 的设计、施工。</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 开展经营活动）</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361" w:right="0"/>
              <w:jc w:val="lef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30"/>
      <w:bookmarkEnd w:id="43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1"/>
      <w:bookmarkEnd w:id="43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866" w:right="51" w:hanging="810"/>
              <w:jc w:val="left"/>
              <w:rPr>
                <w:rFonts w:ascii="宋体" w:hAnsi="宋体" w:cs="宋体" w:eastAsia="宋体" w:hint="default"/>
                <w:sz w:val="18"/>
                <w:szCs w:val="18"/>
              </w:rPr>
            </w:pPr>
            <w:r>
              <w:rPr>
                <w:rFonts w:ascii="宋体" w:hAnsi="宋体" w:cs="宋体" w:eastAsia="宋体" w:hint="default"/>
                <w:sz w:val="18"/>
                <w:szCs w:val="18"/>
              </w:rPr>
              <w:t>吉林省金财科技有限公 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福州同力科技开发有限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861" w:right="51" w:hanging="810"/>
              <w:jc w:val="left"/>
              <w:rPr>
                <w:rFonts w:ascii="宋体" w:hAnsi="宋体" w:cs="宋体" w:eastAsia="宋体" w:hint="default"/>
                <w:sz w:val="18"/>
                <w:szCs w:val="18"/>
              </w:rPr>
            </w:pPr>
            <w:r>
              <w:rPr>
                <w:rFonts w:ascii="宋体" w:hAnsi="宋体" w:cs="宋体" w:eastAsia="宋体" w:hint="default"/>
                <w:sz w:val="18"/>
                <w:szCs w:val="18"/>
              </w:rPr>
              <w:t>吉林省金财科技有限公 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福州同力科技开发有限 公司</w:t>
            </w:r>
          </w:p>
        </w:tc>
      </w:tr>
      <w:tr>
        <w:trPr>
          <w:trHeight w:val="391"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13,118,509.47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24,677,122.18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7,142,157.02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12,712,178.71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963,678.49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678,927.38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1,279,485.06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620,078.96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14,082,187.96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25,356,049.56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8,421,642.08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13,332,257.67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3,234,372.42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10,198,827.47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2,695,754.60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5,208,850.40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3,234,372.42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10,198,827.47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2,695,754.60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5,208,850.40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10,847,815.54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15,157,222.09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5,725,887.48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8,123,407.27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3,254,344.66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4,547,166.63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1,717,766.24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2,437,022.18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16,788,888.10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9,610,144.45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19,446,836.78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33,572,926.51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19,726,437.55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24,963,874.07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5,962,960.33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2,033,814.82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4,172,545.33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1,206,260.10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5,962,960.33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2,033,814.82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4,172,545.33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1,206,260.10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32"/>
      <w:bookmarkEnd w:id="43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2,264,740.57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2,206,533.72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58,206.85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288,270.84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58,206.85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288,270.84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3"/>
      <w:bookmarkEnd w:id="43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4"/>
      <w:bookmarkEnd w:id="43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5"/>
      <w:bookmarkEnd w:id="43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6"/>
      <w:bookmarkEnd w:id="43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7"/>
      <w:bookmarkEnd w:id="43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357" w:lineRule="auto" w:before="44"/>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8"/>
      <w:bookmarkEnd w:id="43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2"/>
        <w:spacing w:line="477" w:lineRule="auto"/>
        <w:ind w:right="7693"/>
        <w:jc w:val="left"/>
        <w:rPr>
          <w:b w:val="0"/>
          <w:bCs w:val="0"/>
        </w:rPr>
      </w:pPr>
      <w:bookmarkStart w:name="6、其他" w:id="439"/>
      <w:bookmarkEnd w:id="439"/>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40"/>
      <w:bookmarkEnd w:id="440"/>
      <w:r>
        <w:rPr>
          <w:spacing w:val="1"/>
          <w:w w:val="99"/>
          <w:sz w:val="21"/>
          <w:szCs w:val="21"/>
        </w:rPr>
      </w:r>
      <w:r>
        <w:rPr>
          <w:w w:val="95"/>
        </w:rPr>
        <w:t>十、与金融工具相关的风险</w:t>
      </w:r>
      <w:r>
        <w:rPr>
          <w:spacing w:val="18"/>
          <w:w w:val="95"/>
        </w:rPr>
        <w:t> </w:t>
      </w:r>
      <w:r>
        <w:rPr>
          <w:spacing w:val="18"/>
          <w:w w:val="95"/>
        </w:rPr>
      </w:r>
      <w:bookmarkStart w:name="十一、公允价值的披露" w:id="441"/>
      <w:bookmarkEnd w:id="441"/>
      <w:r>
        <w:rPr/>
        <w:t>十一、公允价值的披露</w:t>
      </w:r>
      <w:r>
        <w:rPr>
          <w:b w:val="0"/>
          <w:bCs w:val="0"/>
        </w:rPr>
      </w:r>
    </w:p>
    <w:p>
      <w:pPr>
        <w:pStyle w:val="Heading3"/>
        <w:spacing w:line="240" w:lineRule="auto" w:before="84"/>
        <w:ind w:right="0"/>
        <w:jc w:val="left"/>
        <w:rPr>
          <w:b w:val="0"/>
          <w:bCs w:val="0"/>
        </w:rPr>
      </w:pPr>
      <w:bookmarkStart w:name="1、以公允价值计量的资产和负债的期末公允价值" w:id="442"/>
      <w:bookmarkEnd w:id="44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43"/>
      <w:bookmarkEnd w:id="44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44"/>
      <w:bookmarkEnd w:id="44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45"/>
      <w:bookmarkEnd w:id="44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46"/>
      <w:bookmarkEnd w:id="44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47"/>
      <w:bookmarkEnd w:id="44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本期内发生的估值技术变更及变更原因" w:id="448"/>
      <w:bookmarkEnd w:id="44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不以公允价值计量的金融资产和金融负债的公允价值情况" w:id="449"/>
      <w:bookmarkEnd w:id="44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50"/>
      <w:bookmarkEnd w:id="45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1"/>
      <w:bookmarkEnd w:id="45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2"/>
      <w:bookmarkEnd w:id="45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413"/>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spacing w:line="547" w:lineRule="auto" w:before="0"/>
        <w:ind w:left="1133" w:right="4453" w:firstLine="0"/>
        <w:jc w:val="left"/>
        <w:rPr>
          <w:rFonts w:ascii="宋体" w:hAnsi="宋体" w:cs="宋体" w:eastAsia="宋体" w:hint="default"/>
          <w:sz w:val="21"/>
          <w:szCs w:val="21"/>
        </w:rPr>
      </w:pPr>
      <w:bookmarkStart w:name="2、本企业的子公司情况" w:id="453"/>
      <w:bookmarkEnd w:id="4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54"/>
      <w:bookmarkEnd w:id="45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t>本企业重要的合营或联营企业详见附注九、在其他主体中的权益 </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55"/>
      <w:bookmarkEnd w:id="45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14.71%</w:t>
            </w:r>
            <w:r>
              <w:rPr>
                <w:rFonts w:ascii="宋体" w:hAnsi="宋体" w:cs="宋体" w:eastAsia="宋体" w:hint="default"/>
                <w:sz w:val="18"/>
                <w:szCs w:val="18"/>
              </w:rPr>
              <w:t>的股权</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哈尔滨派斯内特科技发展有限公司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联营公司，通过北京博思致新互联网科技有限责任公司间接 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25.50%</w:t>
            </w:r>
            <w:r>
              <w:rPr>
                <w:rFonts w:ascii="宋体" w:hAnsi="宋体" w:cs="宋体" w:eastAsia="宋体" w:hint="default"/>
                <w:sz w:val="18"/>
                <w:szCs w:val="18"/>
              </w:rPr>
              <w:t>的股权</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包头市金财科技有限责任公司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联营公司，通过内蒙古金财信息技术有限公司间接持有其</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31.50%</w:t>
            </w:r>
            <w:r>
              <w:rPr>
                <w:rFonts w:ascii="宋体" w:hAnsi="宋体" w:cs="宋体" w:eastAsia="宋体" w:hint="default"/>
                <w:sz w:val="18"/>
                <w:szCs w:val="18"/>
              </w:rPr>
              <w:t>的股权</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福州市鼓楼区博诺信息科技有限公司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联营公司，通过福建博宇信息科技股份有限公司间接持有其</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14.71%</w:t>
            </w:r>
            <w:r>
              <w:rPr>
                <w:rFonts w:ascii="宋体" w:hAnsi="宋体" w:cs="宋体" w:eastAsia="宋体" w:hint="default"/>
                <w:sz w:val="18"/>
                <w:szCs w:val="18"/>
              </w:rPr>
              <w:t>的股权。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陈航、刘少华、肖勇、林初可、叶章明、王敏、叶东毅、郭 其友、欧郁雪、陶翔宇（</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日辞去董事职务）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毛时敏、陈晶、王素珍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刘少华、肖勇、林初可、叶章明、郑升尉、余双兴、林宏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宁波梅山保税港区九州纵横轨道交通产业投资合伙企业（有 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实际控制人配偶持股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，并担任监事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受公司总经理刘少华控制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天津公易众创科技中心（有限合伙）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公司总经理刘少华持股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公司高级管理人员配偶控制的企业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天津博大数元科技中心（有限合伙）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公司高级管理人员配偶控制的企业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福州怡景农业发展有限公司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公司董事、副总经理叶章明持股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公司副总经理、财务总监郑升尉持股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并担任执行董事 兼总经理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福建照付通物联网科技有限公司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与公司关键管理人员关系密切的家庭成员控制的企业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福鼎市茗源香茶业有限公司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与公司关键管理人员关系密切的家庭成员控制的企业</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6"/>
      <w:bookmarkEnd w:id="45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57"/>
      <w:bookmarkEnd w:id="45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福州同力科技开发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2,695,070.74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536,981.13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5,978,877.24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5,933,373.60</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2"/>
              <w:jc w:val="center"/>
              <w:rPr>
                <w:rFonts w:ascii="宋体" w:hAnsi="宋体" w:cs="宋体" w:eastAsia="宋体" w:hint="default"/>
                <w:sz w:val="18"/>
                <w:szCs w:val="18"/>
              </w:rPr>
            </w:pPr>
            <w:r>
              <w:rPr>
                <w:rFonts w:ascii="宋体" w:hAnsi="宋体" w:cs="宋体" w:eastAsia="宋体" w:hint="default"/>
                <w:sz w:val="18"/>
                <w:szCs w:val="18"/>
              </w:rPr>
              <w:t>北京大数元科技发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软件采购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756,410.26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6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福建照付通物联网 科技有限责任公司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128,205.13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福建照付通物联网 科技有限责任公司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53,773.58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8,937,011.52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2,372,811.32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5,985,966.98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142,047.17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哈尔滨派斯内特科技发展有限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1,509,433.92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关联受托管理/承包及委托管理/出包情况" w:id="458"/>
      <w:bookmarkEnd w:id="45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59"/>
      <w:bookmarkEnd w:id="45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博思大厦办公楼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15,173.54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担保情况" w:id="460"/>
      <w:bookmarkEnd w:id="46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关联方资金拆借" w:id="461"/>
      <w:bookmarkEnd w:id="46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关联方资产转让、债务重组情况" w:id="462"/>
      <w:bookmarkEnd w:id="46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键管理人员报酬" w:id="463"/>
      <w:bookmarkEnd w:id="46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2,138,227.48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1,500,812.00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351,898.18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2,612,272.00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764,304.00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5,138,039.48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2,617,014.18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64"/>
      <w:bookmarkEnd w:id="46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65"/>
      <w:bookmarkEnd w:id="4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66"/>
      <w:bookmarkEnd w:id="4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3189"/>
        <w:gridCol w:w="317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福建省财政信息中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963,980.00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271,325.00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13,566.25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福建九月生态旅游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福州同力科技开发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1,038,561.32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1,108,750.00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467"/>
      <w:bookmarkEnd w:id="4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6,923,343.42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5,826,808.31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489,920.00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428,520.00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68"/>
      <w:bookmarkEnd w:id="46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9"/>
      <w:bookmarkEnd w:id="46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0"/>
      <w:bookmarkEnd w:id="47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88"/>
                <w:sz w:val="18"/>
                <w:szCs w:val="18"/>
              </w:rPr>
              <w:t>，</w:t>
            </w:r>
            <w:r>
              <w:rPr>
                <w:rFonts w:ascii="宋体" w:hAnsi="宋体" w:cs="宋体" w:eastAsia="宋体" w:hint="default"/>
                <w:sz w:val="18"/>
                <w:szCs w:val="18"/>
              </w:rPr>
              <w:t>限制性股票激励计划的有效期</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为自股权登记日（</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个月，分三批行 </w:t>
            </w:r>
            <w:r>
              <w:rPr>
                <w:rFonts w:ascii="宋体" w:hAnsi="宋体" w:cs="宋体" w:eastAsia="宋体" w:hint="default"/>
                <w:spacing w:val="-1"/>
                <w:sz w:val="18"/>
                <w:szCs w:val="18"/>
              </w:rPr>
              <w:t>权。其中，首期限制性股票（占比</w:t>
            </w:r>
            <w:r>
              <w:rPr>
                <w:rFonts w:ascii="宋体" w:hAnsi="宋体" w:cs="宋体" w:eastAsia="宋体" w:hint="default"/>
                <w:spacing w:val="-35"/>
                <w:sz w:val="18"/>
                <w:szCs w:val="18"/>
              </w:rPr>
              <w:t> </w:t>
            </w:r>
            <w:r>
              <w:rPr>
                <w:rFonts w:ascii="Times New Roman" w:hAnsi="Times New Roman" w:cs="Times New Roman" w:eastAsia="Times New Roman" w:hint="default"/>
                <w:spacing w:val="-11"/>
                <w:sz w:val="18"/>
                <w:szCs w:val="18"/>
              </w:rPr>
              <w:t>40%</w:t>
            </w:r>
            <w:r>
              <w:rPr>
                <w:rFonts w:ascii="宋体" w:hAnsi="宋体" w:cs="宋体" w:eastAsia="宋体" w:hint="default"/>
                <w:spacing w:val="-11"/>
                <w:sz w:val="18"/>
                <w:szCs w:val="18"/>
              </w:rPr>
              <w:t>）、第二期限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和第三期限制性股票（占比 </w:t>
            </w:r>
            <w:r>
              <w:rPr>
                <w:rFonts w:ascii="Times New Roman" w:hAnsi="Times New Roman" w:cs="Times New Roman" w:eastAsia="Times New Roman" w:hint="default"/>
                <w:sz w:val="18"/>
                <w:szCs w:val="18"/>
              </w:rPr>
              <w:t>30%</w:t>
            </w:r>
            <w:r>
              <w:rPr>
                <w:rFonts w:ascii="宋体" w:hAnsi="宋体" w:cs="宋体" w:eastAsia="宋体" w:hint="default"/>
                <w:sz w:val="18"/>
                <w:szCs w:val="18"/>
              </w:rPr>
              <w:t>）的合同剩余期限分别为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28" w:firstLine="433"/>
        <w:jc w:val="left"/>
      </w:pPr>
      <w:r>
        <w:rPr/>
        <w:t>注：根据博思软件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日通过的</w:t>
      </w:r>
      <w:r>
        <w:rPr>
          <w:rFonts w:ascii="Times New Roman" w:hAnsi="Times New Roman" w:cs="Times New Roman" w:eastAsia="Times New Roman" w:hint="default"/>
        </w:rPr>
        <w:t>2016</w:t>
      </w:r>
      <w:r>
        <w:rPr/>
        <w:t>年年度股东大会决议，审议通过《关于审议公司</w:t>
      </w:r>
      <w:r>
        <w:rPr>
          <w:rFonts w:ascii="Times New Roman" w:hAnsi="Times New Roman" w:cs="Times New Roman" w:eastAsia="Times New Roman" w:hint="default"/>
        </w:rPr>
        <w:t>&lt;2017</w:t>
      </w:r>
      <w:r>
        <w:rPr/>
        <w:t>年限制性股票激励 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及其摘要的议案》</w:t>
      </w:r>
      <w:r>
        <w:rPr>
          <w:rFonts w:ascii="Times New Roman" w:hAnsi="Times New Roman" w:cs="Times New Roman" w:eastAsia="Times New Roman" w:hint="default"/>
        </w:rPr>
        <w:t>,</w:t>
      </w:r>
      <w:r>
        <w:rPr/>
        <w:t>首次授予</w:t>
      </w:r>
      <w:r>
        <w:rPr>
          <w:rFonts w:ascii="Times New Roman" w:hAnsi="Times New Roman" w:cs="Times New Roman" w:eastAsia="Times New Roman" w:hint="default"/>
        </w:rPr>
        <w:t>194</w:t>
      </w:r>
      <w:r>
        <w:rPr/>
        <w:t>名激励对象</w:t>
      </w:r>
      <w:r>
        <w:rPr>
          <w:rFonts w:ascii="Times New Roman" w:hAnsi="Times New Roman" w:cs="Times New Roman" w:eastAsia="Times New Roman" w:hint="default"/>
        </w:rPr>
        <w:t>389.30</w:t>
      </w:r>
      <w:r>
        <w:rPr/>
        <w:t>万股限制性股票，限制性股票来源为向激励对象定向发行人民</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币普通股股票，授予价格为每股人民币</w:t>
      </w:r>
      <w:r>
        <w:rPr>
          <w:rFonts w:ascii="Times New Roman" w:hAnsi="Times New Roman" w:cs="Times New Roman" w:eastAsia="Times New Roman" w:hint="default"/>
        </w:rPr>
        <w:t>33.33</w:t>
      </w:r>
      <w:r>
        <w:rPr/>
        <w:t>元。</w:t>
      </w:r>
    </w:p>
    <w:p>
      <w:pPr>
        <w:spacing w:line="240" w:lineRule="auto" w:before="13"/>
        <w:rPr>
          <w:rFonts w:ascii="宋体" w:hAnsi="宋体" w:cs="宋体" w:eastAsia="宋体" w:hint="default"/>
          <w:sz w:val="13"/>
          <w:szCs w:val="13"/>
        </w:rPr>
      </w:pPr>
    </w:p>
    <w:p>
      <w:pPr>
        <w:pStyle w:val="BodyText"/>
        <w:spacing w:line="309" w:lineRule="auto"/>
        <w:ind w:right="1131" w:firstLine="505"/>
        <w:jc w:val="both"/>
      </w:pPr>
      <w:r>
        <w:rPr>
          <w:spacing w:val="-1"/>
        </w:rPr>
        <w:t>本激励计划授予的限制性股票限售期为自股权登记日起</w:t>
      </w:r>
      <w:r>
        <w:rPr>
          <w:rFonts w:ascii="Times New Roman" w:hAnsi="Times New Roman" w:cs="Times New Roman" w:eastAsia="Times New Roman" w:hint="default"/>
          <w:spacing w:val="-1"/>
        </w:rPr>
        <w:t>12</w:t>
      </w:r>
      <w:r>
        <w:rPr>
          <w:spacing w:val="-1"/>
        </w:rPr>
        <w:t>个月。激励对象根据本激励计划授予的限制性股票在解除限</w:t>
      </w:r>
      <w:r>
        <w:rPr/>
        <w:t> </w:t>
      </w:r>
      <w:r>
        <w:rPr>
          <w:spacing w:val="-2"/>
        </w:rPr>
        <w:t>售前不得转让、用于担保或偿还债务。解除限售后，公司为满足解除限售条件的激励对象办理解除限售事宜，未满足解除限</w:t>
      </w:r>
      <w:r>
        <w:rPr>
          <w:spacing w:val="-66"/>
        </w:rPr>
        <w:t> </w:t>
      </w:r>
      <w:r>
        <w:rPr>
          <w:spacing w:val="-66"/>
        </w:rPr>
      </w:r>
      <w:r>
        <w:rPr/>
        <w:t>售条件的激励对象持有的限制性股票由公司回购注销。</w:t>
      </w:r>
    </w:p>
    <w:p>
      <w:pPr>
        <w:pStyle w:val="BodyText"/>
        <w:spacing w:line="240" w:lineRule="auto" w:before="144"/>
        <w:ind w:left="1494" w:right="0"/>
        <w:jc w:val="left"/>
      </w:pPr>
      <w:r>
        <w:rPr/>
        <w:t>限制性股票解锁安排及公司业绩考核条件如下：</w:t>
      </w:r>
    </w:p>
    <w:p>
      <w:pPr>
        <w:spacing w:line="240" w:lineRule="auto" w:before="0"/>
        <w:rPr>
          <w:rFonts w:ascii="宋体" w:hAnsi="宋体" w:cs="宋体" w:eastAsia="宋体" w:hint="default"/>
          <w:sz w:val="5"/>
          <w:szCs w:val="5"/>
        </w:rPr>
      </w:pPr>
    </w:p>
    <w:tbl>
      <w:tblPr>
        <w:tblW w:w="0" w:type="auto"/>
        <w:jc w:val="left"/>
        <w:tblInd w:w="1112" w:type="dxa"/>
        <w:tblLayout w:type="fixed"/>
        <w:tblCellMar>
          <w:top w:w="0" w:type="dxa"/>
          <w:left w:w="0" w:type="dxa"/>
          <w:bottom w:w="0" w:type="dxa"/>
          <w:right w:w="0" w:type="dxa"/>
        </w:tblCellMar>
        <w:tblLook w:val="01E0"/>
      </w:tblPr>
      <w:tblGrid>
        <w:gridCol w:w="2034"/>
        <w:gridCol w:w="3581"/>
        <w:gridCol w:w="2440"/>
        <w:gridCol w:w="1760"/>
      </w:tblGrid>
      <w:tr>
        <w:trPr>
          <w:trHeight w:val="652" w:hRule="exact"/>
        </w:trPr>
        <w:tc>
          <w:tcPr>
            <w:tcW w:w="2034" w:type="dxa"/>
            <w:tcBorders>
              <w:top w:val="nil" w:sz="6" w:space="0" w:color="auto"/>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解除限售期</w:t>
            </w:r>
          </w:p>
        </w:tc>
        <w:tc>
          <w:tcPr>
            <w:tcW w:w="358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解锁安排</w:t>
            </w:r>
          </w:p>
        </w:tc>
        <w:tc>
          <w:tcPr>
            <w:tcW w:w="24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业绩考核目标</w:t>
            </w:r>
          </w:p>
        </w:tc>
        <w:tc>
          <w:tcPr>
            <w:tcW w:w="17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解锁比例</w:t>
            </w:r>
          </w:p>
        </w:tc>
      </w:tr>
      <w:tr>
        <w:trPr>
          <w:trHeight w:val="960" w:hRule="exact"/>
        </w:trPr>
        <w:tc>
          <w:tcPr>
            <w:tcW w:w="20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3" w:right="141"/>
              <w:jc w:val="both"/>
              <w:rPr>
                <w:rFonts w:ascii="宋体" w:hAnsi="宋体" w:cs="宋体" w:eastAsia="宋体" w:hint="default"/>
                <w:sz w:val="18"/>
                <w:szCs w:val="18"/>
              </w:rPr>
            </w:pPr>
            <w:r>
              <w:rPr>
                <w:rFonts w:ascii="宋体" w:hAnsi="宋体" w:cs="宋体" w:eastAsia="宋体" w:hint="default"/>
                <w:sz w:val="18"/>
                <w:szCs w:val="18"/>
              </w:rPr>
              <w:t>自股权登记日起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 股权登记日起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 日止</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2" w:right="21"/>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年净利润均值为基 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年净利润增长率不低 于</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40%</w:t>
            </w:r>
          </w:p>
        </w:tc>
      </w:tr>
      <w:tr>
        <w:trPr>
          <w:trHeight w:val="961" w:hRule="exact"/>
        </w:trPr>
        <w:tc>
          <w:tcPr>
            <w:tcW w:w="20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3" w:right="141"/>
              <w:jc w:val="both"/>
              <w:rPr>
                <w:rFonts w:ascii="宋体" w:hAnsi="宋体" w:cs="宋体" w:eastAsia="宋体" w:hint="default"/>
                <w:sz w:val="18"/>
                <w:szCs w:val="18"/>
              </w:rPr>
            </w:pPr>
            <w:r>
              <w:rPr>
                <w:rFonts w:ascii="宋体" w:hAnsi="宋体" w:cs="宋体" w:eastAsia="宋体" w:hint="default"/>
                <w:sz w:val="18"/>
                <w:szCs w:val="18"/>
              </w:rPr>
              <w:t>自股权登记日起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 股权登记日起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 日止</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年净利润均值为基 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年净利润增长率不低 于</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30%</w:t>
            </w:r>
          </w:p>
        </w:tc>
      </w:tr>
      <w:tr>
        <w:trPr>
          <w:trHeight w:val="962" w:hRule="exact"/>
        </w:trPr>
        <w:tc>
          <w:tcPr>
            <w:tcW w:w="20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3" w:right="141"/>
              <w:jc w:val="both"/>
              <w:rPr>
                <w:rFonts w:ascii="宋体" w:hAnsi="宋体" w:cs="宋体" w:eastAsia="宋体" w:hint="default"/>
                <w:sz w:val="18"/>
                <w:szCs w:val="18"/>
              </w:rPr>
            </w:pPr>
            <w:r>
              <w:rPr>
                <w:rFonts w:ascii="宋体" w:hAnsi="宋体" w:cs="宋体" w:eastAsia="宋体" w:hint="default"/>
                <w:sz w:val="18"/>
                <w:szCs w:val="18"/>
              </w:rPr>
              <w:t>自股权登记日起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 股权登记日起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 日止</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2" w:right="21"/>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2014-2016</w:t>
            </w:r>
            <w:r>
              <w:rPr>
                <w:rFonts w:ascii="宋体" w:hAnsi="宋体" w:cs="宋体" w:eastAsia="宋体" w:hint="default"/>
                <w:sz w:val="18"/>
                <w:szCs w:val="18"/>
              </w:rPr>
              <w:t>年净利润均值为基 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年净利润增长率不低 于</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before="35"/>
        <w:ind w:left="1134" w:right="0"/>
        <w:jc w:val="left"/>
        <w:rPr>
          <w:b w:val="0"/>
          <w:bCs w:val="0"/>
        </w:rPr>
      </w:pPr>
      <w:bookmarkStart w:name="2、以权益结算的股份支付情况" w:id="472"/>
      <w:bookmarkEnd w:id="47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预计可以达到行权条件，被授予对象均可行权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4,365,097.26</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3,560,970.00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73"/>
      <w:bookmarkEnd w:id="47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4"/>
      <w:bookmarkEnd w:id="47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公司本年未对股份支付方案进行修改、终止。</w:t>
      </w:r>
    </w:p>
    <w:p>
      <w:pPr>
        <w:spacing w:after="0" w:line="54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8344" w:firstLine="0"/>
        <w:jc w:val="left"/>
        <w:rPr>
          <w:rFonts w:ascii="宋体" w:hAnsi="宋体" w:cs="宋体" w:eastAsia="宋体" w:hint="default"/>
          <w:sz w:val="21"/>
          <w:szCs w:val="21"/>
        </w:rPr>
      </w:pPr>
      <w:bookmarkStart w:name="5、其他" w:id="475"/>
      <w:bookmarkEnd w:id="4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6"/>
      <w:bookmarkEnd w:id="476"/>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1134" w:right="6072"/>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2、或有事项" w:id="478"/>
      <w:bookmarkEnd w:id="47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资产负债表日存在的重要或有事项" w:id="479"/>
      <w:bookmarkEnd w:id="47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4" w:right="0"/>
        <w:jc w:val="left"/>
        <w:rPr>
          <w:b w:val="0"/>
          <w:bCs w:val="0"/>
        </w:rPr>
      </w:pPr>
      <w:bookmarkStart w:name="（2）公司没有需要披露的重要或有事项，也应予以说明" w:id="480"/>
      <w:bookmarkEnd w:id="48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 w:id="481"/>
      <w:bookmarkEnd w:id="481"/>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7"/>
          <w:szCs w:val="27"/>
        </w:rPr>
      </w:pPr>
    </w:p>
    <w:p>
      <w:pPr>
        <w:pStyle w:val="Heading2"/>
        <w:spacing w:line="240" w:lineRule="auto"/>
        <w:ind w:right="0"/>
        <w:jc w:val="left"/>
        <w:rPr>
          <w:b w:val="0"/>
          <w:bCs w:val="0"/>
        </w:rPr>
      </w:pPr>
      <w:bookmarkStart w:name="十五、资产负债表日后事项" w:id="482"/>
      <w:bookmarkEnd w:id="482"/>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83"/>
      <w:bookmarkEnd w:id="48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利润分配情况" w:id="484"/>
      <w:bookmarkEnd w:id="48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85"/>
      <w:bookmarkEnd w:id="48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86"/>
      <w:bookmarkEnd w:id="48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根据公司第二届董事会第十九次会议决议，拟以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72,032,000</w:t>
      </w:r>
      <w:r>
        <w:rPr/>
        <w:t>股为基数，向全体股东每</w:t>
      </w:r>
      <w:r>
        <w:rPr>
          <w:rFonts w:ascii="Times New Roman" w:hAnsi="Times New Roman" w:cs="Times New Roman" w:eastAsia="Times New Roman" w:hint="default"/>
        </w:rPr>
        <w:t>10</w:t>
      </w:r>
      <w:r>
        <w:rPr/>
        <w:t>股派发 现金股利人民币</w:t>
      </w:r>
      <w:r>
        <w:rPr>
          <w:rFonts w:ascii="Times New Roman" w:hAnsi="Times New Roman" w:cs="Times New Roman" w:eastAsia="Times New Roman" w:hint="default"/>
        </w:rPr>
        <w:t>2.10</w:t>
      </w:r>
      <w:r>
        <w:rPr/>
        <w:t>元（含税），合计派发现金股利人民币</w:t>
      </w:r>
      <w:r>
        <w:rPr>
          <w:rFonts w:ascii="Times New Roman" w:hAnsi="Times New Roman" w:cs="Times New Roman" w:eastAsia="Times New Roman" w:hint="default"/>
        </w:rPr>
        <w:t>15,126,720.00</w:t>
      </w:r>
      <w:r>
        <w:rPr/>
        <w:t>元（含税）；同时向全体股东以资本公积每</w:t>
      </w:r>
      <w:r>
        <w:rPr>
          <w:rFonts w:ascii="Times New Roman" w:hAnsi="Times New Roman" w:cs="Times New Roman" w:eastAsia="Times New Roman" w:hint="default"/>
        </w:rPr>
        <w:t>10</w:t>
      </w:r>
      <w:r>
        <w:rPr/>
        <w:t>股转</w:t>
      </w:r>
      <w:r>
        <w:rPr>
          <w:spacing w:val="-85"/>
        </w:rPr>
        <w:t> </w:t>
      </w:r>
      <w:r>
        <w:rPr/>
        <w:t>增</w:t>
      </w:r>
      <w:r>
        <w:rPr>
          <w:rFonts w:ascii="Times New Roman" w:hAnsi="Times New Roman" w:cs="Times New Roman" w:eastAsia="Times New Roman" w:hint="default"/>
        </w:rPr>
        <w:t>8</w:t>
      </w:r>
      <w:r>
        <w:rPr/>
        <w:t>股，分配完成后公司股本总额增至</w:t>
      </w:r>
      <w:r>
        <w:rPr>
          <w:rFonts w:ascii="Times New Roman" w:hAnsi="Times New Roman" w:cs="Times New Roman" w:eastAsia="Times New Roman" w:hint="default"/>
        </w:rPr>
        <w:t>129,657,600</w:t>
      </w:r>
      <w:r>
        <w:rPr/>
        <w:t>股。</w:t>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0"/>
        <w:jc w:val="left"/>
        <w:rPr>
          <w:b w:val="0"/>
          <w:bCs w:val="0"/>
        </w:rPr>
      </w:pPr>
      <w:bookmarkStart w:name="十六、其他重要事项" w:id="487"/>
      <w:bookmarkEnd w:id="487"/>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88"/>
      <w:bookmarkEnd w:id="48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89"/>
      <w:bookmarkEnd w:id="48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来适用法" w:id="490"/>
      <w:bookmarkEnd w:id="49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债务重组" w:id="491"/>
      <w:bookmarkEnd w:id="49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资产置换" w:id="492"/>
      <w:bookmarkEnd w:id="49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非货币性资产交换" w:id="493"/>
      <w:bookmarkEnd w:id="49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其他资产置换" w:id="494"/>
      <w:bookmarkEnd w:id="49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年金计划" w:id="495"/>
      <w:bookmarkEnd w:id="49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终止经营" w:id="496"/>
      <w:bookmarkEnd w:id="49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分部信息" w:id="497"/>
      <w:bookmarkEnd w:id="49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分部的确定依据与会计政策" w:id="498"/>
      <w:bookmarkEnd w:id="49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2）报告分部的财务信息" w:id="499"/>
      <w:bookmarkEnd w:id="49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公司无报告分部的，或者不能披露各报告分部的资产总额和负债总额的，应说明原因" w:id="500"/>
      <w:bookmarkEnd w:id="50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501"/>
      <w:bookmarkEnd w:id="50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502"/>
      <w:bookmarkEnd w:id="50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6473" w:firstLine="0"/>
        <w:jc w:val="left"/>
        <w:rPr>
          <w:rFonts w:ascii="宋体" w:hAnsi="宋体" w:cs="宋体" w:eastAsia="宋体" w:hint="default"/>
          <w:sz w:val="21"/>
          <w:szCs w:val="21"/>
        </w:rPr>
      </w:pPr>
      <w:bookmarkStart w:name="8、其他" w:id="503"/>
      <w:bookmarkEnd w:id="50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4"/>
      <w:bookmarkEnd w:id="50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5"/>
      <w:bookmarkEnd w:id="505"/>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506"/>
      <w:bookmarkEnd w:id="50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94,303,5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04.98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11,558,6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67.02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82,744,83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44,468,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545.63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6,556,389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37,912,156.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94,303,5</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04.98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11,558,6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67.02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12.26%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82,744,83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44,468,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545.63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6,556,389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37,912,156.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0"/>
        <w:gridCol w:w="2390"/>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80,017,355.63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3,713,460.72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6,311,945.64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1,577,986.41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3,413,967.65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1,706,983.83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4,560,236.06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4,560,236.06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94,303,504.98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11,558,667.02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r>
    </w:tbl>
    <w:p>
      <w:pPr>
        <w:pStyle w:val="BodyText"/>
        <w:spacing w:line="360" w:lineRule="auto" w:before="51"/>
        <w:ind w:right="4453"/>
        <w:jc w:val="left"/>
      </w:pPr>
      <w:r>
        <w:rPr/>
        <w:t>确定该组合依据的说明： 其他不重大应收款项及经单独测试后未发现减值迹象的单项金额重大应收款项。 组合中，采用余额百分比法计提坏账准备的应收账款：</w:t>
      </w:r>
    </w:p>
    <w:p>
      <w:pPr>
        <w:pStyle w:val="BodyText"/>
        <w:spacing w:line="338" w:lineRule="auto" w:before="2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5,002,277.49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508"/>
      <w:bookmarkEnd w:id="50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509"/>
      <w:bookmarkEnd w:id="50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8"/>
          <w:szCs w:val="28"/>
        </w:rPr>
      </w:pPr>
    </w:p>
    <w:p>
      <w:pPr>
        <w:spacing w:line="2390" w:lineRule="exact"/>
        <w:ind w:left="1134"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5789866" cy="1518189"/>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0" cstate="print"/>
                    <a:stretch>
                      <a:fillRect/>
                    </a:stretch>
                  </pic:blipFill>
                  <pic:spPr>
                    <a:xfrm>
                      <a:off x="0" y="0"/>
                      <a:ext cx="5789866" cy="1518189"/>
                    </a:xfrm>
                    <a:prstGeom prst="rect">
                      <a:avLst/>
                    </a:prstGeom>
                  </pic:spPr>
                </pic:pic>
              </a:graphicData>
            </a:graphic>
          </wp:inline>
        </w:drawing>
      </w:r>
      <w:r>
        <w:rPr>
          <w:rFonts w:ascii="宋体" w:hAnsi="宋体" w:cs="宋体" w:eastAsia="宋体" w:hint="default"/>
          <w:position w:val="-47"/>
          <w:sz w:val="20"/>
          <w:szCs w:val="20"/>
        </w:rPr>
      </w:r>
    </w:p>
    <w:p>
      <w:pPr>
        <w:spacing w:after="0" w:line="2390" w:lineRule="exact"/>
        <w:rPr>
          <w:rFonts w:ascii="宋体" w:hAnsi="宋体" w:cs="宋体" w:eastAsia="宋体" w:hint="default"/>
          <w:sz w:val="20"/>
          <w:szCs w:val="20"/>
        </w:rPr>
        <w:sectPr>
          <w:type w:val="continuous"/>
          <w:pgSz w:w="11910" w:h="16840"/>
          <w:pgMar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5）因金融资产转移而终止确认的应收账款" w:id="510"/>
      <w:bookmarkEnd w:id="51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511"/>
      <w:bookmarkEnd w:id="51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其他应收款" w:id="512"/>
      <w:bookmarkEnd w:id="51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3"/>
      <w:bookmarkEnd w:id="51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5,392,38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1,695,85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4,656,4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837,377.1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3,819,092.8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5,392,38</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2.15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1,695,85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31.45%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3,696,529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4,656,4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837,377.1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17.98%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3,819,092.8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1,426,899.15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66,440.83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2,011,895.00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502,973.75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827,150.00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5,392,382.15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1,695,852.58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6253"/>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14"/>
      <w:bookmarkEnd w:id="5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858,475.48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515"/>
      <w:bookmarkEnd w:id="51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516"/>
      <w:bookmarkEnd w:id="51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4,612,024.75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4,316,403.00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681,086.76</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99,270.64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340,066.99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5,392,382.15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4,656,469.99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17"/>
      <w:bookmarkEnd w:id="51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江西省煤田地质局测 绘大队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1,627,060.00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30.17%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406,765.00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南平市延平区会计集 中核算中心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重庆市财政局非税收 入征收管理中心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厦门市财政信息中心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山西省财政厅信息网 络中心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163,811.00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8,190.55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3,641,671.00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1,349,695.55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18"/>
      <w:bookmarkEnd w:id="51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519"/>
      <w:bookmarkEnd w:id="51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520"/>
      <w:bookmarkEnd w:id="52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21"/>
      <w:bookmarkEnd w:id="52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126,749,079.88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126,749,079.88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30,298,339.88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30,298,339.88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28,663,773.12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28,663,773.12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2,206,533.72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2,206,533.72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155,412,853.00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155,412,853.00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32,504,873.60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32,504,873.60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22"/>
      <w:bookmarkEnd w:id="52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黑龙江博思软件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北京博思兴华软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7,912,839.88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12,912,839.88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福州兴博新中大 软件有限公司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福州博思兴创信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北京博思致新互 联网科技有限责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16,345,500.00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福建博思创业园 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81,928,560.00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81,928,560.00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集团股份支付权 益结算</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842,180.00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842,180.00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30,298,339.88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96,450,740.00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126,749,079.88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23"/>
      <w:bookmarkEnd w:id="52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58,206.85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firstLine="180"/>
              <w:jc w:val="both"/>
              <w:rPr>
                <w:rFonts w:ascii="宋体" w:hAnsi="宋体" w:cs="宋体" w:eastAsia="宋体" w:hint="default"/>
                <w:sz w:val="18"/>
                <w:szCs w:val="18"/>
              </w:rPr>
            </w:pPr>
            <w:r>
              <w:rPr>
                <w:rFonts w:ascii="宋体" w:hAnsi="宋体" w:cs="宋体" w:eastAsia="宋体" w:hint="default"/>
                <w:sz w:val="18"/>
                <w:szCs w:val="18"/>
              </w:rPr>
              <w:t>福州同 力科技开 发有限公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610,144.4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9,610,144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firstLine="180"/>
              <w:jc w:val="both"/>
              <w:rPr>
                <w:rFonts w:ascii="宋体" w:hAnsi="宋体" w:cs="宋体" w:eastAsia="宋体" w:hint="default"/>
                <w:sz w:val="18"/>
                <w:szCs w:val="18"/>
              </w:rPr>
            </w:pPr>
            <w:r>
              <w:rPr>
                <w:rFonts w:ascii="宋体" w:hAnsi="宋体" w:cs="宋体" w:eastAsia="宋体" w:hint="default"/>
                <w:sz w:val="18"/>
                <w:szCs w:val="18"/>
              </w:rPr>
              <w:t>吉林省 金财科技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1,788,888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16,788,88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2,457,239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28,663,77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2,206,533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2,457,239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28,663,77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24"/>
      <w:bookmarkEnd w:id="52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25"/>
      <w:bookmarkEnd w:id="5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183,551,848.61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55,573,293.48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122,256,731.94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42,010,878.94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1,369,117.12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552,518.94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1,255,554.62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543,438.16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184,920,965.73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56,125,812.42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123,512,286.56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42,554,317.10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26"/>
      <w:bookmarkEnd w:id="5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2,457,239.40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288,270.84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316,273.98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1,166,523.72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20,960,037.10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6,288,270.84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27"/>
      <w:bookmarkEnd w:id="52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28"/>
      <w:bookmarkEnd w:id="52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9"/>
      <w:bookmarkEnd w:id="52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33,765.96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806,466.47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10,533.49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126,661.23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723,316.41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30"/>
      <w:bookmarkEnd w:id="53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0.7986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0.7880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31"/>
      <w:bookmarkEnd w:id="53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32"/>
      <w:bookmarkEnd w:id="53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4"/>
      <w:bookmarkEnd w:id="53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35"/>
      <w:bookmarkEnd w:id="53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763" w:right="3764"/>
        <w:jc w:val="center"/>
        <w:rPr>
          <w:b w:val="0"/>
          <w:bCs w:val="0"/>
        </w:rPr>
      </w:pPr>
      <w:bookmarkStart w:name="第十二节 备查文件目录" w:id="536"/>
      <w:bookmarkEnd w:id="536"/>
      <w:r>
        <w:rPr>
          <w:b w:val="0"/>
          <w:bCs w:val="0"/>
        </w:rPr>
      </w:r>
      <w:bookmarkStart w:name="_bookmark11" w:id="537"/>
      <w:bookmarkEnd w:id="537"/>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7693"/>
        <w:jc w:val="left"/>
      </w:pPr>
      <w:r>
        <w:rPr/>
        <w:t>一、第二届董事会第十九次会议决议； 二、第二届监事会第十六次会议决议；</w:t>
      </w:r>
    </w:p>
    <w:p>
      <w:pPr>
        <w:pStyle w:val="BodyText"/>
        <w:spacing w:line="316" w:lineRule="auto" w:before="17"/>
        <w:ind w:right="2113"/>
        <w:jc w:val="left"/>
      </w:pPr>
      <w:r>
        <w:rPr/>
        <w:t>三、经福建华兴会计师事务所（特殊普通合伙）盖章、注册会计师签名并盖章的审计报告； 四、经公司法定代表人、主管会计工作的负责人、会计机构负责人（会计主管人员）签字并盖章的财务报告； 五、报告期内在中国证监会指定信息披露载体上公开披露过的所有公司文件的正本及公告的原件； 六、深圳证券交易所要求的其他文件。</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9512" type="#_x0000_t75" stroked="false">
          <v:imagedata r:id="rId1" o:title=""/>
        </v:shape>
      </w:pict>
    </w:r>
    <w:r>
      <w:rPr/>
      <w:pict>
        <v:shape style="position:absolute;margin-left:533.179993pt;margin-top:795.517944pt;width:6.5pt;height:11pt;mso-position-horizontal-relative:page;mso-position-vertical-relative:page;z-index:-989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9464" type="#_x0000_t75" stroked="false">
          <v:imagedata r:id="rId1" o:title=""/>
        </v:shape>
      </w:pict>
    </w:r>
    <w:r>
      <w:rPr/>
      <w:pict>
        <v:shape style="position:absolute;margin-left:527.679993pt;margin-top:781.957947pt;width:13pt;height:11pt;mso-position-horizontal-relative:page;mso-position-vertical-relative:page;z-index:-989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9416" type="#_x0000_t75" stroked="false">
          <v:imagedata r:id="rId1" o:title=""/>
        </v:shape>
      </w:pict>
    </w:r>
    <w:r>
      <w:rPr/>
      <w:pict>
        <v:shape style="position:absolute;margin-left:524.179993pt;margin-top:781.957947pt;width:15.5pt;height:11pt;mso-position-horizontal-relative:page;mso-position-vertical-relative:page;z-index:-9893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9368" type="#_x0000_t75" stroked="false">
          <v:imagedata r:id="rId1" o:title=""/>
        </v:shape>
      </w:pict>
    </w:r>
    <w:r>
      <w:rPr/>
      <w:pict>
        <v:shape style="position:absolute;margin-left:523.179993pt;margin-top:781.957947pt;width:17.5pt;height:11pt;mso-position-horizontal-relative:page;mso-position-vertical-relative:page;z-index:-989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89536" type="#_x0000_t202" filled="false" stroked="false">
          <v:textbox inset="0,0,0,0">
            <w:txbxContent>
              <w:p>
                <w:pPr>
                  <w:pStyle w:val="BodyText"/>
                  <w:spacing w:line="214" w:lineRule="exact"/>
                  <w:ind w:left="20" w:right="0"/>
                  <w:jc w:val="left"/>
                </w:pPr>
                <w:r>
                  <w:rPr/>
                  <w:t>福建博思软件股份有限公司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gjfw.com/" TargetMode="External"/><Relationship Id="rId10" Type="http://schemas.openxmlformats.org/officeDocument/2006/relationships/hyperlink" Target="http://www.bosssoft.com.cn/" TargetMode="External"/><Relationship Id="rId11" Type="http://schemas.openxmlformats.org/officeDocument/2006/relationships/hyperlink" Target="mailto:bosssoft@bosssoft.com.cn" TargetMode="External"/><Relationship Id="rId12" Type="http://schemas.openxmlformats.org/officeDocument/2006/relationships/hyperlink" Target="http://www.cninfo.com.cn/" TargetMode="External"/><Relationship Id="rId13" Type="http://schemas.openxmlformats.org/officeDocument/2006/relationships/hyperlink" Target="http://www.cninfo.co/"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福建博思软件股份有限公司</dc:creator>
  <dc:title>福建博思软件股份有限公司2017年年度报告全文</dc:title>
  <dcterms:created xsi:type="dcterms:W3CDTF">2020-05-03T00:58:33Z</dcterms:created>
  <dcterms:modified xsi:type="dcterms:W3CDTF">2020-05-03T00:58:33Z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Creator">
    <vt:lpwstr>Microsoft® Office Word 2007</vt:lpwstr>
  </property>
  <property fmtid="{D5CDD505-2E9C-101B-9397-08002B2CF9AE}" pid="4" name="LastSaved">
    <vt:filetime>2020-05-02T00:00:00Z</vt:filetime>
  </property>
</Properties>
</file>