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color w:val="9C7268"/>
          <w:spacing w:val="0"/>
          <w:w w:val="100"/>
          <w:position w:val="0"/>
        </w:rPr>
        <w:t>人</w:t>
      </w:r>
      <w:r>
        <w:rPr>
          <w:spacing w:val="0"/>
          <w:w w:val="100"/>
          <w:position w:val="0"/>
        </w:rPr>
        <w:t>情思段件</w:t>
      </w:r>
    </w:p>
    <w:p>
      <w:pPr>
        <w:pStyle w:val="Style5"/>
        <w:keepNext w:val="0"/>
        <w:keepLines w:val="0"/>
        <w:widowControl w:val="0"/>
        <w:shd w:val="clear" w:color="auto" w:fill="auto"/>
        <w:bidi w:val="0"/>
        <w:spacing w:before="0" w:line="240" w:lineRule="auto"/>
        <w:ind w:left="0" w:right="0" w:firstLine="0"/>
        <w:jc w:val="center"/>
      </w:pPr>
      <w:r>
        <w:rPr>
          <w:i/>
          <w:iCs/>
          <w:color w:val="4067AE"/>
          <w:spacing w:val="0"/>
          <w:w w:val="100"/>
          <w:position w:val="0"/>
        </w:rPr>
        <w:t xml:space="preserve">J </w:t>
      </w:r>
      <w:r>
        <w:rPr>
          <w:i/>
          <w:iCs/>
          <w:color w:val="F9C155"/>
          <w:spacing w:val="0"/>
          <w:w w:val="100"/>
          <w:position w:val="0"/>
        </w:rPr>
        <w:t>J</w:t>
      </w:r>
      <w:r>
        <w:rPr>
          <w:color w:val="F9C155"/>
          <w:spacing w:val="0"/>
          <w:w w:val="100"/>
          <w:position w:val="0"/>
        </w:rPr>
        <w:t xml:space="preserve"> </w:t>
      </w:r>
      <w:r>
        <w:rPr>
          <w:spacing w:val="0"/>
          <w:w w:val="100"/>
          <w:position w:val="0"/>
        </w:rPr>
        <w:t>BOSSSOFT</w:t>
      </w:r>
    </w:p>
    <w:p>
      <w:pPr>
        <w:pStyle w:val="Style10"/>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福建博思软件股份有限公司</w:t>
      </w:r>
    </w:p>
    <w:p>
      <w:pPr>
        <w:pStyle w:val="Style1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2022-023</w:t>
      </w:r>
    </w:p>
    <w:p>
      <w:pPr>
        <w:pStyle w:val="Style12"/>
        <w:keepNext/>
        <w:keepLines/>
        <w:widowControl w:val="0"/>
        <w:shd w:val="clear" w:color="auto" w:fill="auto"/>
        <w:bidi w:val="0"/>
        <w:spacing w:before="0" w:after="460" w:line="240" w:lineRule="auto"/>
        <w:ind w:left="0" w:right="0" w:firstLine="0"/>
        <w:jc w:val="center"/>
        <w:sectPr>
          <w:footnotePr>
            <w:pos w:val="pageBottom"/>
            <w:numFmt w:val="decimal"/>
            <w:numRestart w:val="continuous"/>
          </w:footnotePr>
          <w:pgSz w:w="11900" w:h="16840"/>
          <w:pgMar w:top="2962" w:right="1109" w:bottom="2962" w:left="1104" w:header="0" w:footer="3" w:gutter="0"/>
          <w:cols w:space="720"/>
          <w:noEndnote/>
          <w:rtlGutter w:val="0"/>
          <w:docGrid w:linePitch="360"/>
        </w:sectP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3"/>
      <w:bookmarkEnd w:id="4"/>
      <w:bookmarkEnd w:id="5"/>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7"/>
        <w:keepNext w:val="0"/>
        <w:keepLines w:val="0"/>
        <w:widowControl w:val="0"/>
        <w:shd w:val="clear" w:color="auto" w:fill="auto"/>
        <w:bidi w:val="0"/>
        <w:spacing w:before="0" w:line="614" w:lineRule="exact"/>
        <w:ind w:left="0" w:right="0"/>
        <w:jc w:val="both"/>
      </w:pPr>
      <w:r>
        <w:rPr>
          <w:color w:val="000000"/>
          <w:spacing w:val="0"/>
          <w:w w:val="100"/>
          <w:position w:val="0"/>
        </w:rPr>
        <w:t>公司负责人陈航、主管会计工作负责人林宏及会计机构负责人（会计主管人 员）朱红玉声明：保证本年度报告中财务报告的真实、准确、完整。</w:t>
      </w:r>
    </w:p>
    <w:p>
      <w:pPr>
        <w:pStyle w:val="Style17"/>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3" w:lineRule="exact"/>
        <w:ind w:left="0" w:right="0"/>
        <w:jc w:val="both"/>
      </w:pPr>
      <w:r>
        <w:rPr>
          <w:color w:val="000000"/>
          <w:spacing w:val="0"/>
          <w:w w:val="100"/>
          <w:position w:val="0"/>
        </w:rPr>
        <w:t>公司在发展过程中，存在市场竞争风险，政策风险，技术开发、产品升级 风险，信息安全风险，管理风险，核心技术泄露、核心技术人员流失的风险， 人员成本上升风险，新业务、新领域开拓风险，应收账款余额较大风险，商誉 减值的风险等风险因素，敬请广大投资者注意投资风险，详细内容见本报告中 第三节第十一小节“公司未来发展的展望”中“可能面临的风险及应对措施”。</w:t>
      </w:r>
    </w:p>
    <w:p>
      <w:pPr>
        <w:pStyle w:val="Style17"/>
        <w:keepNext w:val="0"/>
        <w:keepLines w:val="0"/>
        <w:widowControl w:val="0"/>
        <w:shd w:val="clear" w:color="auto" w:fill="auto"/>
        <w:bidi w:val="0"/>
        <w:spacing w:before="0" w:line="624" w:lineRule="exact"/>
        <w:ind w:left="0" w:right="0"/>
        <w:jc w:val="both"/>
        <w:sectPr>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公司经本次董事会审议通过的利润分配预案为：以396,563,342为基数，向 全体股东每10股派发现金红利</w:t>
      </w:r>
      <w:r>
        <w:rPr>
          <w:color w:val="000000"/>
          <w:spacing w:val="0"/>
          <w:w w:val="100"/>
          <w:position w:val="0"/>
        </w:rPr>
        <w:t>0.80</w:t>
      </w:r>
      <w:r>
        <w:rPr>
          <w:color w:val="000000"/>
          <w:spacing w:val="0"/>
          <w:w w:val="100"/>
          <w:position w:val="0"/>
        </w:rPr>
        <w:t>元（含税），送红股0股（含税），以资本公 积金向全体股东每10股转增5股。</w:t>
      </w:r>
    </w:p>
    <w:p>
      <w:pPr>
        <w:pStyle w:val="Style10"/>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2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67"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255"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415"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436"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588"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667"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pPr>
      <w:hyperlink w:anchor="bookmark671"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675"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r>
        <w:fldChar w:fldCharType="end"/>
      </w:r>
    </w:p>
    <w:p>
      <w:pPr>
        <w:pStyle w:val="Style12"/>
        <w:keepNext/>
        <w:keepLines/>
        <w:widowControl w:val="0"/>
        <w:shd w:val="clear" w:color="auto" w:fill="auto"/>
        <w:bidi w:val="0"/>
        <w:spacing w:before="700" w:after="86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3" w:name="bookmark13"/>
      <w:r>
        <w:rPr>
          <w:color w:val="000000"/>
          <w:spacing w:val="0"/>
          <w:w w:val="100"/>
          <w:position w:val="0"/>
        </w:rPr>
        <w:t>一</w:t>
      </w:r>
      <w:bookmarkEnd w:id="13"/>
      <w:r>
        <w:rPr>
          <w:color w:val="000000"/>
          <w:spacing w:val="0"/>
          <w:w w:val="100"/>
          <w:position w:val="0"/>
        </w:rPr>
        <w:t>、</w:t>
        <w:tab/>
        <w:t>第四届董事会第九次会议决议；</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4" w:name="bookmark14"/>
      <w:r>
        <w:rPr>
          <w:color w:val="000000"/>
          <w:spacing w:val="0"/>
          <w:w w:val="100"/>
          <w:position w:val="0"/>
        </w:rPr>
        <w:t>二</w:t>
      </w:r>
      <w:bookmarkEnd w:id="14"/>
      <w:r>
        <w:rPr>
          <w:color w:val="000000"/>
          <w:spacing w:val="0"/>
          <w:w w:val="100"/>
          <w:position w:val="0"/>
        </w:rPr>
        <w:t>、</w:t>
        <w:tab/>
        <w:t>第四届监事会第九次会议决议；</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5" w:name="bookmark15"/>
      <w:r>
        <w:rPr>
          <w:color w:val="000000"/>
          <w:spacing w:val="0"/>
          <w:w w:val="100"/>
          <w:position w:val="0"/>
        </w:rPr>
        <w:t>三</w:t>
      </w:r>
      <w:bookmarkEnd w:id="15"/>
      <w:r>
        <w:rPr>
          <w:color w:val="000000"/>
          <w:spacing w:val="0"/>
          <w:w w:val="100"/>
          <w:position w:val="0"/>
        </w:rPr>
        <w:t>、</w:t>
        <w:tab/>
        <w:t>经大华会计师事务所（特殊普通合伙）盖章、注册会计师签名并盖章的审计报告；</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6" w:name="bookmark16"/>
      <w:r>
        <w:rPr>
          <w:color w:val="000000"/>
          <w:spacing w:val="0"/>
          <w:w w:val="100"/>
          <w:position w:val="0"/>
        </w:rPr>
        <w:t>四</w:t>
      </w:r>
      <w:bookmarkEnd w:id="16"/>
      <w:r>
        <w:rPr>
          <w:color w:val="000000"/>
          <w:spacing w:val="0"/>
          <w:w w:val="100"/>
          <w:position w:val="0"/>
        </w:rPr>
        <w:t>、</w:t>
        <w:tab/>
        <w:t>经公司法定代表人、主管会计工作的负责人、会计机构负责人（会计主管人员）签字并盖章的财务报告;</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7" w:name="bookmark17"/>
      <w:r>
        <w:rPr>
          <w:color w:val="000000"/>
          <w:spacing w:val="0"/>
          <w:w w:val="100"/>
          <w:position w:val="0"/>
        </w:rPr>
        <w:t>五</w:t>
      </w:r>
      <w:bookmarkEnd w:id="17"/>
      <w:r>
        <w:rPr>
          <w:color w:val="000000"/>
          <w:spacing w:val="0"/>
          <w:w w:val="100"/>
          <w:position w:val="0"/>
        </w:rPr>
        <w:t>、</w:t>
        <w:tab/>
        <w:t>报告期内公开披露过的所有公司文件的正本及公告的原件；</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8" w:name="bookmark18"/>
      <w:r>
        <w:rPr>
          <w:color w:val="000000"/>
          <w:spacing w:val="0"/>
          <w:w w:val="100"/>
          <w:position w:val="0"/>
        </w:rPr>
        <w:t>六</w:t>
      </w:r>
      <w:bookmarkEnd w:id="18"/>
      <w:r>
        <w:rPr>
          <w:color w:val="000000"/>
          <w:spacing w:val="0"/>
          <w:w w:val="100"/>
          <w:position w:val="0"/>
        </w:rPr>
        <w:t>、</w:t>
        <w:tab/>
        <w:t>深圳证券交易所要求的其他文件。</w:t>
      </w:r>
      <w:r>
        <w:br w:type="page"/>
      </w:r>
    </w:p>
    <w:p>
      <w:pPr>
        <w:pStyle w:val="Style12"/>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报告期、本期、本报告期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福建博思软件股份有限公司股东大会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章程、公司章程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支点国际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北京数字支点国际项目管理有限公司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博思致新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同力科技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吉林金财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内蒙金财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浙江美科科技有限公司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博思赋能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北京博思赋能科技有限公司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北京公采云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北京公采云信息技术有限公司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成都思必得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成都思必得信息技术有限公司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北京阳光公采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北京阳光公采科技有限公司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数采科技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黑龙江华颂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黑龙江华颂信息技术有限公司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保荐机构、国金证券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国金证券股份有限公司</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通缴云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通缴云是面向政府、企业、群众办事、缴费、生成电子票据一站式公 共服务平台。以统一身份认证为基础，聚合基础业务能力、支付能力 及身份认证等，为市民提供政务缴费、交通出行、看病就医、教育缴 费、公园景点、交警罚没、不动产交易等场景，为各级政府实现</w:t>
            </w:r>
            <w:r>
              <w:rPr>
                <w:rFonts w:ascii="Times New Roman" w:eastAsia="Times New Roman" w:hAnsi="Times New Roman" w:cs="Times New Roman"/>
                <w:color w:val="000000"/>
                <w:spacing w:val="0"/>
                <w:w w:val="100"/>
                <w:position w:val="0"/>
              </w:rPr>
              <w:t>"</w:t>
            </w:r>
            <w:r>
              <w:rPr>
                <w:color w:val="000000"/>
                <w:spacing w:val="0"/>
                <w:w w:val="100"/>
                <w:position w:val="0"/>
              </w:rPr>
              <w:t>数 字政府一网通办</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智慧城市一码通行''的数字城市建设赋能。</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公采云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公采云是面向公共采购领域提供的集采购交易和采购监管于一体的 公共服务平台。平台坚持</w:t>
            </w:r>
            <w:r>
              <w:rPr>
                <w:rFonts w:ascii="Times New Roman" w:eastAsia="Times New Roman" w:hAnsi="Times New Roman" w:cs="Times New Roman"/>
                <w:color w:val="000000"/>
                <w:spacing w:val="0"/>
                <w:w w:val="100"/>
                <w:position w:val="0"/>
              </w:rPr>
              <w:t>"</w:t>
            </w:r>
            <w:r>
              <w:rPr>
                <w:color w:val="000000"/>
                <w:spacing w:val="0"/>
                <w:w w:val="100"/>
                <w:position w:val="0"/>
              </w:rPr>
              <w:t>制度</w:t>
            </w:r>
            <w:r>
              <w:rPr>
                <w:rFonts w:ascii="Times New Roman" w:eastAsia="Times New Roman" w:hAnsi="Times New Roman" w:cs="Times New Roman"/>
                <w:color w:val="000000"/>
                <w:spacing w:val="0"/>
                <w:w w:val="100"/>
                <w:position w:val="0"/>
              </w:rPr>
              <w:t>+</w:t>
            </w:r>
            <w:r>
              <w:rPr>
                <w:color w:val="000000"/>
                <w:spacing w:val="0"/>
                <w:w w:val="100"/>
                <w:position w:val="0"/>
              </w:rPr>
              <w:t>科技''的建设理念，将政策法规充分 融入到平台中，将大数据和云计算技术应用到采购业务的各环节，通 过电子卖场、电子招投标和电子监管实现公共采购业务全场景、全流 程电子化，让交易更简单，让监管更到位。</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非税收入收缴电子化管理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利用现代信息网络技术，以经过数字签名的合法、有效的电子文件为 依据，全流程在线办理政府非税收入收缴业务的一种管理方式。</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财政电子票据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电子票据在财政票据领域的应用，其核心思想就是实现财政票据无纸 化，利用电子签名、电子签章、身份识别、数据加密等技术，通过计 算机和互联网以电子信息传递形式实现传统纸质票据的功能，财政电 子票据是传统财政票据的扩展和补充。</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软件即服务(</w:t>
            </w:r>
            <w:r>
              <w:rPr>
                <w:rFonts w:ascii="Times New Roman" w:eastAsia="Times New Roman" w:hAnsi="Times New Roman" w:cs="Times New Roman"/>
                <w:color w:val="000000"/>
                <w:spacing w:val="0"/>
                <w:w w:val="100"/>
                <w:position w:val="0"/>
              </w:rPr>
              <w:t>Software-as-a-Service</w:t>
            </w:r>
            <w:r>
              <w:rPr>
                <w:color w:val="000000"/>
                <w:spacing w:val="0"/>
                <w:w w:val="100"/>
                <w:position w:val="0"/>
              </w:rPr>
              <w:t>)，</w:t>
            </w:r>
            <w:r>
              <w:rPr>
                <w:color w:val="000000"/>
                <w:spacing w:val="0"/>
                <w:w w:val="100"/>
                <w:position w:val="0"/>
              </w:rPr>
              <w:t>是一种基于互联网提供软件服 务的应用模式。</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7"/>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bookmarkStart w:id="29" w:name="bookmark29"/>
      <w:r>
        <w:rPr>
          <w:color w:val="000000"/>
          <w:spacing w:val="0"/>
          <w:w w:val="100"/>
          <w:position w:val="0"/>
          <w:sz w:val="24"/>
          <w:szCs w:val="24"/>
        </w:rPr>
        <w:t>一</w:t>
      </w:r>
      <w:bookmarkEnd w:id="28"/>
      <w:r>
        <w:rPr>
          <w:color w:val="000000"/>
          <w:spacing w:val="0"/>
          <w:w w:val="100"/>
          <w:position w:val="0"/>
          <w:sz w:val="24"/>
          <w:szCs w:val="24"/>
        </w:rPr>
        <w:t>、公司信息</w:t>
      </w:r>
      <w:bookmarkEnd w:id="26"/>
      <w:bookmarkEnd w:id="27"/>
      <w:bookmarkEnd w:id="29"/>
      <w:bookmarkEnd w:id="25"/>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2" w:val="left"/>
                <w:tab w:pos="5107" w:val="left"/>
              </w:tabs>
              <w:bidi w:val="0"/>
              <w:spacing w:before="0" w:after="0" w:line="240" w:lineRule="auto"/>
              <w:ind w:left="0" w:right="0" w:firstLine="0"/>
              <w:jc w:val="left"/>
            </w:pPr>
            <w:r>
              <w:rPr>
                <w:color w:val="000000"/>
                <w:spacing w:val="0"/>
                <w:w w:val="100"/>
                <w:position w:val="0"/>
              </w:rPr>
              <w:t>博思软件</w:t>
              <w:tab/>
              <w:t>股票代码</w:t>
              <w:tab/>
            </w:r>
            <w:r>
              <w:rPr>
                <w:rFonts w:ascii="Times New Roman" w:eastAsia="Times New Roman" w:hAnsi="Times New Roman" w:cs="Times New Roman"/>
                <w:color w:val="000000"/>
                <w:spacing w:val="0"/>
                <w:w w:val="100"/>
                <w:position w:val="0"/>
              </w:rPr>
              <w:t>300525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Fujian Boss Software Corp.</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Boss Soft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闽侯县上街镇高新大道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月，公司注册地址由</w:t>
            </w:r>
            <w:r>
              <w:rPr>
                <w:rFonts w:ascii="Times New Roman" w:eastAsia="Times New Roman" w:hAnsi="Times New Roman" w:cs="Times New Roman"/>
                <w:color w:val="000000"/>
                <w:spacing w:val="0"/>
                <w:w w:val="100"/>
                <w:position w:val="0"/>
              </w:rPr>
              <w:t>“</w:t>
            </w:r>
            <w:r>
              <w:rPr>
                <w:color w:val="000000"/>
                <w:spacing w:val="0"/>
                <w:w w:val="100"/>
                <w:position w:val="0"/>
              </w:rPr>
              <w:t>福建省闽侯县上街镇科技东路福州高新技术产业开发区</w:t>
            </w:r>
            <w:r>
              <w:rPr>
                <w:rFonts w:ascii="Times New Roman" w:eastAsia="Times New Roman" w:hAnsi="Times New Roman" w:cs="Times New Roman"/>
                <w:color w:val="000000"/>
                <w:spacing w:val="0"/>
                <w:w w:val="100"/>
                <w:position w:val="0"/>
              </w:rPr>
              <w:t>‘</w:t>
            </w:r>
            <w:r>
              <w:rPr>
                <w:color w:val="000000"/>
                <w:spacing w:val="0"/>
                <w:w w:val="100"/>
                <w:position w:val="0"/>
              </w:rPr>
              <w:t>海西 高新技术产业园</w:t>
            </w:r>
            <w:r>
              <w:rPr>
                <w:rFonts w:ascii="Times New Roman" w:eastAsia="Times New Roman" w:hAnsi="Times New Roman" w:cs="Times New Roman"/>
                <w:color w:val="000000"/>
                <w:spacing w:val="0"/>
                <w:w w:val="100"/>
                <w:position w:val="0"/>
              </w:rPr>
              <w:t>’</w:t>
            </w:r>
            <w:r>
              <w:rPr>
                <w:color w:val="000000"/>
                <w:spacing w:val="0"/>
                <w:w w:val="100"/>
                <w:position w:val="0"/>
              </w:rPr>
              <w:t>创业大厦</w:t>
            </w:r>
            <w:r>
              <w:rPr>
                <w:rFonts w:ascii="Times New Roman" w:eastAsia="Times New Roman" w:hAnsi="Times New Roman" w:cs="Times New Roman"/>
                <w:color w:val="000000"/>
                <w:spacing w:val="0"/>
                <w:w w:val="100"/>
                <w:position w:val="0"/>
              </w:rPr>
              <w:t>A</w:t>
            </w:r>
            <w:r>
              <w:rPr>
                <w:color w:val="000000"/>
                <w:spacing w:val="0"/>
                <w:w w:val="100"/>
                <w:position w:val="0"/>
              </w:rPr>
              <w:t>区</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w:t>
            </w:r>
            <w:r>
              <w:rPr>
                <w:color w:val="000000"/>
                <w:spacing w:val="0"/>
                <w:w w:val="100"/>
                <w:position w:val="0"/>
              </w:rPr>
              <w:t>变更至</w:t>
            </w:r>
            <w:r>
              <w:rPr>
                <w:rFonts w:ascii="Times New Roman" w:eastAsia="Times New Roman" w:hAnsi="Times New Roman" w:cs="Times New Roman"/>
                <w:color w:val="000000"/>
                <w:spacing w:val="0"/>
                <w:w w:val="100"/>
                <w:position w:val="0"/>
              </w:rPr>
              <w:t>“</w:t>
            </w:r>
            <w:r>
              <w:rPr>
                <w:color w:val="000000"/>
                <w:spacing w:val="0"/>
                <w:w w:val="100"/>
                <w:position w:val="0"/>
              </w:rPr>
              <w:t>闽侯县上街镇高新大道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福建省福州市海西高新科技产业园高新大道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"http://www.bosssoft.com.cn" </w:instrText>
            </w:r>
            <w:r>
              <w:fldChar w:fldCharType="separate"/>
            </w:r>
            <w:r>
              <w:rPr>
                <w:rFonts w:ascii="Times New Roman" w:eastAsia="Times New Roman" w:hAnsi="Times New Roman" w:cs="Times New Roman"/>
                <w:color w:val="000000"/>
                <w:spacing w:val="0"/>
                <w:w w:val="100"/>
                <w:position w:val="0"/>
              </w:rPr>
              <w:t>http://www.bosssoft.com.cn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、联系人和联系方式</w:t>
      </w:r>
      <w:bookmarkEnd w:id="30"/>
      <w:bookmarkEnd w:id="31"/>
      <w:bookmarkEnd w:id="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刘春贤</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福建省福州市海西高新科技产业园高新 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福建省福州市海西高新科技产业园高新 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、信息披露及备置地点</w:t>
      </w:r>
      <w:bookmarkEnd w:id="34"/>
      <w:bookmarkEnd w:id="35"/>
      <w:bookmarkEnd w:id="3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sz se. cn/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w:t>
            </w:r>
            <w:r>
              <w:rPr>
                <w:rFonts w:ascii="Times New Roman" w:eastAsia="Times New Roman" w:hAnsi="Times New Roman" w:cs="Times New Roman"/>
                <w:color w:val="000000"/>
                <w:spacing w:val="0"/>
                <w:w w:val="100"/>
                <w:position w:val="0"/>
              </w:rPr>
              <w:t>https://epaper.cs.com.cn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福建省福州市海西高新科技产业园高新大道</w:t>
            </w:r>
            <w:r>
              <w:rPr>
                <w:rFonts w:ascii="Times New Roman" w:eastAsia="Times New Roman" w:hAnsi="Times New Roman" w:cs="Times New Roman"/>
                <w:color w:val="000000"/>
                <w:spacing w:val="0"/>
                <w:w w:val="100"/>
                <w:position w:val="0"/>
              </w:rPr>
              <w:t>5</w:t>
            </w:r>
            <w:r>
              <w:rPr>
                <w:color w:val="000000"/>
                <w:spacing w:val="0"/>
                <w:w w:val="100"/>
                <w:position w:val="0"/>
              </w:rPr>
              <w:t>号董事会办公室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、其他有关资料</w:t>
      </w:r>
      <w:bookmarkEnd w:id="38"/>
      <w:bookmarkEnd w:id="39"/>
      <w:bookmarkEnd w:id="4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曹隆森、熊志平</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四川省成都市东城根上街</w:t>
            </w:r>
            <w:r>
              <w:rPr>
                <w:rFonts w:ascii="Times New Roman" w:eastAsia="Times New Roman" w:hAnsi="Times New Roman" w:cs="Times New Roman"/>
                <w:color w:val="000000"/>
                <w:spacing w:val="0"/>
                <w:w w:val="100"/>
                <w:position w:val="0"/>
              </w:rPr>
              <w:t xml:space="preserve">95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杨洪泳、李秀娜</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五</w:t>
      </w:r>
      <w:bookmarkEnd w:id="44"/>
      <w:r>
        <w:rPr>
          <w:color w:val="000000"/>
          <w:spacing w:val="0"/>
          <w:w w:val="100"/>
          <w:position w:val="0"/>
          <w:sz w:val="24"/>
          <w:szCs w:val="24"/>
        </w:rPr>
        <w:t>、主要会计数据和财务指标</w:t>
      </w:r>
      <w:bookmarkEnd w:id="42"/>
      <w:bookmarkEnd w:id="43"/>
      <w:bookmarkEnd w:id="45"/>
    </w:p>
    <w:p>
      <w:pPr>
        <w:pStyle w:val="Style22"/>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1,564,103,745.01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898,768,211.80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229,094,690.89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161,771,701.18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106,833,899.34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212,334,219.08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128,848,651.47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99,022,802.26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310,003,861.59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185,250,981.66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114,937,171.25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2,528,328,118.98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2,140,932,920.99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1,809,451,674.47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1,605,103,254.89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1,382,941,083.10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1,215,505,317.13</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0.5718</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六</w:t>
      </w:r>
      <w:bookmarkEnd w:id="48"/>
      <w:r>
        <w:rPr>
          <w:color w:val="000000"/>
          <w:spacing w:val="0"/>
          <w:w w:val="100"/>
          <w:position w:val="0"/>
          <w:sz w:val="24"/>
          <w:szCs w:val="24"/>
        </w:rPr>
        <w:t>、分季度主要财务指标</w:t>
      </w:r>
      <w:bookmarkEnd w:id="46"/>
      <w:bookmarkEnd w:id="47"/>
      <w:bookmarkEnd w:id="49"/>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133,788,537.03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252,493,905.70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344,710,102.36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833,111,199.92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-37,244,748.07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-9,876,993.34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49,941,175.54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226,275,256.76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-42,121,767.63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-14,011,518.69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46,558,380.98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221,909,124.42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-214,315,366.84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13,429,569.60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37,210,555.01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473,679,103.82</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七</w:t>
      </w:r>
      <w:bookmarkEnd w:id="52"/>
      <w:r>
        <w:rPr>
          <w:color w:val="000000"/>
          <w:spacing w:val="0"/>
          <w:w w:val="100"/>
          <w:position w:val="0"/>
          <w:sz w:val="24"/>
          <w:szCs w:val="24"/>
        </w:rPr>
        <w:t>、</w:t>
        <w:tab/>
        <w:t>境内外会计准则下会计数据差异</w:t>
      </w:r>
      <w:bookmarkEnd w:id="50"/>
      <w:bookmarkEnd w:id="51"/>
      <w:bookmarkEnd w:id="53"/>
    </w:p>
    <w:p>
      <w:pPr>
        <w:pStyle w:val="Style33"/>
        <w:keepNext/>
        <w:keepLines/>
        <w:widowControl w:val="0"/>
        <w:shd w:val="clear" w:color="auto" w:fill="auto"/>
        <w:tabs>
          <w:tab w:pos="403" w:val="left"/>
        </w:tabs>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八</w:t>
      </w:r>
      <w:bookmarkEnd w:id="64"/>
      <w:r>
        <w:rPr>
          <w:color w:val="000000"/>
          <w:spacing w:val="0"/>
          <w:w w:val="100"/>
          <w:position w:val="0"/>
          <w:sz w:val="24"/>
          <w:szCs w:val="24"/>
        </w:rPr>
        <w:t>、</w:t>
        <w:tab/>
        <w:t>非经常性损益项目及金额</w:t>
      </w:r>
      <w:bookmarkEnd w:id="62"/>
      <w:bookmarkEnd w:id="63"/>
      <w:bookmarkEnd w:id="65"/>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-284,836.79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-154,340.79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-16,536.34</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14,859,558.14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29,104,752.81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6,617,097.75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3,727,287.29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4,736,144.96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1,032,738.00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4,133,855.93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3,750,104.03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1,374,408.43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-856,335.49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2,606,005.15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取得控制权时股权按 公允价值重新计量产 生的利得</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2,736,042.48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5,530,479.05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236,970.03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2,083,014.79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1,589,137.40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959,640.73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16,760,471.81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32,923,049.71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7,811,097.08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378" w:right="1125" w:bottom="1522" w:left="1088"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before="74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27"/>
        <w:keepNext/>
        <w:keepLines/>
        <w:widowControl w:val="0"/>
        <w:shd w:val="clear" w:color="auto" w:fill="auto"/>
        <w:bidi w:val="0"/>
        <w:spacing w:before="0" w:after="260" w:line="240" w:lineRule="auto"/>
        <w:ind w:left="0" w:right="0" w:firstLine="0"/>
        <w:jc w:val="both"/>
      </w:pPr>
      <w:bookmarkStart w:id="69" w:name="bookmark69"/>
      <w:bookmarkStart w:id="70" w:name="bookmark70"/>
      <w:bookmarkStart w:id="71" w:name="bookmark71"/>
      <w:bookmarkStart w:id="72" w:name="bookmark72"/>
      <w:bookmarkStart w:id="73" w:name="bookmark73"/>
      <w:r>
        <w:rPr>
          <w:color w:val="000000"/>
          <w:spacing w:val="0"/>
          <w:w w:val="100"/>
          <w:position w:val="0"/>
          <w:sz w:val="24"/>
          <w:szCs w:val="24"/>
        </w:rPr>
        <w:t>一</w:t>
      </w:r>
      <w:bookmarkEnd w:id="72"/>
      <w:r>
        <w:rPr>
          <w:color w:val="000000"/>
          <w:spacing w:val="0"/>
          <w:w w:val="100"/>
          <w:position w:val="0"/>
          <w:sz w:val="24"/>
          <w:szCs w:val="24"/>
        </w:rPr>
        <w:t>、报告期内公司所处行业情况</w:t>
      </w:r>
      <w:bookmarkEnd w:id="70"/>
      <w:bookmarkEnd w:id="71"/>
      <w:bookmarkEnd w:id="73"/>
      <w:bookmarkEnd w:id="69"/>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2"/>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开局之年，软件和信息技术服务业迎来新的发展机遇。根据国家工信部发布的《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 术服务业统计公报》，</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年，我国软件和信息技术服务业运行态势良好，收入达</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，两年复合 增长率为</w:t>
      </w:r>
      <w:r>
        <w:rPr>
          <w:rFonts w:ascii="Times New Roman" w:eastAsia="Times New Roman" w:hAnsi="Times New Roman" w:cs="Times New Roman"/>
          <w:color w:val="000000"/>
          <w:spacing w:val="0"/>
          <w:w w:val="100"/>
          <w:position w:val="0"/>
        </w:rPr>
        <w:t>15.5%</w:t>
      </w:r>
      <w:r>
        <w:rPr>
          <w:color w:val="000000"/>
          <w:spacing w:val="0"/>
          <w:w w:val="100"/>
          <w:position w:val="0"/>
        </w:rPr>
        <w:t>。业务收入保持较快增长的同时，盈利能力也在稳步提升。</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w:t>
      </w:r>
      <w:r>
        <w:rPr>
          <w:rFonts w:ascii="Times New Roman" w:eastAsia="Times New Roman" w:hAnsi="Times New Roman" w:cs="Times New Roman"/>
          <w:color w:val="000000"/>
          <w:spacing w:val="0"/>
          <w:w w:val="100"/>
          <w:position w:val="0"/>
        </w:rPr>
        <w:t>11,875</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7.6%</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7.7%</w:t>
      </w:r>
      <w:r>
        <w:rPr>
          <w:color w:val="000000"/>
          <w:spacing w:val="0"/>
          <w:w w:val="100"/>
          <w:position w:val="0"/>
        </w:rPr>
        <w:t>；主营业务利润率提高</w:t>
      </w:r>
      <w:r>
        <w:rPr>
          <w:rFonts w:ascii="Times New Roman" w:eastAsia="Times New Roman" w:hAnsi="Times New Roman" w:cs="Times New Roman"/>
          <w:color w:val="000000"/>
          <w:spacing w:val="0"/>
          <w:w w:val="100"/>
          <w:position w:val="0"/>
        </w:rPr>
        <w:t>0.1</w:t>
      </w:r>
      <w:r>
        <w:rPr>
          <w:color w:val="000000"/>
          <w:spacing w:val="0"/>
          <w:w w:val="100"/>
          <w:position w:val="0"/>
        </w:rPr>
        <w:t>个百分点达</w:t>
      </w:r>
      <w:r>
        <w:rPr>
          <w:rFonts w:ascii="Times New Roman" w:eastAsia="Times New Roman" w:hAnsi="Times New Roman" w:cs="Times New Roman"/>
          <w:color w:val="000000"/>
          <w:spacing w:val="0"/>
          <w:w w:val="100"/>
          <w:position w:val="0"/>
        </w:rPr>
        <w:t>9.2%</w:t>
      </w:r>
      <w:r>
        <w:rPr>
          <w:color w:val="000000"/>
          <w:spacing w:val="0"/>
          <w:w w:val="100"/>
          <w:position w:val="0"/>
        </w:rPr>
        <w:t>。工信部发布的《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 发展规划》提出，到</w:t>
      </w:r>
      <w:r>
        <w:rPr>
          <w:rFonts w:ascii="Times New Roman" w:eastAsia="Times New Roman" w:hAnsi="Times New Roman" w:cs="Times New Roman"/>
          <w:color w:val="000000"/>
          <w:spacing w:val="0"/>
          <w:w w:val="100"/>
          <w:position w:val="0"/>
        </w:rPr>
        <w:t>2025</w:t>
      </w:r>
      <w:r>
        <w:rPr>
          <w:color w:val="000000"/>
          <w:spacing w:val="0"/>
          <w:w w:val="100"/>
          <w:position w:val="0"/>
        </w:rPr>
        <w:t>年，规模以上企业软件业务收入突破</w:t>
      </w:r>
      <w:r>
        <w:rPr>
          <w:rFonts w:ascii="Times New Roman" w:eastAsia="Times New Roman" w:hAnsi="Times New Roman" w:cs="Times New Roman"/>
          <w:color w:val="000000"/>
          <w:spacing w:val="0"/>
          <w:w w:val="100"/>
          <w:position w:val="0"/>
        </w:rPr>
        <w:t>14</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12%</w:t>
      </w:r>
      <w:r>
        <w:rPr>
          <w:color w:val="000000"/>
          <w:spacing w:val="0"/>
          <w:w w:val="100"/>
          <w:position w:val="0"/>
        </w:rPr>
        <w:t>以上；较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8.16</w:t>
      </w:r>
      <w:r>
        <w:rPr>
          <w:color w:val="000000"/>
          <w:spacing w:val="0"/>
          <w:w w:val="100"/>
          <w:position w:val="0"/>
        </w:rPr>
        <w:t>万亿元，增长 超</w:t>
      </w:r>
      <w:r>
        <w:rPr>
          <w:rFonts w:ascii="Times New Roman" w:eastAsia="Times New Roman" w:hAnsi="Times New Roman" w:cs="Times New Roman"/>
          <w:color w:val="000000"/>
          <w:spacing w:val="0"/>
          <w:w w:val="100"/>
          <w:position w:val="0"/>
        </w:rPr>
        <w:t>71%</w:t>
      </w:r>
      <w:r>
        <w:rPr>
          <w:color w:val="000000"/>
          <w:spacing w:val="0"/>
          <w:w w:val="100"/>
          <w:position w:val="0"/>
        </w:rPr>
        <w:t>。同时，工业</w:t>
      </w:r>
      <w:r>
        <w:rPr>
          <w:rFonts w:ascii="Times New Roman" w:eastAsia="Times New Roman" w:hAnsi="Times New Roman" w:cs="Times New Roman"/>
          <w:color w:val="000000"/>
          <w:spacing w:val="0"/>
          <w:w w:val="100"/>
          <w:position w:val="0"/>
        </w:rPr>
        <w:t>APP</w:t>
      </w:r>
      <w:r>
        <w:rPr>
          <w:color w:val="000000"/>
          <w:spacing w:val="0"/>
          <w:w w:val="100"/>
          <w:position w:val="0"/>
        </w:rPr>
        <w:t>要突破</w:t>
      </w:r>
      <w:r>
        <w:rPr>
          <w:rFonts w:ascii="Times New Roman" w:eastAsia="Times New Roman" w:hAnsi="Times New Roman" w:cs="Times New Roman"/>
          <w:color w:val="000000"/>
          <w:spacing w:val="0"/>
          <w:w w:val="100"/>
          <w:position w:val="0"/>
        </w:rPr>
        <w:t>100</w:t>
      </w:r>
      <w:r>
        <w:rPr>
          <w:color w:val="000000"/>
          <w:spacing w:val="0"/>
          <w:w w:val="100"/>
          <w:position w:val="0"/>
        </w:rPr>
        <w:t>万个，培育一批具有生态主导力和重要竞争力的骨干企业，高水平建成</w:t>
      </w:r>
      <w:r>
        <w:rPr>
          <w:rFonts w:ascii="Times New Roman" w:eastAsia="Times New Roman" w:hAnsi="Times New Roman" w:cs="Times New Roman"/>
          <w:color w:val="000000"/>
          <w:spacing w:val="0"/>
          <w:w w:val="100"/>
          <w:position w:val="0"/>
        </w:rPr>
        <w:t>20</w:t>
      </w:r>
      <w:r>
        <w:rPr>
          <w:color w:val="000000"/>
          <w:spacing w:val="0"/>
          <w:w w:val="100"/>
          <w:position w:val="0"/>
        </w:rPr>
        <w:t>家以上中国软 件名园。国务院印发的《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数字经济发展规划》，则从基础设施、数据要素、数字产业化、产业数字化等方面提出了 </w:t>
      </w:r>
      <w:r>
        <w:rPr>
          <w:rFonts w:ascii="Times New Roman" w:eastAsia="Times New Roman" w:hAnsi="Times New Roman" w:cs="Times New Roman"/>
          <w:color w:val="000000"/>
          <w:spacing w:val="0"/>
          <w:w w:val="100"/>
          <w:position w:val="0"/>
        </w:rPr>
        <w:t>11</w:t>
      </w:r>
      <w:r>
        <w:rPr>
          <w:color w:val="000000"/>
          <w:spacing w:val="0"/>
          <w:w w:val="100"/>
          <w:position w:val="0"/>
        </w:rPr>
        <w:t>项重点建设工程，并提出到</w:t>
      </w:r>
      <w:r>
        <w:rPr>
          <w:rFonts w:ascii="Times New Roman" w:eastAsia="Times New Roman" w:hAnsi="Times New Roman" w:cs="Times New Roman"/>
          <w:color w:val="000000"/>
          <w:spacing w:val="0"/>
          <w:w w:val="100"/>
          <w:position w:val="0"/>
        </w:rPr>
        <w:t>2025</w:t>
      </w:r>
      <w:r>
        <w:rPr>
          <w:color w:val="000000"/>
          <w:spacing w:val="0"/>
          <w:w w:val="100"/>
          <w:position w:val="0"/>
        </w:rPr>
        <w:t>年我国数字经济核心产业增加值占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比重达到</w:t>
      </w:r>
      <w:r>
        <w:rPr>
          <w:rFonts w:ascii="Times New Roman" w:eastAsia="Times New Roman" w:hAnsi="Times New Roman" w:cs="Times New Roman"/>
          <w:color w:val="000000"/>
          <w:spacing w:val="0"/>
          <w:w w:val="100"/>
          <w:position w:val="0"/>
        </w:rPr>
        <w:t>10%</w:t>
      </w:r>
      <w:r>
        <w:rPr>
          <w:color w:val="000000"/>
          <w:spacing w:val="0"/>
          <w:w w:val="100"/>
          <w:position w:val="0"/>
        </w:rPr>
        <w:t>，数据要素市场体系初步建立、数字 经济治理体系更加完善等目标。</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公司主要客户是政府部门及各级行政事业单位。党的十九大报告明确提出，要转变政府职能，深化简政放权，创新监管 方式，增强政府公信力和执行力，建设人民满意的服务型政府。在建设服务型政府过程中，创新实践</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思维，开启 了从</w:t>
      </w:r>
      <w:r>
        <w:rPr>
          <w:rFonts w:ascii="Times New Roman" w:eastAsia="Times New Roman" w:hAnsi="Times New Roman" w:cs="Times New Roman"/>
          <w:color w:val="000000"/>
          <w:spacing w:val="0"/>
          <w:w w:val="100"/>
          <w:position w:val="0"/>
        </w:rPr>
        <w:t>“</w:t>
      </w:r>
      <w:r>
        <w:rPr>
          <w:color w:val="000000"/>
          <w:spacing w:val="0"/>
          <w:w w:val="100"/>
          <w:position w:val="0"/>
        </w:rPr>
        <w:t>群众跑腿</w:t>
      </w:r>
      <w:r>
        <w:rPr>
          <w:rFonts w:ascii="Times New Roman" w:eastAsia="Times New Roman" w:hAnsi="Times New Roman" w:cs="Times New Roman"/>
          <w:color w:val="000000"/>
          <w:spacing w:val="0"/>
          <w:w w:val="100"/>
          <w:position w:val="0"/>
        </w:rPr>
        <w:t>”</w:t>
      </w:r>
      <w:r>
        <w:rPr>
          <w:color w:val="000000"/>
          <w:spacing w:val="0"/>
          <w:w w:val="100"/>
          <w:position w:val="0"/>
        </w:rPr>
        <w:t>到互联网</w:t>
      </w:r>
      <w:r>
        <w:rPr>
          <w:rFonts w:ascii="Times New Roman" w:eastAsia="Times New Roman" w:hAnsi="Times New Roman" w:cs="Times New Roman"/>
          <w:color w:val="000000"/>
          <w:spacing w:val="0"/>
          <w:w w:val="100"/>
          <w:position w:val="0"/>
        </w:rPr>
        <w:t>“</w:t>
      </w:r>
      <w:r>
        <w:rPr>
          <w:color w:val="000000"/>
          <w:spacing w:val="0"/>
          <w:w w:val="100"/>
          <w:position w:val="0"/>
        </w:rPr>
        <w:t>数据跑腿</w:t>
      </w:r>
      <w:r>
        <w:rPr>
          <w:rFonts w:ascii="Times New Roman" w:eastAsia="Times New Roman" w:hAnsi="Times New Roman" w:cs="Times New Roman"/>
          <w:color w:val="000000"/>
          <w:spacing w:val="0"/>
          <w:w w:val="100"/>
          <w:position w:val="0"/>
        </w:rPr>
        <w:t>”</w:t>
      </w:r>
      <w:r>
        <w:rPr>
          <w:color w:val="000000"/>
          <w:spacing w:val="0"/>
          <w:w w:val="100"/>
          <w:position w:val="0"/>
        </w:rPr>
        <w:t>的服务管理新模式。</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时期，我国统筹发展电子政务，深化</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rFonts w:ascii="Times New Roman" w:eastAsia="Times New Roman" w:hAnsi="Times New Roman" w:cs="Times New Roman"/>
          <w:color w:val="000000"/>
          <w:spacing w:val="0"/>
          <w:w w:val="100"/>
          <w:position w:val="0"/>
        </w:rPr>
        <w:t>”</w:t>
      </w:r>
      <w:r>
        <w:rPr>
          <w:color w:val="000000"/>
          <w:spacing w:val="0"/>
          <w:w w:val="100"/>
          <w:position w:val="0"/>
        </w:rPr>
        <w:t>改革，推进 了全国一体化政务服务平台建设，加快了数字政府建设，电子政务统筹协调发展取得了显著成效，政务信息系统建设、应用 取得了长足进展。</w:t>
      </w:r>
      <w:r>
        <w:rPr>
          <w:rFonts w:ascii="Times New Roman" w:eastAsia="Times New Roman" w:hAnsi="Times New Roman" w:cs="Times New Roman"/>
          <w:color w:val="000000"/>
          <w:spacing w:val="0"/>
          <w:w w:val="100"/>
          <w:position w:val="0"/>
        </w:rPr>
        <w:t>“</w:t>
      </w:r>
      <w:r>
        <w:rPr>
          <w:color w:val="000000"/>
          <w:spacing w:val="0"/>
          <w:w w:val="100"/>
          <w:position w:val="0"/>
        </w:rPr>
        <w:t>最多跑一次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不见面审批</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掌上办</w:t>
      </w:r>
      <w:r>
        <w:rPr>
          <w:rFonts w:ascii="Times New Roman" w:eastAsia="Times New Roman" w:hAnsi="Times New Roman" w:cs="Times New Roman"/>
          <w:color w:val="000000"/>
          <w:spacing w:val="0"/>
          <w:w w:val="100"/>
          <w:position w:val="0"/>
        </w:rPr>
        <w:t>”</w:t>
      </w:r>
      <w:r>
        <w:rPr>
          <w:color w:val="000000"/>
          <w:spacing w:val="0"/>
          <w:w w:val="100"/>
          <w:position w:val="0"/>
        </w:rPr>
        <w:t>等服务新模式不断涌现，跨省异地就医直接结算等便民服务应用 取得实效，</w:t>
      </w:r>
      <w:r>
        <w:rPr>
          <w:rFonts w:ascii="Times New Roman" w:eastAsia="Times New Roman" w:hAnsi="Times New Roman" w:cs="Times New Roman"/>
          <w:color w:val="000000"/>
          <w:spacing w:val="0"/>
          <w:w w:val="100"/>
          <w:position w:val="0"/>
        </w:rPr>
        <w:t>“</w:t>
      </w:r>
      <w:r>
        <w:rPr>
          <w:color w:val="000000"/>
          <w:spacing w:val="0"/>
          <w:w w:val="100"/>
          <w:position w:val="0"/>
        </w:rPr>
        <w:t>健康码</w:t>
      </w:r>
      <w:r>
        <w:rPr>
          <w:rFonts w:ascii="Times New Roman" w:eastAsia="Times New Roman" w:hAnsi="Times New Roman" w:cs="Times New Roman"/>
          <w:color w:val="000000"/>
          <w:spacing w:val="0"/>
          <w:w w:val="100"/>
          <w:position w:val="0"/>
        </w:rPr>
        <w:t>”</w:t>
      </w:r>
      <w:r>
        <w:rPr>
          <w:color w:val="000000"/>
          <w:spacing w:val="0"/>
          <w:w w:val="100"/>
          <w:position w:val="0"/>
        </w:rPr>
        <w:t>等应用在数字抗疫中发挥重要作用，这些都明显提高了企业和群众办事的便利度，显著提升了社会公众 的获得感。</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时期，政务信息化建设将总体迈入以数据赋能、协同治理、智慧决策、优质服务为主要特征的融慧治理 新阶段。根据国家发改委发布的《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推进国家政务信息化规划》，到</w:t>
      </w:r>
      <w:r>
        <w:rPr>
          <w:rFonts w:ascii="Times New Roman" w:eastAsia="Times New Roman" w:hAnsi="Times New Roman" w:cs="Times New Roman"/>
          <w:color w:val="000000"/>
          <w:spacing w:val="0"/>
          <w:w w:val="100"/>
          <w:position w:val="0"/>
        </w:rPr>
        <w:t>2025</w:t>
      </w:r>
      <w:r>
        <w:rPr>
          <w:color w:val="000000"/>
          <w:spacing w:val="0"/>
          <w:w w:val="100"/>
          <w:position w:val="0"/>
        </w:rPr>
        <w:t>年，逐步形成平台化协同、在线化服务、数 据化决策、智能化监管的新型数字政府治理模式，经济调节、市场监管、社会治理、公共服务和生态环境等领域的数字治理 能力显著提升，利企便民服务水平不断优化，网络安全保障能力进一步增强，有力支撑国家治理体系和治理能力现代化。《规 划》中提出了三大任务</w:t>
      </w:r>
      <w:r>
        <w:rPr>
          <w:rFonts w:ascii="Times New Roman" w:eastAsia="Times New Roman" w:hAnsi="Times New Roman" w:cs="Times New Roman"/>
          <w:color w:val="000000"/>
          <w:spacing w:val="0"/>
          <w:w w:val="100"/>
          <w:position w:val="0"/>
        </w:rPr>
        <w:t>11</w:t>
      </w:r>
      <w:r>
        <w:rPr>
          <w:color w:val="000000"/>
          <w:spacing w:val="0"/>
          <w:w w:val="100"/>
          <w:position w:val="0"/>
        </w:rPr>
        <w:t>项具体工程。一是深度开发利用政务大数据。以数据共享开放与深度开发利用作为提升政务信息化 水平的着力点和突破口。深化基础库应用，升级完善国家人口、法人、自然资源和地理空间等基础信息资源库。新建经济治 理基础数据库，汇集各部门主要经济数据，提升宏观经济治理的决策支持水平。二是发展壮大融合创新大平台。同步推进网 络融合、技术融合、数据融合与服务融合，构建共建共用的大平台体系。三是统筹建设协同治理大系统。围绕政府核心职能， 着力建设好执政能力提升信息化工程、依法治国强基工程、经济治理协同工程、市场监管提质工程、公共安全保障工程、生 态环境优化工程等六大工程。</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随着国家相关政策、规划的出台，各部门按照国家要求，积极探索创新，不断推进政务服务。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在财政电子票据及非税收入领域，财政部门根据国务院推进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工作总体部署，按照财政部金财工程建 设统一规划，充分运用现代信息网络技术，创新财政票据监管模式，积极推进财政电子票据管理改革，逐步建立科学规范的 新型财政票据监管体系。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月，财政部印发《关于开展电子非税收入一般缴款书试点的通知》（财库〔</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31</w:t>
      </w:r>
      <w:r>
        <w:rPr>
          <w:color w:val="000000"/>
          <w:spacing w:val="0"/>
          <w:w w:val="100"/>
          <w:position w:val="0"/>
        </w:rPr>
        <w:t>号）， 在中央单位开展电子《非税收入一般缴款书》试点。</w:t>
      </w:r>
      <w:r>
        <w:rPr>
          <w:rFonts w:ascii="Times New Roman" w:eastAsia="Times New Roman" w:hAnsi="Times New Roman" w:cs="Times New Roman"/>
          <w:color w:val="000000"/>
          <w:spacing w:val="0"/>
          <w:w w:val="100"/>
          <w:position w:val="0"/>
        </w:rPr>
        <w:t>9</w:t>
      </w:r>
      <w:r>
        <w:rPr>
          <w:color w:val="000000"/>
          <w:spacing w:val="0"/>
          <w:w w:val="100"/>
          <w:position w:val="0"/>
        </w:rPr>
        <w:t>月，首张电子《非税收入一般缴款书》成功开具。</w:t>
      </w:r>
      <w:r>
        <w:rPr>
          <w:rFonts w:ascii="Times New Roman" w:eastAsia="Times New Roman" w:hAnsi="Times New Roman" w:cs="Times New Roman"/>
          <w:color w:val="000000"/>
          <w:spacing w:val="0"/>
          <w:w w:val="100"/>
          <w:position w:val="0"/>
        </w:rPr>
        <w:t>12</w:t>
      </w:r>
      <w:r>
        <w:rPr>
          <w:color w:val="000000"/>
          <w:spacing w:val="0"/>
          <w:w w:val="100"/>
          <w:position w:val="0"/>
        </w:rPr>
        <w:t>月，财政部发布 《关于稳步推广电子非税收入一般缴款书的通知》（财库〔</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46</w:t>
      </w:r>
      <w:r>
        <w:rPr>
          <w:color w:val="000000"/>
          <w:spacing w:val="0"/>
          <w:w w:val="100"/>
          <w:position w:val="0"/>
        </w:rPr>
        <w:t>号），决定在全国范围内推广使用电子《非税收入一般 缴款书》，以切实优化营商环境，惠企利民，提升财政治理，推动防范乱收费情况。文件要求</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月底前，完成中央本 级实施，完成河北、辽宁、江苏、浙江、湖南、大连等</w:t>
      </w:r>
      <w:r>
        <w:rPr>
          <w:rFonts w:ascii="Times New Roman" w:eastAsia="Times New Roman" w:hAnsi="Times New Roman" w:cs="Times New Roman"/>
          <w:color w:val="000000"/>
          <w:spacing w:val="0"/>
          <w:w w:val="100"/>
          <w:position w:val="0"/>
        </w:rPr>
        <w:t>6</w:t>
      </w:r>
      <w:r>
        <w:rPr>
          <w:color w:val="000000"/>
          <w:spacing w:val="0"/>
          <w:w w:val="100"/>
          <w:position w:val="0"/>
        </w:rPr>
        <w:t>个省市和新疆生产建设兵团地方试点实施；</w:t>
      </w:r>
      <w:r>
        <w:rPr>
          <w:rFonts w:ascii="Times New Roman" w:eastAsia="Times New Roman" w:hAnsi="Times New Roman" w:cs="Times New Roman"/>
          <w:color w:val="000000"/>
          <w:spacing w:val="0"/>
          <w:w w:val="100"/>
          <w:position w:val="0"/>
        </w:rPr>
        <w:t>2022</w:t>
      </w:r>
      <w:r>
        <w:rPr>
          <w:color w:val="000000"/>
          <w:spacing w:val="0"/>
          <w:w w:val="100"/>
          <w:position w:val="0"/>
        </w:rPr>
        <w:t>年底前，实现电子 缴款书的全覆盖，构建全程无纸化、渠道多元化和入账电子化的非税收入收缴管理体系。</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在政府智慧财政财务领域，随着新一代移动通信、云计算、大数据等信息技术新应用不断涌现，全球经济社会正加速进 入信息时代，信息技术的应用已渗透到现代国家治理的方方面面。深化财税体制改革，创新预算管理制度，科学履行宏观调 控职能，夯实现代国家治理的财政管理基础等，都迫切需要强大信息化系统作为支撑。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月，国务院印发《关于进一 </w:t>
      </w:r>
      <w:r>
        <w:rPr>
          <w:color w:val="000000"/>
          <w:spacing w:val="0"/>
          <w:w w:val="100"/>
          <w:position w:val="0"/>
        </w:rPr>
        <w:t>步深化预算管理制度改革的意见》（国发〔</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号），部署进一步深化预算管理制度改革的具体措施。《意见》指出各 地区、各部门要充分认识到进一步深化预算管理制度改革的重要意义，把思想认识和行动统一到党中央、国务院的决策部署 上来，增强</w:t>
      </w:r>
      <w:r>
        <w:rPr>
          <w:rFonts w:ascii="Times New Roman" w:eastAsia="Times New Roman" w:hAnsi="Times New Roman" w:cs="Times New Roman"/>
          <w:color w:val="000000"/>
          <w:spacing w:val="0"/>
          <w:w w:val="100"/>
          <w:position w:val="0"/>
        </w:rPr>
        <w:t>“</w:t>
      </w:r>
      <w:r>
        <w:rPr>
          <w:color w:val="000000"/>
          <w:spacing w:val="0"/>
          <w:w w:val="100"/>
          <w:position w:val="0"/>
        </w:rPr>
        <w:t>四个意识</w:t>
      </w:r>
      <w:r>
        <w:rPr>
          <w:rFonts w:ascii="Times New Roman" w:eastAsia="Times New Roman" w:hAnsi="Times New Roman" w:cs="Times New Roman"/>
          <w:color w:val="000000"/>
          <w:spacing w:val="0"/>
          <w:w w:val="100"/>
          <w:position w:val="0"/>
        </w:rPr>
        <w:t>”</w:t>
      </w:r>
      <w:r>
        <w:rPr>
          <w:color w:val="000000"/>
          <w:spacing w:val="0"/>
          <w:w w:val="100"/>
          <w:position w:val="0"/>
        </w:rPr>
        <w:t>、坚定</w:t>
      </w:r>
      <w:r>
        <w:rPr>
          <w:rFonts w:ascii="Times New Roman" w:eastAsia="Times New Roman" w:hAnsi="Times New Roman" w:cs="Times New Roman"/>
          <w:color w:val="000000"/>
          <w:spacing w:val="0"/>
          <w:w w:val="100"/>
          <w:position w:val="0"/>
        </w:rPr>
        <w:t>“</w:t>
      </w:r>
      <w:r>
        <w:rPr>
          <w:color w:val="000000"/>
          <w:spacing w:val="0"/>
          <w:w w:val="100"/>
          <w:position w:val="0"/>
        </w:rPr>
        <w:t>四个自信</w:t>
      </w:r>
      <w:r>
        <w:rPr>
          <w:rFonts w:ascii="Times New Roman" w:eastAsia="Times New Roman" w:hAnsi="Times New Roman" w:cs="Times New Roman"/>
          <w:color w:val="000000"/>
          <w:spacing w:val="0"/>
          <w:w w:val="100"/>
          <w:position w:val="0"/>
        </w:rPr>
        <w:t>”</w:t>
      </w:r>
      <w:r>
        <w:rPr>
          <w:color w:val="000000"/>
          <w:spacing w:val="0"/>
          <w:w w:val="100"/>
          <w:position w:val="0"/>
        </w:rPr>
        <w:t>、做到</w:t>
      </w:r>
      <w:r>
        <w:rPr>
          <w:rFonts w:ascii="Times New Roman" w:eastAsia="Times New Roman" w:hAnsi="Times New Roman" w:cs="Times New Roman"/>
          <w:color w:val="000000"/>
          <w:spacing w:val="0"/>
          <w:w w:val="100"/>
          <w:position w:val="0"/>
        </w:rPr>
        <w:t>“</w:t>
      </w:r>
      <w:r>
        <w:rPr>
          <w:color w:val="000000"/>
          <w:spacing w:val="0"/>
          <w:w w:val="100"/>
          <w:position w:val="0"/>
        </w:rPr>
        <w:t>两个维护</w:t>
      </w:r>
      <w:r>
        <w:rPr>
          <w:rFonts w:ascii="Times New Roman" w:eastAsia="Times New Roman" w:hAnsi="Times New Roman" w:cs="Times New Roman"/>
          <w:color w:val="000000"/>
          <w:spacing w:val="0"/>
          <w:w w:val="100"/>
          <w:position w:val="0"/>
        </w:rPr>
        <w:t>”</w:t>
      </w:r>
      <w:r>
        <w:rPr>
          <w:color w:val="000000"/>
          <w:spacing w:val="0"/>
          <w:w w:val="100"/>
          <w:position w:val="0"/>
        </w:rPr>
        <w:t>，主动谋划，精心组织，扎实推进改革。各地区要按照本意见要 求，结合本地区实际，细化各项政策措施，切实加强制度建设，夯实改革基础，推进人才队伍建设，确保各项改革任务及时 落地见效，推动预算管理水平再上新台阶。</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在公共采购领域，随着互联网、大数据、云计算等信息技术快速发展以及应用日趋成熟，公共采购全流程电子化已成为 必然趋势。各级政府正通过打造集网上交易、网上监管和网上服务于一体的政府采购电子化交易平台，来深化政府采购制度 改革，提高政府采购效率和透明度，实现有效节约财政资金、预防腐败等目标。为落实《深化政府采购制度改革方案》，加 强政府采购需求管理的有关要求，财政部于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月出台了《政府采购需求管理办法》（财库〔</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月，财政部又公布了《政府采购框架协议采购方式管理暂行办法》（财政部令第</w:t>
      </w:r>
      <w:r>
        <w:rPr>
          <w:rFonts w:ascii="Times New Roman" w:eastAsia="Times New Roman" w:hAnsi="Times New Roman" w:cs="Times New Roman"/>
          <w:color w:val="000000"/>
          <w:spacing w:val="0"/>
          <w:w w:val="100"/>
          <w:position w:val="0"/>
        </w:rPr>
        <w:t>110</w:t>
      </w:r>
      <w:r>
        <w:rPr>
          <w:color w:val="000000"/>
          <w:spacing w:val="0"/>
          <w:w w:val="100"/>
          <w:position w:val="0"/>
        </w:rPr>
        <w:t>号），以规范多频次、小额度采购活动， 提高政府采购项目绩效。《办法》借鉴国际经验，明确了框架协议采购方式的管理制度，将框架协议采购分为封闭式框架协 议采购和开放式框架协议采购两种形式，并明确以封闭式框架协议采购为主。该文件的颁布将从根本上系统性解决相关问题， 构筑长效机制。除了政府采购，各高校、国企、军队等领域的采购业务也将全面实现电子化。</w:t>
      </w:r>
    </w:p>
    <w:p>
      <w:pPr>
        <w:pStyle w:val="Style22"/>
        <w:keepNext w:val="0"/>
        <w:keepLines w:val="0"/>
        <w:widowControl w:val="0"/>
        <w:shd w:val="clear" w:color="auto" w:fill="auto"/>
        <w:bidi w:val="0"/>
        <w:spacing w:before="0" w:after="360" w:line="313" w:lineRule="exact"/>
        <w:ind w:left="0" w:right="0"/>
        <w:jc w:val="both"/>
      </w:pPr>
      <w:r>
        <w:rPr>
          <w:color w:val="000000"/>
          <w:spacing w:val="0"/>
          <w:w w:val="100"/>
          <w:position w:val="0"/>
        </w:rPr>
        <w:t>在智慧城市和数字乡村领域，随着数字经济已经成为我国社会经济发展的重要力量，智慧城市建设也在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的助 力下，落地成型并快速发展。在一系列政策红利及信息技术支持下，我国智慧城市建设已呈现出良好的发展态势。数字乡村 方面，伴随着网络化、信息化和数字化在农业农村经济社会发展中的应用，以及农民现代信息技能的提高，数字乡村已成为 农业农村现代化发展和转型的内生进程，其既是乡村振兴的战略方向，也是建设数字中国的重要内容。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月，第十三 届全国人大常委会第二十八次会议审议通过了《中华人民共和国乡村振兴促进法》，并于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日起施行。这部法律在 三农工作重心历史性转向全面推进乡村振兴的关键时刻出台，具有重要的里程碑意义，为新阶段全面推进乡村振兴、加快农 业农村现代化提供了坚实法治保障。</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月，中央网信办、农业农村部、国家发展改革委、工业和信息化部等十部门印 发《数字乡村发展行动计划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年）》，提出了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时期数字乡村发展目标、重点任务和保障措施，对数字乡 村工作进行全面部署，是各地区、各部门推进数字乡村工作的重要指引。</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月，农业农村部印发《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全国农业 农村信息化发展规划》（农市发〔</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号），提出到</w:t>
      </w:r>
      <w:r>
        <w:rPr>
          <w:rFonts w:ascii="Times New Roman" w:eastAsia="Times New Roman" w:hAnsi="Times New Roman" w:cs="Times New Roman"/>
          <w:color w:val="000000"/>
          <w:spacing w:val="0"/>
          <w:w w:val="100"/>
          <w:position w:val="0"/>
        </w:rPr>
        <w:t>2025</w:t>
      </w:r>
      <w:r>
        <w:rPr>
          <w:color w:val="000000"/>
          <w:spacing w:val="0"/>
          <w:w w:val="100"/>
          <w:position w:val="0"/>
        </w:rPr>
        <w:t>年农业农村信息化发展水平明显提升，现代信息技术与农业农 村各领域各环节深度融合，支撑农业农村现代化的能力显著增强。</w:t>
      </w:r>
    </w:p>
    <w:p>
      <w:pPr>
        <w:pStyle w:val="Style27"/>
        <w:keepNext/>
        <w:keepLines/>
        <w:widowControl w:val="0"/>
        <w:shd w:val="clear" w:color="auto" w:fill="auto"/>
        <w:bidi w:val="0"/>
        <w:spacing w:before="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、报告期内公司从事的主要业务</w:t>
      </w:r>
      <w:bookmarkEnd w:id="74"/>
      <w:bookmarkEnd w:id="75"/>
      <w:bookmarkEnd w:id="77"/>
    </w:p>
    <w:p>
      <w:pPr>
        <w:pStyle w:val="Style22"/>
        <w:keepNext w:val="0"/>
        <w:keepLines w:val="0"/>
        <w:widowControl w:val="0"/>
        <w:shd w:val="clear" w:color="auto" w:fill="auto"/>
        <w:bidi w:val="0"/>
        <w:spacing w:before="0" w:after="0"/>
        <w:ind w:left="0" w:right="0"/>
        <w:jc w:val="both"/>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、公司主营业务及主要产品</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公司主营业务为软件产品的开发、销售与服务，聚焦于财政电子票据及非税收入、政府智慧财政财务、公共采购、智慧 城市</w:t>
      </w:r>
      <w:r>
        <w:rPr>
          <w:rFonts w:ascii="Times New Roman" w:eastAsia="Times New Roman" w:hAnsi="Times New Roman" w:cs="Times New Roman"/>
          <w:color w:val="000000"/>
          <w:spacing w:val="0"/>
          <w:w w:val="100"/>
          <w:position w:val="0"/>
        </w:rPr>
        <w:t>+</w:t>
      </w:r>
      <w:r>
        <w:rPr>
          <w:color w:val="000000"/>
          <w:spacing w:val="0"/>
          <w:w w:val="100"/>
          <w:position w:val="0"/>
        </w:rPr>
        <w:t>数字乡村领域，助力政府创新城市治理新模式，助推产业数字化升级。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在财政电子票据及非税收入领域，主要面向财政票据电子化管理、财政电子票据管理、政府非税收入管理信息化及公共 缴费服务领域，为财政票据用票单位、各级财政部门提供财政票据电子化管理及政府非税收入信息化管理相关的软件产品和 服务，在此基础上，结合互联网</w:t>
      </w:r>
      <w:r>
        <w:rPr>
          <w:rFonts w:ascii="Times New Roman" w:eastAsia="Times New Roman" w:hAnsi="Times New Roman" w:cs="Times New Roman"/>
          <w:color w:val="000000"/>
          <w:spacing w:val="0"/>
          <w:w w:val="100"/>
          <w:position w:val="0"/>
        </w:rPr>
        <w:t>+</w:t>
      </w:r>
      <w:r>
        <w:rPr>
          <w:color w:val="000000"/>
          <w:spacing w:val="0"/>
          <w:w w:val="100"/>
          <w:position w:val="0"/>
        </w:rPr>
        <w:t>政务的改革需要，通过公司自主研发的统一公共支付平台，实现与执收单位业务系统、非 税票据管理系统和银行中间业务系统的互联互通，为社会公众提供</w:t>
      </w:r>
      <w:r>
        <w:rPr>
          <w:rFonts w:ascii="Times New Roman" w:eastAsia="Times New Roman" w:hAnsi="Times New Roman" w:cs="Times New Roman"/>
          <w:color w:val="000000"/>
          <w:spacing w:val="0"/>
          <w:w w:val="100"/>
          <w:position w:val="0"/>
        </w:rPr>
        <w:t>“</w:t>
      </w:r>
      <w:r>
        <w:rPr>
          <w:color w:val="000000"/>
          <w:spacing w:val="0"/>
          <w:w w:val="100"/>
          <w:position w:val="0"/>
        </w:rPr>
        <w:t>开单、缴费、开票</w:t>
      </w:r>
      <w:r>
        <w:rPr>
          <w:rFonts w:ascii="Times New Roman" w:eastAsia="Times New Roman" w:hAnsi="Times New Roman" w:cs="Times New Roman"/>
          <w:color w:val="000000"/>
          <w:spacing w:val="0"/>
          <w:w w:val="100"/>
          <w:position w:val="0"/>
        </w:rPr>
        <w:t>”</w:t>
      </w:r>
      <w:r>
        <w:rPr>
          <w:color w:val="000000"/>
          <w:spacing w:val="0"/>
          <w:w w:val="100"/>
          <w:position w:val="0"/>
        </w:rPr>
        <w:t>的一站式网上业务办理服务。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在政府智慧财政财务领域，主要是为政府客户提供财政预算管理业务一体化、财政大数据、财政及行政事业单位绩效信 息化和咨询业务、行政事业单位预算管理一体化、行政事业单位财务内控及报销、财政及行政事业单位资产等软件产品和服 务，全面支撑财政部预算管理一体化改革。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在公共采购领域，以不断提升单位采购性价比为使命，为政府采购、高校采购和国企采购等相关单位提供采购管理、执 行交易和信息服务于一体的电子化平台，为采购监管部门提供数字化的预警监管手段；为政府部门和企事业单位等采购人提 供智能化采购履职保障；为供应商提供多样化的营销工具和数据分析等服务。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在智慧城市和数字乡村领域，公司将缴费服务拓展到除政务服务外如公共交通、健康体育、文旅景点、校园教育、社区 管理等公共服务领域，为各级政府实现数字城市赋能。此外公司结合行业趋势及前期各业务发展情况，开始布局数字乡村领 域。数字乡村综合治理平台、乡村民宿民居产业互联网平台、认养农业服务平台等产品已在部分地区进行试点运行。</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主要业务具体如下：</w:t>
      </w:r>
    </w:p>
    <w:p>
      <w:pPr>
        <w:pStyle w:val="Style22"/>
        <w:keepNext w:val="0"/>
        <w:keepLines w:val="0"/>
        <w:widowControl w:val="0"/>
        <w:shd w:val="clear" w:color="auto" w:fill="auto"/>
        <w:tabs>
          <w:tab w:pos="773" w:val="left"/>
        </w:tabs>
        <w:bidi w:val="0"/>
        <w:spacing w:before="0" w:after="0" w:line="314" w:lineRule="exact"/>
        <w:ind w:left="0" w:right="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w:t>
        <w:tab/>
        <w:t>软件开发与销售业务</w:t>
      </w:r>
    </w:p>
    <w:p>
      <w:pPr>
        <w:pStyle w:val="Style22"/>
        <w:keepNext w:val="0"/>
        <w:keepLines w:val="0"/>
        <w:widowControl w:val="0"/>
        <w:numPr>
          <w:ilvl w:val="0"/>
          <w:numId w:val="1"/>
        </w:numPr>
        <w:shd w:val="clear" w:color="auto" w:fill="auto"/>
        <w:tabs>
          <w:tab w:pos="701" w:val="left"/>
        </w:tabs>
        <w:bidi w:val="0"/>
        <w:spacing w:before="0" w:after="0" w:line="314" w:lineRule="exact"/>
        <w:ind w:left="0" w:right="0"/>
        <w:jc w:val="left"/>
      </w:pPr>
      <w:bookmarkStart w:id="80" w:name="bookmark80"/>
      <w:bookmarkEnd w:id="80"/>
      <w:r>
        <w:rPr>
          <w:color w:val="000000"/>
          <w:spacing w:val="0"/>
          <w:w w:val="100"/>
          <w:position w:val="0"/>
        </w:rPr>
        <w:t>标准化软件业务</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公司在多年的发展历程中，深耕于与政府非税收入管理相关的财政管理信息化领域，现已形成包括财政票据电子化管理 系统、财政电子票据管理系统、非税收入收缴管理系统及非税收入政策管理系统在内的全过程管理产品及与财政管理相关的 其他软件产品。此外，近年来，公司加强政府采购业务的投入，在政府采购领域，公司已经形成政府采购基础资源库、政府 采购诚信平台、政府采购监管平台、政府采购电子招投标平台、政府采购电子卖场平台、供应商服务平台等系列软件产品， 产品线完全覆盖了整个政府采购业务范围。除政府采购外，在高校采购、企业采购等领域也有较全面的软件产品。</w:t>
      </w:r>
    </w:p>
    <w:p>
      <w:pPr>
        <w:pStyle w:val="Style22"/>
        <w:keepNext w:val="0"/>
        <w:keepLines w:val="0"/>
        <w:widowControl w:val="0"/>
        <w:numPr>
          <w:ilvl w:val="0"/>
          <w:numId w:val="1"/>
        </w:numPr>
        <w:shd w:val="clear" w:color="auto" w:fill="auto"/>
        <w:tabs>
          <w:tab w:pos="701" w:val="left"/>
        </w:tabs>
        <w:bidi w:val="0"/>
        <w:spacing w:before="0" w:after="0" w:line="314" w:lineRule="exact"/>
        <w:ind w:left="0" w:right="0"/>
        <w:jc w:val="both"/>
      </w:pPr>
      <w:bookmarkStart w:id="81" w:name="bookmark81"/>
      <w:bookmarkEnd w:id="81"/>
      <w:r>
        <w:rPr>
          <w:color w:val="000000"/>
          <w:spacing w:val="0"/>
          <w:w w:val="100"/>
          <w:position w:val="0"/>
        </w:rPr>
        <w:t>定制软件业务</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定制软件开发是根据不同用户的业务需求，以公司自有的标准化软件产品为主要构件，有针对性地为客户开发各种定制 软件，使系统更符合客户实际的业务需求。公司根据与客户签订的技术开发合同，组成专门的项目小组，对客户的业务流程、 运用环境特点等进行充分实地调查，并根据用户的个性化需求进行专门的软件设计与开发。</w:t>
      </w:r>
    </w:p>
    <w:p>
      <w:pPr>
        <w:pStyle w:val="Style22"/>
        <w:keepNext w:val="0"/>
        <w:keepLines w:val="0"/>
        <w:widowControl w:val="0"/>
        <w:shd w:val="clear" w:color="auto" w:fill="auto"/>
        <w:tabs>
          <w:tab w:pos="773" w:val="left"/>
        </w:tabs>
        <w:bidi w:val="0"/>
        <w:spacing w:before="0" w:after="0" w:line="314"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2</w:t>
      </w:r>
      <w:r>
        <w:rPr>
          <w:color w:val="000000"/>
          <w:spacing w:val="0"/>
          <w:w w:val="100"/>
          <w:position w:val="0"/>
        </w:rPr>
        <w:t>）</w:t>
        <w:tab/>
        <w:t>技术服务</w:t>
      </w:r>
    </w:p>
    <w:p>
      <w:pPr>
        <w:pStyle w:val="Style22"/>
        <w:keepNext w:val="0"/>
        <w:keepLines w:val="0"/>
        <w:widowControl w:val="0"/>
        <w:numPr>
          <w:ilvl w:val="0"/>
          <w:numId w:val="3"/>
        </w:numPr>
        <w:shd w:val="clear" w:color="auto" w:fill="auto"/>
        <w:tabs>
          <w:tab w:pos="701" w:val="left"/>
        </w:tabs>
        <w:bidi w:val="0"/>
        <w:spacing w:before="0" w:after="0" w:line="314" w:lineRule="exact"/>
        <w:ind w:left="0" w:right="0"/>
        <w:jc w:val="both"/>
      </w:pPr>
      <w:bookmarkStart w:id="83" w:name="bookmark83"/>
      <w:bookmarkEnd w:id="83"/>
      <w:r>
        <w:rPr>
          <w:color w:val="000000"/>
          <w:spacing w:val="0"/>
          <w:w w:val="100"/>
          <w:position w:val="0"/>
        </w:rPr>
        <w:t>运维服务</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主要是为客户提供标准化软件产品及定制软件产品的后续维护和技术支持，包括软件已有功能的质量维护、功能障碍的 消除、参数及配置修改及产品功能扩展、升级等服务。</w:t>
      </w:r>
    </w:p>
    <w:p>
      <w:pPr>
        <w:pStyle w:val="Style22"/>
        <w:keepNext w:val="0"/>
        <w:keepLines w:val="0"/>
        <w:widowControl w:val="0"/>
        <w:numPr>
          <w:ilvl w:val="0"/>
          <w:numId w:val="3"/>
        </w:numPr>
        <w:shd w:val="clear" w:color="auto" w:fill="auto"/>
        <w:tabs>
          <w:tab w:pos="701" w:val="left"/>
        </w:tabs>
        <w:bidi w:val="0"/>
        <w:spacing w:before="0" w:after="0" w:line="314" w:lineRule="exact"/>
        <w:ind w:left="0" w:right="0"/>
        <w:jc w:val="both"/>
      </w:pPr>
      <w:bookmarkStart w:id="84" w:name="bookmark84"/>
      <w:bookmarkEnd w:id="84"/>
      <w:r>
        <w:rPr>
          <w:rFonts w:ascii="Times New Roman" w:eastAsia="Times New Roman" w:hAnsi="Times New Roman" w:cs="Times New Roman"/>
          <w:color w:val="000000"/>
          <w:spacing w:val="0"/>
          <w:w w:val="100"/>
          <w:position w:val="0"/>
        </w:rPr>
        <w:t>SaaS</w:t>
      </w:r>
      <w:r>
        <w:rPr>
          <w:color w:val="000000"/>
          <w:spacing w:val="0"/>
          <w:w w:val="100"/>
          <w:position w:val="0"/>
        </w:rPr>
        <w:t>服务</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公司积极响应国务院发展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精神，结合财政部推广非税电子化和电子票据的行业政策，拓展出新一代 互联网缴费产品</w:t>
      </w:r>
      <w:r>
        <w:rPr>
          <w:rFonts w:ascii="Times New Roman" w:eastAsia="Times New Roman" w:hAnsi="Times New Roman" w:cs="Times New Roman"/>
          <w:color w:val="000000"/>
          <w:spacing w:val="0"/>
          <w:w w:val="100"/>
          <w:position w:val="0"/>
        </w:rPr>
        <w:t>“</w:t>
      </w:r>
      <w:r>
        <w:rPr>
          <w:color w:val="000000"/>
          <w:spacing w:val="0"/>
          <w:w w:val="100"/>
          <w:position w:val="0"/>
        </w:rPr>
        <w:t>统一公共支付平台</w:t>
      </w:r>
      <w:r>
        <w:rPr>
          <w:rFonts w:ascii="Times New Roman" w:eastAsia="Times New Roman" w:hAnsi="Times New Roman" w:cs="Times New Roman"/>
          <w:color w:val="000000"/>
          <w:spacing w:val="0"/>
          <w:w w:val="100"/>
          <w:position w:val="0"/>
        </w:rPr>
        <w:t>”</w:t>
      </w:r>
      <w:r>
        <w:rPr>
          <w:color w:val="000000"/>
          <w:spacing w:val="0"/>
          <w:w w:val="100"/>
          <w:position w:val="0"/>
        </w:rPr>
        <w:t>，该系统采用互联网聚合支付理念，充分运用现代互联网信息技术手段，全面支撑政府 及财政公共缴费服务。随着客户业务发展需要及</w:t>
      </w:r>
      <w:r>
        <w:rPr>
          <w:rFonts w:ascii="Times New Roman" w:eastAsia="Times New Roman" w:hAnsi="Times New Roman" w:cs="Times New Roman"/>
          <w:color w:val="000000"/>
          <w:spacing w:val="0"/>
          <w:w w:val="100"/>
          <w:position w:val="0"/>
        </w:rPr>
        <w:t>SaaS</w:t>
      </w:r>
      <w:r>
        <w:rPr>
          <w:color w:val="000000"/>
          <w:spacing w:val="0"/>
          <w:w w:val="100"/>
          <w:position w:val="0"/>
        </w:rPr>
        <w:t>技术的进一步运用，公司积极创新，将部分产品</w:t>
      </w:r>
      <w:r>
        <w:rPr>
          <w:rFonts w:ascii="Times New Roman" w:eastAsia="Times New Roman" w:hAnsi="Times New Roman" w:cs="Times New Roman"/>
          <w:color w:val="000000"/>
          <w:spacing w:val="0"/>
          <w:w w:val="100"/>
          <w:position w:val="0"/>
        </w:rPr>
        <w:t>SaaS</w:t>
      </w:r>
      <w:r>
        <w:rPr>
          <w:color w:val="000000"/>
          <w:spacing w:val="0"/>
          <w:w w:val="100"/>
          <w:position w:val="0"/>
        </w:rPr>
        <w:t>化，既有利于满足 客户需求降低成本，也有利于公司缩减产品实施周期并取得持续性收入。目前，公司</w:t>
      </w:r>
      <w:r>
        <w:rPr>
          <w:rFonts w:ascii="Times New Roman" w:eastAsia="Times New Roman" w:hAnsi="Times New Roman" w:cs="Times New Roman"/>
          <w:color w:val="000000"/>
          <w:spacing w:val="0"/>
          <w:w w:val="100"/>
          <w:position w:val="0"/>
        </w:rPr>
        <w:t>SaaS</w:t>
      </w:r>
      <w:r>
        <w:rPr>
          <w:color w:val="000000"/>
          <w:spacing w:val="0"/>
          <w:w w:val="100"/>
          <w:position w:val="0"/>
        </w:rPr>
        <w:t>服务多运用于公共缴费服务、公共 采购领域的电子交易服务以及电子票据的综合服务，后续公司将根据客户需要及业务发展情况，扩大及推广更多领域的</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服务。</w:t>
      </w:r>
    </w:p>
    <w:p>
      <w:pPr>
        <w:pStyle w:val="Style22"/>
        <w:keepNext w:val="0"/>
        <w:keepLines w:val="0"/>
        <w:widowControl w:val="0"/>
        <w:shd w:val="clear" w:color="auto" w:fill="auto"/>
        <w:tabs>
          <w:tab w:pos="773" w:val="left"/>
        </w:tabs>
        <w:bidi w:val="0"/>
        <w:spacing w:before="0" w:after="0" w:line="314" w:lineRule="exact"/>
        <w:ind w:left="0" w:right="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3</w:t>
      </w:r>
      <w:r>
        <w:rPr>
          <w:color w:val="000000"/>
          <w:spacing w:val="0"/>
          <w:w w:val="100"/>
          <w:position w:val="0"/>
        </w:rPr>
        <w:t>）</w:t>
        <w:tab/>
        <w:t>硬件及耗材等销售</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作为公司核心业务的补充，公司硬件及耗材等销售业务是向客户提供外购的软、硬件产品以满足客户的</w:t>
      </w:r>
      <w:r>
        <w:rPr>
          <w:rFonts w:ascii="Times New Roman" w:eastAsia="Times New Roman" w:hAnsi="Times New Roman" w:cs="Times New Roman"/>
          <w:color w:val="000000"/>
          <w:spacing w:val="0"/>
          <w:w w:val="100"/>
          <w:position w:val="0"/>
        </w:rPr>
        <w:t>IT</w:t>
      </w:r>
      <w:r>
        <w:rPr>
          <w:color w:val="000000"/>
          <w:spacing w:val="0"/>
          <w:w w:val="100"/>
          <w:position w:val="0"/>
        </w:rPr>
        <w:t>集成需求，提 升综合服务能力。</w:t>
      </w:r>
    </w:p>
    <w:p>
      <w:pPr>
        <w:pStyle w:val="Style22"/>
        <w:keepNext w:val="0"/>
        <w:keepLines w:val="0"/>
        <w:widowControl w:val="0"/>
        <w:shd w:val="clear" w:color="auto" w:fill="auto"/>
        <w:bidi w:val="0"/>
        <w:spacing w:before="0" w:after="0" w:line="314" w:lineRule="exact"/>
        <w:ind w:left="0" w:right="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、主要的经营模式</w:t>
      </w:r>
    </w:p>
    <w:p>
      <w:pPr>
        <w:pStyle w:val="Style22"/>
        <w:keepNext w:val="0"/>
        <w:keepLines w:val="0"/>
        <w:widowControl w:val="0"/>
        <w:shd w:val="clear" w:color="auto" w:fill="auto"/>
        <w:tabs>
          <w:tab w:pos="773" w:val="left"/>
        </w:tabs>
        <w:bidi w:val="0"/>
        <w:spacing w:before="0" w:after="0" w:line="314" w:lineRule="exact"/>
        <w:ind w:left="0" w:right="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w:t>
        <w:tab/>
        <w:t>销售模式</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根据产品类型和区域性，公司销售采取直销为主，代理为辅的销售模式。公司在全国所有省级行政区（除港澳台外）均 设有分支机构，配备了销售人员，与客户保持经常性的联系，对客户的招投标信息及需求及时做出反应，获取销售机会，通 过参加招投标或直接与客户商务谈判的方式直接获取订单。另公司在财政票据业务领域，因发展初期受市场认知度、公司规 模较小等因素的制约，采取了小规模的代理模式来开发部分区域市场并延续至今；以及随着业务的快速发展，部分电子票据 业务项目也会联合合作伙伴参与相关业务的开展。此外，随着业务发展，公司部分产品开始进行代理销售。</w:t>
      </w:r>
    </w:p>
    <w:p>
      <w:pPr>
        <w:pStyle w:val="Style22"/>
        <w:keepNext w:val="0"/>
        <w:keepLines w:val="0"/>
        <w:widowControl w:val="0"/>
        <w:shd w:val="clear" w:color="auto" w:fill="auto"/>
        <w:tabs>
          <w:tab w:pos="773" w:val="left"/>
        </w:tabs>
        <w:bidi w:val="0"/>
        <w:spacing w:before="0" w:after="0" w:line="314"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2</w:t>
      </w:r>
      <w:r>
        <w:rPr>
          <w:color w:val="000000"/>
          <w:spacing w:val="0"/>
          <w:w w:val="100"/>
          <w:position w:val="0"/>
        </w:rPr>
        <w:t>）</w:t>
        <w:tab/>
        <w:t>采购模式</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公司对外采购的物资主要是自用的操作系统、开发工具、测试工具、服务器、</w:t>
      </w:r>
      <w:r>
        <w:rPr>
          <w:rFonts w:ascii="Times New Roman" w:eastAsia="Times New Roman" w:hAnsi="Times New Roman" w:cs="Times New Roman"/>
          <w:color w:val="000000"/>
          <w:spacing w:val="0"/>
          <w:w w:val="100"/>
          <w:position w:val="0"/>
        </w:rPr>
        <w:t>PC</w:t>
      </w:r>
      <w:r>
        <w:rPr>
          <w:color w:val="000000"/>
          <w:spacing w:val="0"/>
          <w:w w:val="100"/>
          <w:position w:val="0"/>
        </w:rPr>
        <w:t>机及配件等软硬件，及根据客户需求 采购的服务器、数据库、操作系统、</w:t>
      </w:r>
      <w:r>
        <w:rPr>
          <w:rFonts w:ascii="Times New Roman" w:eastAsia="Times New Roman" w:hAnsi="Times New Roman" w:cs="Times New Roman"/>
          <w:color w:val="000000"/>
          <w:spacing w:val="0"/>
          <w:w w:val="100"/>
          <w:position w:val="0"/>
        </w:rPr>
        <w:t>PC</w:t>
      </w:r>
      <w:r>
        <w:rPr>
          <w:color w:val="000000"/>
          <w:spacing w:val="0"/>
          <w:w w:val="100"/>
          <w:position w:val="0"/>
        </w:rPr>
        <w:t>及配件、网络设备、加密卡等软硬件。上述各种物资市场供应充足、价格透明，公 司按市场价格向供应商进行采购。</w:t>
      </w:r>
    </w:p>
    <w:p>
      <w:pPr>
        <w:pStyle w:val="Style22"/>
        <w:keepNext w:val="0"/>
        <w:keepLines w:val="0"/>
        <w:widowControl w:val="0"/>
        <w:shd w:val="clear" w:color="auto" w:fill="auto"/>
        <w:tabs>
          <w:tab w:pos="773" w:val="left"/>
        </w:tabs>
        <w:bidi w:val="0"/>
        <w:spacing w:before="0" w:after="0" w:line="314" w:lineRule="exact"/>
        <w:ind w:left="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3</w:t>
      </w:r>
      <w:r>
        <w:rPr>
          <w:color w:val="000000"/>
          <w:spacing w:val="0"/>
          <w:w w:val="100"/>
          <w:position w:val="0"/>
        </w:rPr>
        <w:t>）</w:t>
        <w:tab/>
        <w:t>服务模式</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公司运维服务以自主运维为主，服务外包为辅的服务模式。公司在全国所有省级行政区（除港澳台外）均设有分支机构， 拥有专业技术服务队伍，通过远程服务、电话服务、上门服务等多种方式，为客户提供运行维护服务、实施部署、运行环境 适配维护服务、软件数据维护服务及软件升级和使用咨询服务等。根据业务发展的需要，为快速实现服务本地化、节约运维 服务成本或为适应客户需求提供软、硬件一体的一揽子运维服务，公司及其子公司在部分地区采用服务外包的方式将指定软 件产品及小型机、存储、网络及数据库等维护服务委托给第三方办理。</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报告期内，公司主营业务、主要产品及主要经营模式未发生重大变化，主营业务收入占营业收入的比重为</w:t>
      </w:r>
      <w:r>
        <w:rPr>
          <w:rFonts w:ascii="Times New Roman" w:eastAsia="Times New Roman" w:hAnsi="Times New Roman" w:cs="Times New Roman"/>
          <w:color w:val="000000"/>
          <w:spacing w:val="0"/>
          <w:w w:val="100"/>
          <w:position w:val="0"/>
        </w:rPr>
        <w:t>99.83%</w:t>
      </w:r>
      <w:r>
        <w:rPr>
          <w:color w:val="000000"/>
          <w:spacing w:val="0"/>
          <w:w w:val="100"/>
          <w:position w:val="0"/>
        </w:rPr>
        <w:t>，公 司业绩主要驱动因素是公司主营业务的不断拓展。</w:t>
      </w:r>
    </w:p>
    <w:p>
      <w:pPr>
        <w:pStyle w:val="Style27"/>
        <w:keepNext/>
        <w:keepLines/>
        <w:widowControl w:val="0"/>
        <w:shd w:val="clear" w:color="auto" w:fill="auto"/>
        <w:tabs>
          <w:tab w:pos="464" w:val="left"/>
        </w:tabs>
        <w:bidi w:val="0"/>
        <w:spacing w:before="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w:t>
        <w:tab/>
        <w:t>核心竞争力分析</w:t>
      </w:r>
      <w:bookmarkEnd w:id="90"/>
      <w:bookmarkEnd w:id="91"/>
      <w:bookmarkEnd w:id="93"/>
    </w:p>
    <w:p>
      <w:pPr>
        <w:pStyle w:val="Style22"/>
        <w:keepNext w:val="0"/>
        <w:keepLines w:val="0"/>
        <w:widowControl w:val="0"/>
        <w:shd w:val="clear" w:color="auto" w:fill="auto"/>
        <w:tabs>
          <w:tab w:pos="656" w:val="left"/>
        </w:tabs>
        <w:bidi w:val="0"/>
        <w:spacing w:before="0" w:after="0"/>
        <w:ind w:left="0" w:right="0"/>
        <w:jc w:val="both"/>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行业经验优势</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公司长期专注于财政信息化领域，积累了多年的财政信息化经验，深入领会国家有关财政票据电子化管理改革、财政电 子票据管理及政府非税收入管理的制度要求和政策导向，切实把握各级政府财政票据管理和非税收入管理的特点和需求，提 供贴近客户实际应用的软件产品和个性化服务，能够实现财政票据管理及非税收入管理与软件信息技术的深度融合。同时在 国家积极推进财政信息化系统化、各省市着眼电子化采购变革的背景下，公司凭借多年政府服务的经验积淀，利用已占领的 业务资源优势，快速进入市场，推进了智慧财政财务业务及公共采购业务的发展。</w:t>
      </w:r>
    </w:p>
    <w:p>
      <w:pPr>
        <w:pStyle w:val="Style22"/>
        <w:keepNext w:val="0"/>
        <w:keepLines w:val="0"/>
        <w:widowControl w:val="0"/>
        <w:shd w:val="clear" w:color="auto" w:fill="auto"/>
        <w:tabs>
          <w:tab w:pos="676" w:val="left"/>
        </w:tabs>
        <w:bidi w:val="0"/>
        <w:spacing w:before="0" w:after="0"/>
        <w:ind w:left="0" w:right="0"/>
        <w:jc w:val="both"/>
      </w:pPr>
      <w:bookmarkStart w:id="95" w:name="bookmark95"/>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客户资源优势</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经过</w:t>
      </w:r>
      <w:r>
        <w:rPr>
          <w:rFonts w:ascii="Times New Roman" w:eastAsia="Times New Roman" w:hAnsi="Times New Roman" w:cs="Times New Roman"/>
          <w:color w:val="000000"/>
          <w:spacing w:val="0"/>
          <w:w w:val="100"/>
          <w:position w:val="0"/>
        </w:rPr>
        <w:t>20</w:t>
      </w:r>
      <w:r>
        <w:rPr>
          <w:color w:val="000000"/>
          <w:spacing w:val="0"/>
          <w:w w:val="100"/>
          <w:position w:val="0"/>
        </w:rPr>
        <w:t>年的发展和积累，公司的客户涵盖了多个省、自治区、直辖市的国家机构、卫生教育部门、群众团体和社会团体 等，行政事业单位用户超五十万家；公司客户群整体质量优良，结构合理，同时公司始终强调品牌建设，重视客户需求，技 术支持和服务到位，客户满意度和忠诚度较高，客户对公司各类产品形成了较强的黏性。数量较大且不断增长的优质客户对 产品后续服务和更新换代的需求可为公司业绩带来可期的持续性增长。</w:t>
      </w:r>
    </w:p>
    <w:p>
      <w:pPr>
        <w:pStyle w:val="Style22"/>
        <w:keepNext w:val="0"/>
        <w:keepLines w:val="0"/>
        <w:widowControl w:val="0"/>
        <w:shd w:val="clear" w:color="auto" w:fill="auto"/>
        <w:tabs>
          <w:tab w:pos="676" w:val="left"/>
        </w:tabs>
        <w:bidi w:val="0"/>
        <w:spacing w:before="0" w:after="0"/>
        <w:ind w:left="0" w:right="0"/>
        <w:jc w:val="both"/>
      </w:pPr>
      <w:bookmarkStart w:id="96" w:name="bookmark96"/>
      <w:r>
        <w:rPr>
          <w:rFonts w:ascii="Times New Roman" w:eastAsia="Times New Roman" w:hAnsi="Times New Roman" w:cs="Times New Roman"/>
          <w:color w:val="000000"/>
          <w:spacing w:val="0"/>
          <w:w w:val="100"/>
          <w:position w:val="0"/>
        </w:rPr>
        <w:t>3</w:t>
      </w:r>
      <w:bookmarkEnd w:id="96"/>
      <w:r>
        <w:rPr>
          <w:color w:val="000000"/>
          <w:spacing w:val="0"/>
          <w:w w:val="100"/>
          <w:position w:val="0"/>
        </w:rPr>
        <w:t>、</w:t>
        <w:tab/>
        <w:t>产品优势</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公司从设立之初就专注于财政信息化领域，公司创始人有二十多年的财政信息化经验积累。公司管理团队掌握财政管理 全流程及关键环节，深谙财政管理的重点、难点，在产品开发中始终贯彻科技加管理的产品理念；公司设立不久就抓住财政 部门加强非税收入管理的契机，迅速开发出功能齐全、适应性强、具有前瞻性和良好兼容性的非税收入管理软件产品；并在 建立先发优势基础上，不断打破自我束缚，推陈出新，自发对产品进行更新换代，引领行业应用模式。同时公司在对原有产 品不断更新延伸的基础上，也通过收购同行业优质企业，整合各自产品优点，完善公司产品结构，丰富产品线，为客户提供 更优更全的产品，提升公司产品竞争力。</w:t>
      </w:r>
    </w:p>
    <w:p>
      <w:pPr>
        <w:pStyle w:val="Style22"/>
        <w:keepNext w:val="0"/>
        <w:keepLines w:val="0"/>
        <w:widowControl w:val="0"/>
        <w:shd w:val="clear" w:color="auto" w:fill="auto"/>
        <w:tabs>
          <w:tab w:pos="676" w:val="left"/>
        </w:tabs>
        <w:bidi w:val="0"/>
        <w:spacing w:before="0" w:after="0"/>
        <w:ind w:left="0" w:right="0"/>
        <w:jc w:val="both"/>
      </w:pPr>
      <w:bookmarkStart w:id="97" w:name="bookmark97"/>
      <w:r>
        <w:rPr>
          <w:rFonts w:ascii="Times New Roman" w:eastAsia="Times New Roman" w:hAnsi="Times New Roman" w:cs="Times New Roman"/>
          <w:color w:val="000000"/>
          <w:spacing w:val="0"/>
          <w:w w:val="100"/>
          <w:position w:val="0"/>
        </w:rPr>
        <w:t>4</w:t>
      </w:r>
      <w:bookmarkEnd w:id="97"/>
      <w:r>
        <w:rPr>
          <w:color w:val="000000"/>
          <w:spacing w:val="0"/>
          <w:w w:val="100"/>
          <w:position w:val="0"/>
        </w:rPr>
        <w:t>、</w:t>
        <w:tab/>
        <w:t>核心技术优势</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公司自成立以来，不断完善创新机制，培育创新文化和技术优势，构建创新型企业。公司通过持续的投入和研发，逐渐 形成了以云计算、大数据为核心技术的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产品平台与解决方案，拥有互联网云化微服务架构平台、分布式 </w:t>
      </w:r>
      <w:r>
        <w:rPr>
          <w:rFonts w:ascii="Times New Roman" w:eastAsia="Times New Roman" w:hAnsi="Times New Roman" w:cs="Times New Roman"/>
          <w:color w:val="000000"/>
          <w:spacing w:val="0"/>
          <w:w w:val="100"/>
          <w:position w:val="0"/>
        </w:rPr>
        <w:t>GRP</w:t>
      </w:r>
      <w:r>
        <w:rPr>
          <w:color w:val="000000"/>
          <w:spacing w:val="0"/>
          <w:w w:val="100"/>
          <w:position w:val="0"/>
        </w:rPr>
        <w:t>应用平台、财政电子票据云平台、智慧城市大数据基础平台、电子缴费公共服务平台以及智能移动端开票等核心技术。</w:t>
      </w:r>
    </w:p>
    <w:p>
      <w:pPr>
        <w:pStyle w:val="Style22"/>
        <w:keepNext w:val="0"/>
        <w:keepLines w:val="0"/>
        <w:widowControl w:val="0"/>
        <w:shd w:val="clear" w:color="auto" w:fill="auto"/>
        <w:tabs>
          <w:tab w:pos="676" w:val="left"/>
        </w:tabs>
        <w:bidi w:val="0"/>
        <w:spacing w:before="0" w:after="0"/>
        <w:ind w:left="0" w:right="0"/>
        <w:jc w:val="both"/>
      </w:pPr>
      <w:bookmarkStart w:id="98" w:name="bookmark98"/>
      <w:r>
        <w:rPr>
          <w:rFonts w:ascii="Times New Roman" w:eastAsia="Times New Roman" w:hAnsi="Times New Roman" w:cs="Times New Roman"/>
          <w:color w:val="000000"/>
          <w:spacing w:val="0"/>
          <w:w w:val="100"/>
          <w:position w:val="0"/>
        </w:rPr>
        <w:t>5</w:t>
      </w:r>
      <w:bookmarkEnd w:id="98"/>
      <w:r>
        <w:rPr>
          <w:color w:val="000000"/>
          <w:spacing w:val="0"/>
          <w:w w:val="100"/>
          <w:position w:val="0"/>
        </w:rPr>
        <w:t>、</w:t>
        <w:tab/>
        <w:t>团队与人才优势</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公司经过</w:t>
      </w:r>
      <w:r>
        <w:rPr>
          <w:rFonts w:ascii="Times New Roman" w:eastAsia="Times New Roman" w:hAnsi="Times New Roman" w:cs="Times New Roman"/>
          <w:color w:val="000000"/>
          <w:spacing w:val="0"/>
          <w:w w:val="100"/>
          <w:position w:val="0"/>
        </w:rPr>
        <w:t>20</w:t>
      </w:r>
      <w:r>
        <w:rPr>
          <w:color w:val="000000"/>
          <w:spacing w:val="0"/>
          <w:w w:val="100"/>
          <w:position w:val="0"/>
        </w:rPr>
        <w:t>年的发展和积累，已形成了富有行业经验、凝聚力强且分工合理的核心管理团队及拥有较高技术水平的优秀 研发与技术团队。公司核心团队是国内最早进入财政票据电子化和非税收入管理信息化应用软件领域的专业团队之一，战略 目标一致，凝聚力强，行业理解深刻，专业优势互补。核心团队成员均具有</w:t>
      </w:r>
      <w:r>
        <w:rPr>
          <w:rFonts w:ascii="Times New Roman" w:eastAsia="Times New Roman" w:hAnsi="Times New Roman" w:cs="Times New Roman"/>
          <w:color w:val="000000"/>
          <w:spacing w:val="0"/>
          <w:w w:val="100"/>
          <w:position w:val="0"/>
        </w:rPr>
        <w:t>10</w:t>
      </w:r>
      <w:r>
        <w:rPr>
          <w:color w:val="000000"/>
          <w:spacing w:val="0"/>
          <w:w w:val="100"/>
          <w:position w:val="0"/>
        </w:rPr>
        <w:t>年以上的行业经验，分别在研发、销售和运营 等重要管理岗位担任领导职务，分工明确，结构合理。同时，公司聚集了一批具有丰富经验的行业解决方案专家、软件工程 技术人员以及具有较高技术水平的工程实施队伍，拥有福州、北京等多个研发中心，为公司的研发和技术服务提供有力的支 撑。雄厚的技术人才资源是公司快速发展的基础。</w:t>
      </w:r>
    </w:p>
    <w:p>
      <w:pPr>
        <w:pStyle w:val="Style22"/>
        <w:keepNext w:val="0"/>
        <w:keepLines w:val="0"/>
        <w:widowControl w:val="0"/>
        <w:shd w:val="clear" w:color="auto" w:fill="auto"/>
        <w:tabs>
          <w:tab w:pos="671" w:val="left"/>
        </w:tabs>
        <w:bidi w:val="0"/>
        <w:spacing w:before="0" w:after="0" w:line="314" w:lineRule="exact"/>
        <w:ind w:left="0" w:right="0"/>
        <w:jc w:val="both"/>
      </w:pPr>
      <w:bookmarkStart w:id="99" w:name="bookmark99"/>
      <w:r>
        <w:rPr>
          <w:rFonts w:ascii="Times New Roman" w:eastAsia="Times New Roman" w:hAnsi="Times New Roman" w:cs="Times New Roman"/>
          <w:color w:val="000000"/>
          <w:spacing w:val="0"/>
          <w:w w:val="100"/>
          <w:position w:val="0"/>
        </w:rPr>
        <w:t>6</w:t>
      </w:r>
      <w:bookmarkEnd w:id="99"/>
      <w:r>
        <w:rPr>
          <w:color w:val="000000"/>
          <w:spacing w:val="0"/>
          <w:w w:val="100"/>
          <w:position w:val="0"/>
        </w:rPr>
        <w:t>、</w:t>
        <w:tab/>
        <w:t>营销和服务网络优势</w:t>
      </w:r>
    </w:p>
    <w:p>
      <w:pPr>
        <w:pStyle w:val="Style22"/>
        <w:keepNext w:val="0"/>
        <w:keepLines w:val="0"/>
        <w:widowControl w:val="0"/>
        <w:shd w:val="clear" w:color="auto" w:fill="auto"/>
        <w:bidi w:val="0"/>
        <w:spacing w:before="0" w:after="360" w:line="314" w:lineRule="exact"/>
        <w:ind w:left="0" w:right="0"/>
        <w:jc w:val="both"/>
      </w:pPr>
      <w:r>
        <w:rPr>
          <w:color w:val="000000"/>
          <w:spacing w:val="0"/>
          <w:w w:val="100"/>
          <w:position w:val="0"/>
        </w:rPr>
        <w:t>目前，公司在全国所有省级行政区（除港澳台外）均设有分支机构，配备了销售人员，与客户保持持续、经常性的联系， 能及时、有效地对客户的需求及采购信息做出反应，把握产品营销机会。对于软件企业来说，服务在软件产品的销售链条上 有着更重要的作用，软件企业提供的服务实际上是产品的一部分，服务的质量直接影响到客户对产品的体验。目前，公司已 建立了以全国运维中心、区域中心、市级运维网点构成的三级服务架构，能够为全国用户提供持续、及时、高效的售前咨询、 实施和售后运维服务。反应灵敏的营销机制和完善的服务网络，为公司业务发展提供有力的竞争优势。</w:t>
      </w:r>
    </w:p>
    <w:p>
      <w:pPr>
        <w:pStyle w:val="Style27"/>
        <w:keepNext/>
        <w:keepLines/>
        <w:widowControl w:val="0"/>
        <w:shd w:val="clear" w:color="auto" w:fill="auto"/>
        <w:tabs>
          <w:tab w:pos="464" w:val="left"/>
        </w:tabs>
        <w:bidi w:val="0"/>
        <w:spacing w:before="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四</w:t>
      </w:r>
      <w:bookmarkEnd w:id="102"/>
      <w:r>
        <w:rPr>
          <w:color w:val="000000"/>
          <w:spacing w:val="0"/>
          <w:w w:val="100"/>
          <w:position w:val="0"/>
          <w:sz w:val="24"/>
          <w:szCs w:val="24"/>
        </w:rPr>
        <w:t>、</w:t>
        <w:tab/>
        <w:t>主营业务分析</w:t>
      </w:r>
      <w:bookmarkEnd w:id="100"/>
      <w:bookmarkEnd w:id="101"/>
      <w:bookmarkEnd w:id="103"/>
    </w:p>
    <w:p>
      <w:pPr>
        <w:pStyle w:val="Style33"/>
        <w:keepNext/>
        <w:keepLines/>
        <w:widowControl w:val="0"/>
        <w:shd w:val="clear" w:color="auto" w:fill="auto"/>
        <w:bidi w:val="0"/>
        <w:spacing w:before="0" w:after="28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、概述</w:t>
      </w:r>
      <w:bookmarkEnd w:id="104"/>
      <w:bookmarkEnd w:id="105"/>
      <w:bookmarkEnd w:id="107"/>
    </w:p>
    <w:p>
      <w:pPr>
        <w:pStyle w:val="Style22"/>
        <w:keepNext w:val="0"/>
        <w:keepLines w:val="0"/>
        <w:widowControl w:val="0"/>
        <w:shd w:val="clear" w:color="auto" w:fill="auto"/>
        <w:bidi w:val="0"/>
        <w:spacing w:before="0" w:after="0" w:line="312" w:lineRule="exact"/>
        <w:ind w:left="0" w:right="0"/>
        <w:jc w:val="both"/>
      </w:pPr>
      <w:bookmarkStart w:id="108" w:name="bookmark108"/>
      <w:r>
        <w:rPr>
          <w:rFonts w:ascii="Times New Roman" w:eastAsia="Times New Roman" w:hAnsi="Times New Roman" w:cs="Times New Roman"/>
          <w:b/>
          <w:bCs/>
          <w:color w:val="000000"/>
          <w:spacing w:val="0"/>
          <w:w w:val="100"/>
          <w:position w:val="0"/>
        </w:rPr>
        <w:t>1</w:t>
      </w:r>
      <w:bookmarkEnd w:id="108"/>
      <w:r>
        <w:rPr>
          <w:b/>
          <w:bCs/>
          <w:color w:val="000000"/>
          <w:spacing w:val="0"/>
          <w:w w:val="100"/>
          <w:position w:val="0"/>
        </w:rPr>
        <w:t>、报告期内总体经营情况</w:t>
      </w:r>
    </w:p>
    <w:p>
      <w:pPr>
        <w:pStyle w:val="Style2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年是公司成立二十周年，也是上市五周年的重要时间节点，在董事会、经营管理层的领导下，全体员工紧密团结， 围绕年初制定的经营目标及未来战略部署，积极推进各项工作，整体经营情况良好。</w:t>
      </w: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 xml:space="preserve">156,410.37 </w:t>
      </w:r>
      <w:r>
        <w:rPr>
          <w:color w:val="000000"/>
          <w:spacing w:val="0"/>
          <w:w w:val="100"/>
          <w:position w:val="0"/>
        </w:rPr>
        <w:t>万元，同比增长</w:t>
      </w:r>
      <w:r>
        <w:rPr>
          <w:rFonts w:ascii="Times New Roman" w:eastAsia="Times New Roman" w:hAnsi="Times New Roman" w:cs="Times New Roman"/>
          <w:color w:val="000000"/>
          <w:spacing w:val="0"/>
          <w:w w:val="100"/>
          <w:position w:val="0"/>
        </w:rPr>
        <w:t>37.65%</w:t>
      </w:r>
      <w:r>
        <w:rPr>
          <w:color w:val="000000"/>
          <w:spacing w:val="0"/>
          <w:w w:val="100"/>
          <w:position w:val="0"/>
        </w:rPr>
        <w:t>；归属于上市公司普通股股东的净利润</w:t>
      </w:r>
      <w:r>
        <w:rPr>
          <w:rFonts w:ascii="Times New Roman" w:eastAsia="Times New Roman" w:hAnsi="Times New Roman" w:cs="Times New Roman"/>
          <w:color w:val="000000"/>
          <w:spacing w:val="0"/>
          <w:w w:val="100"/>
          <w:position w:val="0"/>
        </w:rPr>
        <w:t>22,909.4</w:t>
      </w:r>
      <w:r>
        <w:rPr>
          <w:rFonts w:ascii="Times New Roman" w:eastAsia="Times New Roman" w:hAnsi="Times New Roman" w:cs="Times New Roman"/>
          <w:color w:val="000000"/>
          <w:spacing w:val="0"/>
          <w:w w:val="100"/>
          <w:position w:val="0"/>
        </w:rPr>
        <w:t>7</w:t>
      </w:r>
      <w:r>
        <w:rPr>
          <w:color w:val="000000"/>
          <w:spacing w:val="0"/>
          <w:w w:val="100"/>
          <w:position w:val="0"/>
        </w:rPr>
        <w:t>万元，同比增长</w:t>
      </w:r>
      <w:r>
        <w:rPr>
          <w:rFonts w:ascii="Times New Roman" w:eastAsia="Times New Roman" w:hAnsi="Times New Roman" w:cs="Times New Roman"/>
          <w:color w:val="000000"/>
          <w:spacing w:val="0"/>
          <w:w w:val="100"/>
          <w:position w:val="0"/>
        </w:rPr>
        <w:t>41.62%</w:t>
      </w:r>
      <w:r>
        <w:rPr>
          <w:color w:val="000000"/>
          <w:spacing w:val="0"/>
          <w:w w:val="100"/>
          <w:position w:val="0"/>
        </w:rPr>
        <w:t>。报告期内，公司各业务板 块均保持增长，且业务扩张同时加强对应收账款的管理和催收，应收账款回款较好，计提信用减值损失比上年同期减少。</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报告期内，公司营业成本</w:t>
      </w:r>
      <w:r>
        <w:rPr>
          <w:rFonts w:ascii="Times New Roman" w:eastAsia="Times New Roman" w:hAnsi="Times New Roman" w:cs="Times New Roman"/>
          <w:color w:val="000000"/>
          <w:spacing w:val="0"/>
          <w:w w:val="100"/>
          <w:position w:val="0"/>
        </w:rPr>
        <w:t>54,622.9</w:t>
      </w:r>
      <w:r>
        <w:rPr>
          <w:rFonts w:ascii="Times New Roman" w:eastAsia="Times New Roman" w:hAnsi="Times New Roman" w:cs="Times New Roman"/>
          <w:color w:val="000000"/>
          <w:spacing w:val="0"/>
          <w:w w:val="100"/>
          <w:position w:val="0"/>
        </w:rPr>
        <w:t>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31.89%</w:t>
      </w:r>
      <w:r>
        <w:rPr>
          <w:color w:val="000000"/>
          <w:spacing w:val="0"/>
          <w:w w:val="100"/>
          <w:position w:val="0"/>
        </w:rPr>
        <w:t>，主要是公司实现销售收入而发生的必要的人工费与 外协费，以及增长的差旅费支出；本期销售费用</w:t>
      </w:r>
      <w:r>
        <w:rPr>
          <w:rFonts w:ascii="Times New Roman" w:eastAsia="Times New Roman" w:hAnsi="Times New Roman" w:cs="Times New Roman"/>
          <w:color w:val="000000"/>
          <w:spacing w:val="0"/>
          <w:w w:val="100"/>
          <w:position w:val="0"/>
        </w:rPr>
        <w:t>25,304.34</w:t>
      </w:r>
      <w:r>
        <w:rPr>
          <w:color w:val="000000"/>
          <w:spacing w:val="0"/>
          <w:w w:val="100"/>
          <w:position w:val="0"/>
        </w:rPr>
        <w:t>万元，同比增长</w:t>
      </w:r>
      <w:r>
        <w:rPr>
          <w:rFonts w:ascii="Times New Roman" w:eastAsia="Times New Roman" w:hAnsi="Times New Roman" w:cs="Times New Roman"/>
          <w:color w:val="000000"/>
          <w:spacing w:val="0"/>
          <w:w w:val="100"/>
          <w:position w:val="0"/>
        </w:rPr>
        <w:t>46.05%</w:t>
      </w:r>
      <w:r>
        <w:rPr>
          <w:color w:val="000000"/>
          <w:spacing w:val="0"/>
          <w:w w:val="100"/>
          <w:position w:val="0"/>
        </w:rPr>
        <w:t>，主要因报告期销售人员薪酬与人数同时 增加，开拓市场相应投入的差旅费和招待费增加，及实施新一期股权激励计划而增加的激励费用；经营活动产生的现金流净 额同比增长</w:t>
      </w:r>
      <w:r>
        <w:rPr>
          <w:rFonts w:ascii="Times New Roman" w:eastAsia="Times New Roman" w:hAnsi="Times New Roman" w:cs="Times New Roman"/>
          <w:color w:val="000000"/>
          <w:spacing w:val="0"/>
          <w:w w:val="100"/>
          <w:position w:val="0"/>
        </w:rPr>
        <w:t>67.34%</w:t>
      </w:r>
      <w:r>
        <w:rPr>
          <w:color w:val="000000"/>
          <w:spacing w:val="0"/>
          <w:w w:val="100"/>
          <w:position w:val="0"/>
        </w:rPr>
        <w:t>，主要是销售商品、提供劳务收到的现金增加所致。</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报告期内，公司研发费用为</w:t>
      </w:r>
      <w:r>
        <w:rPr>
          <w:rFonts w:ascii="Times New Roman" w:eastAsia="Times New Roman" w:hAnsi="Times New Roman" w:cs="Times New Roman"/>
          <w:color w:val="000000"/>
          <w:spacing w:val="0"/>
          <w:w w:val="100"/>
          <w:position w:val="0"/>
        </w:rPr>
        <w:t>24,106.86</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15.41%</w:t>
      </w:r>
      <w:r>
        <w:rPr>
          <w:color w:val="000000"/>
          <w:spacing w:val="0"/>
          <w:w w:val="100"/>
          <w:position w:val="0"/>
        </w:rPr>
        <w:t>，比去年同期增长</w:t>
      </w:r>
      <w:r>
        <w:rPr>
          <w:rFonts w:ascii="Times New Roman" w:eastAsia="Times New Roman" w:hAnsi="Times New Roman" w:cs="Times New Roman"/>
          <w:color w:val="000000"/>
          <w:spacing w:val="0"/>
          <w:w w:val="100"/>
          <w:position w:val="0"/>
        </w:rPr>
        <w:t>44.28%</w:t>
      </w:r>
      <w:r>
        <w:rPr>
          <w:color w:val="000000"/>
          <w:spacing w:val="0"/>
          <w:w w:val="100"/>
          <w:position w:val="0"/>
        </w:rPr>
        <w:t>。公司作为行业领先厂商， 持续研究行业发展动向，积极关注产业政策，不断进行技术研发投入和人才结构优化，坚持以技术研发作为公司长期发展的 原动力，同时促进云技术、财政大数据、区块链技术在电子票据、公共采购及智慧城市、数字乡村等的落地应用，持续提升 和完善核心技术、平台、产品和综合解决方案能力。</w:t>
      </w:r>
    </w:p>
    <w:p>
      <w:pPr>
        <w:pStyle w:val="Style22"/>
        <w:keepNext w:val="0"/>
        <w:keepLines w:val="0"/>
        <w:widowControl w:val="0"/>
        <w:shd w:val="clear" w:color="auto" w:fill="auto"/>
        <w:bidi w:val="0"/>
        <w:spacing w:before="0" w:after="0" w:line="312" w:lineRule="exact"/>
        <w:ind w:left="0" w:right="0"/>
        <w:jc w:val="both"/>
      </w:pPr>
      <w:bookmarkStart w:id="109" w:name="bookmark109"/>
      <w:r>
        <w:rPr>
          <w:rFonts w:ascii="Times New Roman" w:eastAsia="Times New Roman" w:hAnsi="Times New Roman" w:cs="Times New Roman"/>
          <w:b/>
          <w:bCs/>
          <w:color w:val="000000"/>
          <w:spacing w:val="0"/>
          <w:w w:val="100"/>
          <w:position w:val="0"/>
        </w:rPr>
        <w:t>2</w:t>
      </w:r>
      <w:bookmarkEnd w:id="109"/>
      <w:r>
        <w:rPr>
          <w:b/>
          <w:bCs/>
          <w:color w:val="000000"/>
          <w:spacing w:val="0"/>
          <w:w w:val="100"/>
          <w:position w:val="0"/>
        </w:rPr>
        <w:t>、报告期内各项业务开展情况</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报告期内，公司继续聚焦主营业务，稳步推进各项业务，提升综合竞争力。公司各项业务进展情况如下：</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在财政电子票据及非税收入领域，公司继续保持领先优势。在不断拓展新区域的同时，推动已上线票据系统省份的深度 应用。随着医疗电子票据管理改革的全面推行，公司在医疗电子票据方面凭借竞争优势取得较好的市场份额。截至报告期末， 财政电子票据业务已经覆盖财政部及</w:t>
      </w:r>
      <w:r>
        <w:rPr>
          <w:rFonts w:ascii="Times New Roman" w:eastAsia="Times New Roman" w:hAnsi="Times New Roman" w:cs="Times New Roman"/>
          <w:color w:val="000000"/>
          <w:spacing w:val="0"/>
          <w:w w:val="100"/>
          <w:position w:val="0"/>
        </w:rPr>
        <w:t>30</w:t>
      </w:r>
      <w:r>
        <w:rPr>
          <w:color w:val="000000"/>
          <w:spacing w:val="0"/>
          <w:w w:val="100"/>
          <w:position w:val="0"/>
        </w:rPr>
        <w:t>个省（含省、自治区、直辖市及计划单列市，下同）和新疆建设兵团；医疗电子票据 已经覆盖各级公立医疗机构，其中二级及以上累计</w:t>
      </w:r>
      <w:r>
        <w:rPr>
          <w:rFonts w:ascii="Times New Roman" w:eastAsia="Times New Roman" w:hAnsi="Times New Roman" w:cs="Times New Roman"/>
          <w:color w:val="000000"/>
          <w:spacing w:val="0"/>
          <w:w w:val="100"/>
          <w:position w:val="0"/>
        </w:rPr>
        <w:t>5,000</w:t>
      </w:r>
      <w:r>
        <w:rPr>
          <w:color w:val="000000"/>
          <w:spacing w:val="0"/>
          <w:w w:val="100"/>
          <w:position w:val="0"/>
        </w:rPr>
        <w:t>余家；在非税缴款方面，非税电子化改革已覆盖全国</w:t>
      </w:r>
      <w:r>
        <w:rPr>
          <w:rFonts w:ascii="Times New Roman" w:eastAsia="Times New Roman" w:hAnsi="Times New Roman" w:cs="Times New Roman"/>
          <w:color w:val="000000"/>
          <w:spacing w:val="0"/>
          <w:w w:val="100"/>
          <w:position w:val="0"/>
        </w:rPr>
        <w:t>22</w:t>
      </w:r>
      <w:r>
        <w:rPr>
          <w:color w:val="000000"/>
          <w:spacing w:val="0"/>
          <w:w w:val="100"/>
          <w:position w:val="0"/>
        </w:rPr>
        <w:t>个省份。</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在政府智慧财政财务领域，凭借参与标准制定和行业标杆案例建立了良好的业务口碑，为后期相关业务向下复制推广创 造了基础条件。</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月，博思致新在众多厂商的角逐中脱颖而出，成功中标上海市预算管理一体化信息系统采购项目， 进一步夯实了公司在财政信息化领域的领先地位。截至目前，公司预算管理一体化业务已取得财政部及陕西、吉林、广东、 福建、厦门、湖北、黑龙江、内蒙古自治区、上海</w:t>
      </w:r>
      <w:r>
        <w:rPr>
          <w:rFonts w:ascii="Times New Roman" w:eastAsia="Times New Roman" w:hAnsi="Times New Roman" w:cs="Times New Roman"/>
          <w:color w:val="000000"/>
          <w:spacing w:val="0"/>
          <w:w w:val="100"/>
          <w:position w:val="0"/>
        </w:rPr>
        <w:t>9</w:t>
      </w:r>
      <w:r>
        <w:rPr>
          <w:color w:val="000000"/>
          <w:spacing w:val="0"/>
          <w:w w:val="100"/>
          <w:position w:val="0"/>
        </w:rPr>
        <w:t>个省份业务。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在公共采购领域，随着相关政策的不断出台以及中国经济持续增长和政府采购改革深化，采购规模及采购电子化需求将 持续扩大。截至目前，公司政府采购一体化业务已取得福建、广东、内蒙、黑龙江、陕西、四川、辽宁</w:t>
      </w:r>
      <w:r>
        <w:rPr>
          <w:rFonts w:ascii="Times New Roman" w:eastAsia="Times New Roman" w:hAnsi="Times New Roman" w:cs="Times New Roman"/>
          <w:color w:val="000000"/>
          <w:spacing w:val="0"/>
          <w:w w:val="100"/>
          <w:position w:val="0"/>
        </w:rPr>
        <w:t>7</w:t>
      </w:r>
      <w:r>
        <w:rPr>
          <w:color w:val="000000"/>
          <w:spacing w:val="0"/>
          <w:w w:val="100"/>
          <w:position w:val="0"/>
        </w:rPr>
        <w:t>个省份业务，电子 招投标、电子卖场等子系统已进入北京、山东等</w:t>
      </w:r>
      <w:r>
        <w:rPr>
          <w:rFonts w:ascii="Times New Roman" w:eastAsia="Times New Roman" w:hAnsi="Times New Roman" w:cs="Times New Roman"/>
          <w:color w:val="000000"/>
          <w:spacing w:val="0"/>
          <w:w w:val="100"/>
          <w:position w:val="0"/>
        </w:rPr>
        <w:t>9</w:t>
      </w:r>
      <w:r>
        <w:rPr>
          <w:color w:val="000000"/>
          <w:spacing w:val="0"/>
          <w:w w:val="100"/>
          <w:position w:val="0"/>
        </w:rPr>
        <w:t>个省份；在高校采购和企业采购方面，合作的高校和企业的家数进一步增 加，其中高校客户达</w:t>
      </w:r>
      <w:r>
        <w:rPr>
          <w:rFonts w:ascii="Times New Roman" w:eastAsia="Times New Roman" w:hAnsi="Times New Roman" w:cs="Times New Roman"/>
          <w:color w:val="000000"/>
          <w:spacing w:val="0"/>
          <w:w w:val="100"/>
          <w:position w:val="0"/>
        </w:rPr>
        <w:t>180</w:t>
      </w:r>
      <w:r>
        <w:rPr>
          <w:color w:val="000000"/>
          <w:spacing w:val="0"/>
          <w:w w:val="100"/>
          <w:position w:val="0"/>
        </w:rPr>
        <w:t>余所，分布在</w:t>
      </w:r>
      <w:r>
        <w:rPr>
          <w:rFonts w:ascii="Times New Roman" w:eastAsia="Times New Roman" w:hAnsi="Times New Roman" w:cs="Times New Roman"/>
          <w:color w:val="000000"/>
          <w:spacing w:val="0"/>
          <w:w w:val="100"/>
          <w:position w:val="0"/>
        </w:rPr>
        <w:t>19</w:t>
      </w:r>
      <w:r>
        <w:rPr>
          <w:color w:val="000000"/>
          <w:spacing w:val="0"/>
          <w:w w:val="100"/>
          <w:position w:val="0"/>
        </w:rPr>
        <w:t>个省市；企业客户包括一汽大众、平安集团、中国人寿等大型国央企。</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在智慧城市</w:t>
      </w:r>
      <w:r>
        <w:rPr>
          <w:rFonts w:ascii="Times New Roman" w:eastAsia="Times New Roman" w:hAnsi="Times New Roman" w:cs="Times New Roman"/>
          <w:color w:val="000000"/>
          <w:spacing w:val="0"/>
          <w:w w:val="100"/>
          <w:position w:val="0"/>
        </w:rPr>
        <w:t>+</w:t>
      </w:r>
      <w:r>
        <w:rPr>
          <w:color w:val="000000"/>
          <w:spacing w:val="0"/>
          <w:w w:val="100"/>
          <w:position w:val="0"/>
        </w:rPr>
        <w:t>数字乡村领域，公司继续积极扩展城市通</w:t>
      </w:r>
      <w:r>
        <w:rPr>
          <w:rFonts w:ascii="Times New Roman" w:eastAsia="Times New Roman" w:hAnsi="Times New Roman" w:cs="Times New Roman"/>
          <w:color w:val="000000"/>
          <w:spacing w:val="0"/>
          <w:w w:val="100"/>
          <w:position w:val="0"/>
        </w:rPr>
        <w:t>APP</w:t>
      </w:r>
      <w:r>
        <w:rPr>
          <w:color w:val="000000"/>
          <w:spacing w:val="0"/>
          <w:w w:val="100"/>
          <w:position w:val="0"/>
        </w:rPr>
        <w:t>建设运营模式，丰富该业务领域的产品种类。数字乡村方面， 经过近一年的探索，已推出若干产品，部分如数字乡村综合治理平台、乡村民宿民居产业互联网平台、认养农业服务平台等 产品已在部分地区进行试点运行。</w:t>
      </w:r>
    </w:p>
    <w:p>
      <w:pPr>
        <w:pStyle w:val="Style33"/>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、收入与成本</w:t>
      </w:r>
      <w:bookmarkEnd w:id="110"/>
      <w:bookmarkEnd w:id="111"/>
      <w:bookmarkEnd w:id="113"/>
    </w:p>
    <w:p>
      <w:pPr>
        <w:pStyle w:val="Style33"/>
        <w:keepNext/>
        <w:keepLines/>
        <w:widowControl w:val="0"/>
        <w:shd w:val="clear" w:color="auto" w:fill="auto"/>
        <w:bidi w:val="0"/>
        <w:spacing w:before="0" w:after="260" w:line="240" w:lineRule="auto"/>
        <w:ind w:left="0" w:right="0" w:firstLine="0"/>
        <w:jc w:val="left"/>
      </w:pPr>
      <w:bookmarkStart w:id="110" w:name="bookmark110"/>
      <w:bookmarkStart w:id="111" w:name="bookmark111"/>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5"/>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营业收入整体情况</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1,564,103,745.01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1,564,103,745.01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347,942,369.19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275,238,103.20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1,097,134,160.30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778,759,396.06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116,413,262.36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80,022,708.86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2,613,953.16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2,295,260.16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485,219,958.21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283,340,422.50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375,873,532.90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256,633,291.20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189,381,798.93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164,174,728.41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250,921,215.53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179,905,704.25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86,216,118.94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97,363,433.96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176,491,120.50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154,897,887.96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1,505,637,883.11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1,100,202,110.51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代理及伙伴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58,465,861.90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36,113,357.77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133,788,537.</w:t>
            </w:r>
          </w:p>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252,493,905.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344,710,102.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833,111,199.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72,041,453.9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165,606,626.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251,984,682.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646,682,705.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-37,244,748.</w:t>
            </w:r>
          </w:p>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-9,876,993.3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49,941,175.5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226,275,256.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-46,074,736.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8,788,572.44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41,139,780.7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157,918,084.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公司主要客户为政府部门及各级行政事业单位，这些客户通常采取预算管理制度，一般下半年制定次年年度预算，审批 通常集中在次年的上半年，因此，公司每年上半年销售较少，销售主要集中在下半年尤其是第四季度，公司销售呈现较明显 的季节性分布，并由此使得公司营业收入在第四季度集中实现。</w:t>
      </w:r>
    </w:p>
    <w:p>
      <w:pPr>
        <w:pStyle w:val="Style22"/>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年度下半年的营业收入占全年营业收入的</w:t>
      </w:r>
      <w:r>
        <w:rPr>
          <w:rFonts w:ascii="Times New Roman" w:eastAsia="Times New Roman" w:hAnsi="Times New Roman" w:cs="Times New Roman"/>
          <w:color w:val="000000"/>
          <w:spacing w:val="0"/>
          <w:w w:val="100"/>
          <w:position w:val="0"/>
        </w:rPr>
        <w:t>75.30%</w:t>
      </w:r>
      <w:r>
        <w:rPr>
          <w:color w:val="000000"/>
          <w:spacing w:val="0"/>
          <w:w w:val="100"/>
          <w:position w:val="0"/>
        </w:rPr>
        <w:t>，下半年归属于上市公司股东的净利润占全年归属于上市公 司股东的净利润的</w:t>
      </w:r>
      <w:r>
        <w:rPr>
          <w:rFonts w:ascii="Times New Roman" w:eastAsia="Times New Roman" w:hAnsi="Times New Roman" w:cs="Times New Roman"/>
          <w:color w:val="000000"/>
          <w:spacing w:val="0"/>
          <w:w w:val="100"/>
          <w:position w:val="0"/>
        </w:rPr>
        <w:t>120.57%</w:t>
      </w:r>
      <w:r>
        <w:rPr>
          <w:color w:val="000000"/>
          <w:spacing w:val="0"/>
          <w:w w:val="100"/>
          <w:position w:val="0"/>
        </w:rPr>
        <w:t>，其中第四季度归属于上市公司股东的净利润占全年的</w:t>
      </w:r>
      <w:r>
        <w:rPr>
          <w:rFonts w:ascii="Times New Roman" w:eastAsia="Times New Roman" w:hAnsi="Times New Roman" w:cs="Times New Roman"/>
          <w:color w:val="000000"/>
          <w:spacing w:val="0"/>
          <w:w w:val="100"/>
          <w:position w:val="0"/>
        </w:rPr>
        <w:t>98.77%</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年度下半年的营业收入 占全年营业收入的</w:t>
      </w:r>
      <w:r>
        <w:rPr>
          <w:rFonts w:ascii="Times New Roman" w:eastAsia="Times New Roman" w:hAnsi="Times New Roman" w:cs="Times New Roman"/>
          <w:color w:val="000000"/>
          <w:spacing w:val="0"/>
          <w:w w:val="100"/>
          <w:position w:val="0"/>
        </w:rPr>
        <w:t>79.09%</w:t>
      </w:r>
      <w:r>
        <w:rPr>
          <w:color w:val="000000"/>
          <w:spacing w:val="0"/>
          <w:w w:val="100"/>
          <w:position w:val="0"/>
        </w:rPr>
        <w:t>，下半年归属于上市公司股东的净利润占全年归属于上市公司股东的净利润的</w:t>
      </w:r>
      <w:r>
        <w:rPr>
          <w:rFonts w:ascii="Times New Roman" w:eastAsia="Times New Roman" w:hAnsi="Times New Roman" w:cs="Times New Roman"/>
          <w:color w:val="000000"/>
          <w:spacing w:val="0"/>
          <w:w w:val="100"/>
          <w:position w:val="0"/>
        </w:rPr>
        <w:t>123.05%</w:t>
      </w:r>
      <w:r>
        <w:rPr>
          <w:color w:val="000000"/>
          <w:spacing w:val="0"/>
          <w:w w:val="100"/>
          <w:position w:val="0"/>
        </w:rPr>
        <w:t>，其中第四 季度归属于上市公司股东的净利润占全年的</w:t>
      </w:r>
      <w:r>
        <w:rPr>
          <w:rFonts w:ascii="Times New Roman" w:eastAsia="Times New Roman" w:hAnsi="Times New Roman" w:cs="Times New Roman"/>
          <w:color w:val="000000"/>
          <w:spacing w:val="0"/>
          <w:w w:val="100"/>
          <w:position w:val="0"/>
        </w:rPr>
        <w:t>97.62%</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6"/>
      <w:bookmarkEnd w:id="117"/>
      <w:bookmarkEnd w:id="119"/>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1,564,103,745.01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546,229,027.18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347,942,369.19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41,892,664.96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1,097,134,160.30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414,766,817.08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485,219,958.21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102,749,813.80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375,873,532.90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159,879,546.42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189,381,798.93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54,912,978.60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250,921,215.53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89,629,349.89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176,491,120.50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94,424,209.38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0"/>
      <w:bookmarkEnd w:id="121"/>
      <w:bookmarkEnd w:id="123"/>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4"/>
      <w:bookmarkEnd w:id="125"/>
      <w:bookmarkEnd w:id="12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8"/>
      <w:bookmarkEnd w:id="129"/>
      <w:bookmarkEnd w:id="131"/>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27,821,292.27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40,873,432.85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软件载 体等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718,114.79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10,796,804.93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9,604,425.40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1,437,914.79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1,836,544.64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1,118,538.18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2,188,701.37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207,840,698.36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152,431,829.02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24,426,857.13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13,829,283.98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3,056,078.78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1,489,993.37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166,485,184.80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116,396,947.05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12,957,998.01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17,525,841.26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87,237,346.06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56,383,424.66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2,332,199.08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733,049.23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235,661,990.63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193,305,261.87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软件载体等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718,114.79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177,281,989.73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126,001,372.45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25,864,771.92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15,665,828.62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3,059,213.78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1,489,993.37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103,642,946.33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76,831,016.52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2"/>
      <w:bookmarkEnd w:id="133"/>
      <w:bookmarkEnd w:id="13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6</w:t>
            </w:r>
            <w:r>
              <w:rPr>
                <w:color w:val="000000"/>
                <w:spacing w:val="0"/>
                <w:w w:val="100"/>
                <w:position w:val="0"/>
              </w:rPr>
              <w:t>月注销，自注销完成之日起不再纳入合并范围</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9</w:t>
            </w:r>
            <w:r>
              <w:rPr>
                <w:color w:val="000000"/>
                <w:spacing w:val="0"/>
                <w:w w:val="100"/>
                <w:position w:val="0"/>
              </w:rPr>
              <w:t>月注销，自注销完成之日起不再纳入合并范围</w:t>
            </w:r>
          </w:p>
        </w:tc>
      </w:tr>
    </w:tbl>
    <w:p>
      <w:pPr>
        <w:widowControl w:val="0"/>
        <w:spacing w:after="259" w:line="1" w:lineRule="exact"/>
      </w:pPr>
    </w:p>
    <w:p>
      <w:pPr>
        <w:pStyle w:val="Style22"/>
        <w:keepNext w:val="0"/>
        <w:keepLines w:val="0"/>
        <w:widowControl w:val="0"/>
        <w:shd w:val="clear" w:color="auto" w:fill="auto"/>
        <w:bidi w:val="0"/>
        <w:spacing w:before="0" w:after="380" w:line="317" w:lineRule="exact"/>
        <w:ind w:left="0" w:right="0" w:firstLine="0"/>
        <w:jc w:val="left"/>
      </w:pPr>
      <w:bookmarkStart w:id="136" w:name="bookmark136"/>
      <w:r>
        <w:rPr>
          <w:rFonts w:ascii="Times New Roman" w:eastAsia="Times New Roman" w:hAnsi="Times New Roman" w:cs="Times New Roman"/>
          <w:color w:val="000000"/>
          <w:spacing w:val="0"/>
          <w:w w:val="100"/>
          <w:position w:val="0"/>
        </w:rPr>
        <w:t>3</w:t>
      </w:r>
      <w:bookmarkEnd w:id="136"/>
      <w:r>
        <w:rPr>
          <w:color w:val="000000"/>
          <w:spacing w:val="0"/>
          <w:w w:val="100"/>
          <w:position w:val="0"/>
        </w:rPr>
        <w:t>、公司本期吸收合并全资子公司吉林省博思金财科技有限公司（以下简称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吉林金财</w:t>
      </w:r>
      <w:r>
        <w:rPr>
          <w:rFonts w:ascii="Times New Roman" w:eastAsia="Times New Roman" w:hAnsi="Times New Roman" w:cs="Times New Roman"/>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月，吉林金财所有资 产、债权、债务等已完成变更或处置，并取得了长春市市场监督管理局南关分局出具的《准予注销登记通知书》，准予吉林 金财注销登记。至此，公司吸收合并吉林金财的相关手续已全部办理完毕，吉林金财的独立法人资格已被注销，其全部资产、 债权债务及其他一切权利和义务均由公司依法承继。</w:t>
      </w:r>
    </w:p>
    <w:p>
      <w:pPr>
        <w:pStyle w:val="Style33"/>
        <w:keepNext/>
        <w:keepLines/>
        <w:widowControl w:val="0"/>
        <w:shd w:val="clear" w:color="auto" w:fill="auto"/>
        <w:tabs>
          <w:tab w:pos="493" w:val="left"/>
        </w:tabs>
        <w:bidi w:val="0"/>
        <w:spacing w:before="0" w:after="2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22"/>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96,233,694.89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6.15%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21,654,737.38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20,312,784.85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19,087,644.33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18,432,652.93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16,745,875.40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96,233,694.89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6.15%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44,668,950.72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14,281,077.79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9,222,321.94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7,872,513.03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7,527,943.85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5,765,094.11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44,668,950.72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99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253,043,369.58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173,259,000.14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主要是报告期销售人员薪酬与人数 同时增加，开拓市场相应投入的差旅 费和招待费增加，及实施新一期股权</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激励计划而增加的激励费用共同影 响所致。</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238,335,424.32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161,638,055.11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主要是报告期管理人员薪酬与人数 同时增加，及实施新一期股权激励计 划而增加的激励费用影响所致。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-369,310.04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3,009,206.47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主要是报告期存款利息增加所致。</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241,068,581.83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167,084,103.25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主要是报告期研发人员薪酬与人数 同时增加，及实施新一期股权激励计 划而增加的激励费用影响所致。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医疗电子票据系统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按照医院管理要求建设 医院电子票据管理系 统，部署在本地与</w:t>
            </w:r>
            <w:r>
              <w:rPr>
                <w:rFonts w:ascii="Times New Roman" w:eastAsia="Times New Roman" w:hAnsi="Times New Roman" w:cs="Times New Roman"/>
                <w:color w:val="000000"/>
                <w:spacing w:val="0"/>
                <w:w w:val="100"/>
                <w:position w:val="0"/>
              </w:rPr>
              <w:t xml:space="preserve">HIS </w:t>
            </w:r>
            <w:r>
              <w:rPr>
                <w:color w:val="000000"/>
                <w:spacing w:val="0"/>
                <w:w w:val="100"/>
                <w:position w:val="0"/>
              </w:rPr>
              <w:t>系统对接，实现医疗票 据的申领、分发、开具、 存档管理，满足医院财 政电子票据管理的基础 需求。并可提供多渠道 交付、对账、自动入账、 院内凭证电子化、电子 档案等增值服务。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总体处于验收阶段， 全国应用推广中。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满足医疗电子票据改革的需 要，严格遵循财政部的财政 电子票据管理改革的标准规 范和业务要求，实现医疗电 子票据管理流程。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医疗电子票据项目在全国深 度应用，并不断向区县及基 层医疗纵深推进。打造专业 化产品，提高我司电子票据 领域的核心竞争力。</w:t>
            </w:r>
          </w:p>
        </w:tc>
      </w:tr>
      <w:tr>
        <w:trPr>
          <w:trHeight w:val="540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基于云计算与大数 据技术的非税收缴 电子化管理系统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非税收入收缴管理系统 创新实现非税收入收缴 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服务体系， 以信息化手段提高非税 收入管理的规范性和非 税收入收缴效率，提升 非税收入的精细化管 理水平。按照自动化、 规范化的原则制定业务 流程标准，对非税收缴 电子化业务实行订单 式管理，实现资金流和 信息流的自动匹配；构 建查询缴款、推送缴款、 虚拟账号缴款、划缴等 非税收入缴款业务流 程，满足社会公众多样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项目试点总结与优 化，取得阶段性的进 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在公司现有产业链的基础 上，构建更加科学、高效、 便捷的非税收缴电子化管理 系统，为业务开展提供重要 支撑，保障数据安全，全流 程电子化闭环管理，提升资 金周转效率，提升财政非税 收入精细化管理水平，以提 升服务质量，并大幅提高系 统的整体性能和稳定性。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依托我司现有的全国产品市 场，深耕政府非税收入业务 领域产品，加大非税收入收 缴产品的推进，持续进行产 品创新对公司现有产品进行 功能扩展、技术升级、规模 扩大，延伸产品线，完善产 品结构；同时增强技术研发 以及市场运维网络覆盖和服 务能力，这将满足客户应用 不断深化与多样化的需要， 使公司在同行业中继续保持 技术和产品优势地位，进一 步提升公司的核心竞争力， 并且后续服务和软件产品的 更新换代可为公司带来持续 稳定的业绩增长。</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化的缴款需求；建立自 动化对账、分成与退付 机制，提升非税收入业 务处理效率；建立电子 缴库管理流程，实现政 府非税收入直接缴入国 库单一账户。</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基于云计算和大数据技 术对原有系统进行升级 技术和业务改造，产品 功能和业务上满足缴款 书电子化改革的要求， 推进非税收缴全流程电 子化管理能力，实现资 金收缴、资金缴库、资 金退库、收入调整，全 流程电子化闭环管理， 提升资金周转效率，提 升财政非税收入精细化 管理水平，以提升服务 质量。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票据云服务</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票据云服务</w:t>
            </w:r>
            <w:r>
              <w:rPr>
                <w:rFonts w:ascii="Times New Roman" w:eastAsia="Times New Roman" w:hAnsi="Times New Roman" w:cs="Times New Roman"/>
                <w:color w:val="000000"/>
                <w:spacing w:val="0"/>
                <w:w w:val="100"/>
                <w:position w:val="0"/>
              </w:rPr>
              <w:t>Saas</w:t>
            </w:r>
            <w:r>
              <w:rPr>
                <w:color w:val="000000"/>
                <w:spacing w:val="0"/>
                <w:w w:val="100"/>
                <w:position w:val="0"/>
              </w:rPr>
              <w:t>平台是 对现有行业电子票据管 理产品的</w:t>
            </w:r>
            <w:r>
              <w:rPr>
                <w:rFonts w:ascii="Times New Roman" w:eastAsia="Times New Roman" w:hAnsi="Times New Roman" w:cs="Times New Roman"/>
                <w:color w:val="000000"/>
                <w:spacing w:val="0"/>
                <w:w w:val="100"/>
                <w:position w:val="0"/>
              </w:rPr>
              <w:t>Saas</w:t>
            </w:r>
            <w:r>
              <w:rPr>
                <w:color w:val="000000"/>
                <w:spacing w:val="0"/>
                <w:w w:val="100"/>
                <w:position w:val="0"/>
              </w:rPr>
              <w:t xml:space="preserve">化升级改 造，满足跨地区、跨行 业的单位、部门电子票 据全流程业务应用需 求，支撑线上线下运营 推广，探索商务模式创 新的互联网架构平台。 该项目提供电子票据 </w:t>
            </w:r>
            <w:r>
              <w:rPr>
                <w:rFonts w:ascii="Times New Roman" w:eastAsia="Times New Roman" w:hAnsi="Times New Roman" w:cs="Times New Roman"/>
                <w:color w:val="000000"/>
                <w:spacing w:val="0"/>
                <w:w w:val="100"/>
                <w:position w:val="0"/>
              </w:rPr>
              <w:t>Saas</w:t>
            </w:r>
            <w:r>
              <w:rPr>
                <w:color w:val="000000"/>
                <w:spacing w:val="0"/>
                <w:w w:val="100"/>
                <w:position w:val="0"/>
              </w:rPr>
              <w:t>应用模式，是支撑 线上线下运营、快速推 广的新型</w:t>
            </w:r>
            <w:r>
              <w:rPr>
                <w:rFonts w:ascii="Times New Roman" w:eastAsia="Times New Roman" w:hAnsi="Times New Roman" w:cs="Times New Roman"/>
                <w:color w:val="000000"/>
                <w:spacing w:val="0"/>
                <w:w w:val="100"/>
                <w:position w:val="0"/>
              </w:rPr>
              <w:t>B</w:t>
            </w:r>
            <w:r>
              <w:rPr>
                <w:color w:val="000000"/>
                <w:spacing w:val="0"/>
                <w:w w:val="100"/>
                <w:position w:val="0"/>
              </w:rPr>
              <w:t>端互联网平 台，采用五层云化架构 和分布式微服务等技 术，全面适配信创体系， 满足跨地区、跨行业单 位电子票据业务的集中 应用，提高了非税票据 产品的核心竞争力，保 障公司产品和业务的先 进性及持续稳健发展。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取得阶段性的进展， 全国应用推广中。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构建多租户</w:t>
            </w:r>
            <w:r>
              <w:rPr>
                <w:rFonts w:ascii="Times New Roman" w:eastAsia="Times New Roman" w:hAnsi="Times New Roman" w:cs="Times New Roman"/>
                <w:color w:val="000000"/>
                <w:spacing w:val="0"/>
                <w:w w:val="100"/>
                <w:position w:val="0"/>
              </w:rPr>
              <w:t>SaaS</w:t>
            </w:r>
            <w:r>
              <w:rPr>
                <w:color w:val="000000"/>
                <w:spacing w:val="0"/>
                <w:w w:val="100"/>
                <w:position w:val="0"/>
              </w:rPr>
              <w:t>应用模式 的行业电子票据产品，满足 跨地区、跨行业单位电子票 据业务集中应用需求，支撑 公司前后端部门快速运营推 广，实现</w:t>
            </w:r>
            <w:r>
              <w:rPr>
                <w:rFonts w:ascii="Times New Roman" w:eastAsia="Times New Roman" w:hAnsi="Times New Roman" w:cs="Times New Roman"/>
                <w:color w:val="000000"/>
                <w:spacing w:val="0"/>
                <w:w w:val="100"/>
                <w:position w:val="0"/>
              </w:rPr>
              <w:t>“</w:t>
            </w:r>
            <w:r>
              <w:rPr>
                <w:color w:val="000000"/>
                <w:spacing w:val="0"/>
                <w:w w:val="100"/>
                <w:position w:val="0"/>
              </w:rPr>
              <w:t>分散应用、集中管 理、集中运营</w:t>
            </w:r>
            <w:r>
              <w:rPr>
                <w:rFonts w:ascii="Times New Roman" w:eastAsia="Times New Roman" w:hAnsi="Times New Roman" w:cs="Times New Roman"/>
                <w:color w:val="000000"/>
                <w:spacing w:val="0"/>
                <w:w w:val="100"/>
                <w:position w:val="0"/>
              </w:rPr>
              <w:t>”</w:t>
            </w:r>
            <w:r>
              <w:rPr>
                <w:color w:val="000000"/>
                <w:spacing w:val="0"/>
                <w:w w:val="100"/>
                <w:position w:val="0"/>
              </w:rPr>
              <w:t>，探索新型商 务模式的互联网平台。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提供行业电子票据标准云产 品服务、增值服务和定制服 务，平台具备持续向全地区 全行业全面推广和纵深经营 的能力，可满足跨地区、跨 行业电子票据的差异化服务 的需要；同时，云服务模式 整合公司实施运维力量，为 全国分散应用的单位提供专 业化的运维支撑，构建更专 业化的运维服务体系，提升 行业</w:t>
            </w:r>
            <w:r>
              <w:rPr>
                <w:rFonts w:ascii="Times New Roman" w:eastAsia="Times New Roman" w:hAnsi="Times New Roman" w:cs="Times New Roman"/>
                <w:color w:val="000000"/>
                <w:spacing w:val="0"/>
                <w:w w:val="100"/>
                <w:position w:val="0"/>
              </w:rPr>
              <w:t>V</w:t>
            </w:r>
            <w:r>
              <w:rPr>
                <w:color w:val="000000"/>
                <w:spacing w:val="0"/>
                <w:w w:val="100"/>
                <w:position w:val="0"/>
              </w:rPr>
              <w:t>平台的使用单位数， 降低实时运维成本；产品和 服务模式的转变将给公司带 来持续稳定的收入。</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基于云化、集中化 的预算管理一体化 系统项目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立足财政部预算管理一 体化改革要求，涵盖基 础信息、项目库、预算 编制、预算批复、预算 调整与调剂、预算执行、 会计核算、决算和报告 等预算管理全流程，符 合财政部发布的业务规 范与技术标准。同时构 建预算管理的技术中 台、业务中台、数据中 台架构，适配信创软硬 件环境，快速支撑业务 发展与业务创新，使系 统更加智能化。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系统主体功能已开 发完成，在部分省市 应用。</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16"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符合财政部业务规范与技 术标准；</w:t>
            </w:r>
          </w:p>
          <w:p>
            <w:pPr>
              <w:pStyle w:val="Style24"/>
              <w:keepNext w:val="0"/>
              <w:keepLines w:val="0"/>
              <w:widowControl w:val="0"/>
              <w:shd w:val="clear" w:color="auto" w:fill="auto"/>
              <w:tabs>
                <w:tab w:pos="226" w:val="left"/>
              </w:tabs>
              <w:bidi w:val="0"/>
              <w:spacing w:before="0" w:after="6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为财政业务规范改革的省 份提供产品支撑；</w:t>
            </w:r>
          </w:p>
          <w:p>
            <w:pPr>
              <w:pStyle w:val="Style24"/>
              <w:keepNext w:val="0"/>
              <w:keepLines w:val="0"/>
              <w:widowControl w:val="0"/>
              <w:shd w:val="clear" w:color="auto" w:fill="auto"/>
              <w:tabs>
                <w:tab w:pos="269"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适配信创软硬件环境。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巩固在财政核心业务领域的 主导地位，为拓展数据分析、 软件整合等相关业务提供机 会</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政付通云平台持续</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迭代开发项目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在现有政付通云平台基 础上，实行全线品牌化 战略，打造</w:t>
            </w:r>
            <w:r>
              <w:rPr>
                <w:rFonts w:ascii="Times New Roman" w:eastAsia="Times New Roman" w:hAnsi="Times New Roman" w:cs="Times New Roman"/>
                <w:color w:val="000000"/>
                <w:spacing w:val="0"/>
                <w:w w:val="100"/>
                <w:position w:val="0"/>
              </w:rPr>
              <w:t>“</w:t>
            </w:r>
            <w:r>
              <w:rPr>
                <w:color w:val="000000"/>
                <w:spacing w:val="0"/>
                <w:w w:val="100"/>
                <w:position w:val="0"/>
              </w:rPr>
              <w:t>政付通</w:t>
            </w:r>
            <w:r>
              <w:rPr>
                <w:rFonts w:ascii="Times New Roman" w:eastAsia="Times New Roman" w:hAnsi="Times New Roman" w:cs="Times New Roman"/>
                <w:color w:val="000000"/>
                <w:spacing w:val="0"/>
                <w:w w:val="100"/>
                <w:position w:val="0"/>
              </w:rPr>
              <w:t>”</w:t>
            </w:r>
            <w:r>
              <w:rPr>
                <w:color w:val="000000"/>
                <w:spacing w:val="0"/>
                <w:w w:val="100"/>
                <w:position w:val="0"/>
              </w:rPr>
              <w:t xml:space="preserve">与 </w:t>
            </w:r>
            <w:r>
              <w:rPr>
                <w:rFonts w:ascii="Times New Roman" w:eastAsia="Times New Roman" w:hAnsi="Times New Roman" w:cs="Times New Roman"/>
                <w:color w:val="000000"/>
                <w:spacing w:val="0"/>
                <w:w w:val="100"/>
                <w:position w:val="0"/>
              </w:rPr>
              <w:t>“</w:t>
            </w:r>
            <w:r>
              <w:rPr>
                <w:color w:val="000000"/>
                <w:spacing w:val="0"/>
                <w:w w:val="100"/>
                <w:position w:val="0"/>
              </w:rPr>
              <w:t>各省统一支付</w:t>
            </w:r>
            <w:r>
              <w:rPr>
                <w:rFonts w:ascii="Times New Roman" w:eastAsia="Times New Roman" w:hAnsi="Times New Roman" w:cs="Times New Roman"/>
                <w:color w:val="000000"/>
                <w:spacing w:val="0"/>
                <w:w w:val="100"/>
                <w:position w:val="0"/>
              </w:rPr>
              <w:t>”</w:t>
            </w:r>
            <w:r>
              <w:rPr>
                <w:color w:val="000000"/>
                <w:spacing w:val="0"/>
                <w:w w:val="100"/>
                <w:position w:val="0"/>
              </w:rPr>
              <w:t>双线品 牌。持续完善主线产品 能力，通过交易平台</w:t>
            </w:r>
            <w:r>
              <w:rPr>
                <w:rFonts w:ascii="Times New Roman" w:eastAsia="Times New Roman" w:hAnsi="Times New Roman" w:cs="Times New Roman"/>
                <w:color w:val="000000"/>
                <w:spacing w:val="0"/>
                <w:w w:val="100"/>
                <w:position w:val="0"/>
              </w:rPr>
              <w:t xml:space="preserve">V2 </w:t>
            </w:r>
            <w:r>
              <w:rPr>
                <w:color w:val="000000"/>
                <w:spacing w:val="0"/>
                <w:w w:val="100"/>
                <w:position w:val="0"/>
              </w:rPr>
              <w:t>继续加强稳定及业务灵 活性，商户平台配合需 求运营实用落地，面向 商户快速推进，初步形 成数据中心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项目采用持续迭代 模式，品牌化、运营 管理已经部分上线， 交易平台</w:t>
            </w:r>
            <w:r>
              <w:rPr>
                <w:rFonts w:ascii="Times New Roman" w:eastAsia="Times New Roman" w:hAnsi="Times New Roman" w:cs="Times New Roman"/>
                <w:color w:val="000000"/>
                <w:spacing w:val="0"/>
                <w:w w:val="100"/>
                <w:position w:val="0"/>
              </w:rPr>
              <w:t>V2</w:t>
            </w:r>
            <w:r>
              <w:rPr>
                <w:color w:val="000000"/>
                <w:spacing w:val="0"/>
                <w:w w:val="100"/>
                <w:position w:val="0"/>
              </w:rPr>
              <w:t>升级进 入测试阶段。</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16"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实行政付通全线品牌化战 略；</w:t>
            </w:r>
          </w:p>
          <w:p>
            <w:pPr>
              <w:pStyle w:val="Style24"/>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持续完善主线产品能力。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加强对现有业务的支撑能</w:t>
            </w:r>
          </w:p>
          <w:p>
            <w:pPr>
              <w:pStyle w:val="Style24"/>
              <w:keepNext w:val="0"/>
              <w:keepLines w:val="0"/>
              <w:widowControl w:val="0"/>
              <w:shd w:val="clear" w:color="auto" w:fill="auto"/>
              <w:bidi w:val="0"/>
              <w:spacing w:before="0" w:after="220" w:line="302" w:lineRule="exact"/>
              <w:ind w:left="0" w:right="0" w:firstLine="0"/>
              <w:jc w:val="left"/>
            </w:pPr>
            <w:r>
              <w:rPr>
                <w:color w:val="000000"/>
                <w:spacing w:val="0"/>
                <w:w w:val="100"/>
                <w:position w:val="0"/>
              </w:rPr>
              <w:t>力，为后续丰富周边产品服 务、拓展生态链奠定基础</w:t>
            </w:r>
          </w:p>
          <w:p>
            <w:pPr>
              <w:pStyle w:val="Style24"/>
              <w:keepNext w:val="0"/>
              <w:keepLines w:val="0"/>
              <w:widowControl w:val="0"/>
              <w:shd w:val="clear" w:color="auto" w:fill="auto"/>
              <w:bidi w:val="0"/>
              <w:spacing w:before="0" w:after="120" w:line="350" w:lineRule="auto"/>
              <w:ind w:left="0" w:right="0" w:firstLine="0"/>
              <w:jc w:val="left"/>
            </w:pPr>
            <w:r>
              <w:rPr>
                <w:rFonts w:ascii="Times New Roman" w:eastAsia="Times New Roman" w:hAnsi="Times New Roman" w:cs="Times New Roman"/>
                <w:color w:val="000000"/>
                <w:spacing w:val="0"/>
                <w:w w:val="100"/>
                <w:position w:val="0"/>
              </w:rPr>
              <w:t>"</w:t>
            </w:r>
          </w:p>
        </w:tc>
      </w:tr>
      <w:tr>
        <w:trPr>
          <w:trHeight w:val="53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政府采购商品价格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监测云平台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、大数 据、云计算技术，通过 智能语义和分析系统， 采集和共享多个公开的 政府采购网上商城、综 合电商的商品信息，建 立统一的标准商品库， 并运用科学合理的模型 形成商品合理的公采价 格指数，建立商品入库 或下架的合理控制价， 有效控制商品价格，为 商品提供全国多个地方 的价格参照，帮助电子 卖场的建设主体更好开 展电子卖场业务管理工 作，提升电子卖场服务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总体处于验收阶段， 部分产品进行试点 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增加公司政府采购电子卖场 的运营服务内容，建立政府 采购全网价格监测体系。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提升电子卖场运营服务价 值，增加技术储备，提升公 司在政府采购领域的竞争 力。</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依托价格监测服务积累的标 准商品信息和标准参数维护 体系运营成果，快速形成完 善的需求标准化管理体系， 满足政府采购领域客户需 求，在框架协议采购电子化 平台建设、运营服务能力方 面抢占先机，拓展赛道宽度， 进一步拉大公司在政府采购 领域竞争优势。</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水平。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政府采购一体化服 务云平台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从全面监管的角度出发 进行顶层设计，研发覆 盖政府采购全业务的综 合平台；实现政府采购 监管、服务和执行一体 化，规范政府采购全流 程电子化运行，通过与 互联网、大数据、云计 算、区块链和人工智能 等新技术的深度融合， 提高政府采购执行效 率、贯彻各类政府采购 政策要求，推动政府采 购向数字化、智能化转 型，为建立统一开放、 公开透明、竞争有序的 政府采购市场，打造一 流营商环境和提升政府 治理能力提供有力支 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总体处于验收阶段， 部分产品进行试点 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通过平台建设，满足政府部 门对政府采购全流程电子化 管理的需求，做到全过程电 子化操作和监督管理。满足 政府部门优化营商环境和数 字化治理的业务要求，在全 国政府采购领域推广。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有利于整合现有的产品和业 务资源，帮助夯实和扩展公 司在政府采购领域的发展， 增强公司在政府采购领域的 协同效应，进一步实现强化 公司政府采购业务的核心竞 争力。</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政府统一支付公共 平台（政府电子缴 费公共服务平台）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该项目打造城市</w:t>
            </w:r>
            <w:r>
              <w:rPr>
                <w:rFonts w:ascii="Times New Roman" w:eastAsia="Times New Roman" w:hAnsi="Times New Roman" w:cs="Times New Roman"/>
                <w:color w:val="000000"/>
                <w:spacing w:val="0"/>
                <w:w w:val="100"/>
                <w:position w:val="0"/>
              </w:rPr>
              <w:t>“</w:t>
            </w:r>
            <w:r>
              <w:rPr>
                <w:color w:val="000000"/>
                <w:spacing w:val="0"/>
                <w:w w:val="100"/>
                <w:position w:val="0"/>
              </w:rPr>
              <w:t>支付</w:t>
            </w:r>
            <w:r>
              <w:rPr>
                <w:rFonts w:ascii="Times New Roman" w:eastAsia="Times New Roman" w:hAnsi="Times New Roman" w:cs="Times New Roman"/>
                <w:color w:val="000000"/>
                <w:spacing w:val="0"/>
                <w:w w:val="100"/>
                <w:position w:val="0"/>
              </w:rPr>
              <w:t xml:space="preserve">” </w:t>
            </w:r>
            <w:r>
              <w:rPr>
                <w:color w:val="000000"/>
                <w:spacing w:val="0"/>
                <w:w w:val="100"/>
                <w:position w:val="0"/>
              </w:rPr>
              <w:t>基础设施，面向政府、 商户及市民提供便捷的 支付接入服务及便民的 办缴票一站式应用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总体处于产品提升 阶段，部分产品已在 试点。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为政府打造统一的支付平 台，接入更多支付场景应用， 服务更多的市民，在全国市 场推广。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项目有助于公司在智慧城市 领域的深耕，通过底座触达 更多的业务范围，夯实公司 在智慧城市基础，提升竞争 力。</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一码通平台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项目以码为载体，打造 城市</w:t>
            </w:r>
            <w:r>
              <w:rPr>
                <w:rFonts w:ascii="Times New Roman" w:eastAsia="Times New Roman" w:hAnsi="Times New Roman" w:cs="Times New Roman"/>
                <w:color w:val="000000"/>
                <w:spacing w:val="0"/>
                <w:w w:val="100"/>
                <w:position w:val="0"/>
              </w:rPr>
              <w:t>“</w:t>
            </w:r>
            <w:r>
              <w:rPr>
                <w:color w:val="000000"/>
                <w:spacing w:val="0"/>
                <w:w w:val="100"/>
                <w:position w:val="0"/>
              </w:rPr>
              <w:t>码上服务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，构建 </w:t>
            </w:r>
            <w:r>
              <w:rPr>
                <w:rFonts w:ascii="Times New Roman" w:eastAsia="Times New Roman" w:hAnsi="Times New Roman" w:cs="Times New Roman"/>
                <w:color w:val="000000"/>
                <w:spacing w:val="0"/>
                <w:w w:val="100"/>
                <w:position w:val="0"/>
              </w:rPr>
              <w:t>“</w:t>
            </w:r>
            <w:r>
              <w:rPr>
                <w:color w:val="000000"/>
                <w:spacing w:val="0"/>
                <w:w w:val="100"/>
                <w:position w:val="0"/>
              </w:rPr>
              <w:t>一人一码、一事一码、 一物一码、一企一码</w:t>
            </w:r>
            <w:r>
              <w:rPr>
                <w:rFonts w:ascii="Times New Roman" w:eastAsia="Times New Roman" w:hAnsi="Times New Roman" w:cs="Times New Roman"/>
                <w:color w:val="000000"/>
                <w:spacing w:val="0"/>
                <w:w w:val="100"/>
                <w:position w:val="0"/>
              </w:rPr>
              <w:t>”</w:t>
            </w:r>
            <w:r>
              <w:rPr>
                <w:color w:val="000000"/>
                <w:spacing w:val="0"/>
                <w:w w:val="100"/>
                <w:position w:val="0"/>
              </w:rPr>
              <w:t>的 公共服务体系，创新便 民的服务应用。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总体处于研发提升 阶段，部分产品已在 试点。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通过码平台，触达更多的码 场景应用，提升市民城市生 活服务体验，在全国市场推 广。</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项目有助于公司在智慧城市 领域的深耕，通过底座触达 更多的业务范围，夯实公司 在智慧城市基础，提升竞争 力。</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41~50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241,068,581.83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167,084,103.25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132,007,019.18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实施进度</w:t>
            </w:r>
          </w:p>
        </w:tc>
      </w:tr>
      <w:tr>
        <w:trPr>
          <w:trHeight w:val="127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1,702,732,561.12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1,167,949,944.46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1,392,728,699.53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982,698,962.80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310,003,861.59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185,250,981.66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445,632,019.12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691,370,516.78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682,990,421.29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565,662,706.10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-237,358,402.17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125,707,810.68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215,615,248.87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266,216,918.66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393,361,489.97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239,824,844.45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-177,746,241.10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26,392,074.21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-105,100,781.68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337,350,866.55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-131.15%</w:t>
            </w:r>
          </w:p>
        </w:tc>
      </w:tr>
    </w:tbl>
    <w:p>
      <w:pPr>
        <w:pStyle w:val="Style22"/>
        <w:keepNext w:val="0"/>
        <w:keepLines w:val="0"/>
        <w:widowControl w:val="0"/>
        <w:shd w:val="clear" w:color="auto" w:fill="auto"/>
        <w:bidi w:val="0"/>
        <w:spacing w:before="0" w:after="140" w:line="322" w:lineRule="exact"/>
        <w:ind w:left="0" w:right="0" w:firstLine="0"/>
        <w:jc w:val="both"/>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经营活动现金流入小计较上年增长</w:t>
      </w:r>
      <w:r>
        <w:rPr>
          <w:rFonts w:ascii="Times New Roman" w:eastAsia="Times New Roman" w:hAnsi="Times New Roman" w:cs="Times New Roman"/>
          <w:color w:val="000000"/>
          <w:spacing w:val="0"/>
          <w:w w:val="100"/>
          <w:position w:val="0"/>
        </w:rPr>
        <w:t>45.79%</w:t>
      </w:r>
      <w:r>
        <w:rPr>
          <w:color w:val="000000"/>
          <w:spacing w:val="0"/>
          <w:w w:val="100"/>
          <w:position w:val="0"/>
        </w:rPr>
        <w:t>，主要是公司加强应收账款管理，销售商品提供劳务资金回笼良好所致。</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经营活动现金流出小计较上年增长</w:t>
      </w:r>
      <w:r>
        <w:rPr>
          <w:rFonts w:ascii="Times New Roman" w:eastAsia="Times New Roman" w:hAnsi="Times New Roman" w:cs="Times New Roman"/>
          <w:color w:val="000000"/>
          <w:spacing w:val="0"/>
          <w:w w:val="100"/>
          <w:position w:val="0"/>
        </w:rPr>
        <w:t>41.72%</w:t>
      </w:r>
      <w:r>
        <w:rPr>
          <w:color w:val="000000"/>
          <w:spacing w:val="0"/>
          <w:w w:val="100"/>
          <w:position w:val="0"/>
        </w:rPr>
        <w:t>，主要是人工成本支出增加，以及支付的各项税费增长共同影响所致。</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投资活动现金流入小计较上年下降</w:t>
      </w:r>
      <w:r>
        <w:rPr>
          <w:rFonts w:ascii="Times New Roman" w:eastAsia="Times New Roman" w:hAnsi="Times New Roman" w:cs="Times New Roman"/>
          <w:color w:val="000000"/>
          <w:spacing w:val="0"/>
          <w:w w:val="100"/>
          <w:position w:val="0"/>
        </w:rPr>
        <w:t>35.54%</w:t>
      </w:r>
      <w:r>
        <w:rPr>
          <w:color w:val="000000"/>
          <w:spacing w:val="0"/>
          <w:w w:val="100"/>
          <w:position w:val="0"/>
        </w:rPr>
        <w:t>，主要是与上年同期对比，本期收回的理财投资的本金和利息同时减少影响所致。</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投资活动现金流出小计较上年增长</w:t>
      </w:r>
      <w:r>
        <w:rPr>
          <w:rFonts w:ascii="Times New Roman" w:eastAsia="Times New Roman" w:hAnsi="Times New Roman" w:cs="Times New Roman"/>
          <w:color w:val="000000"/>
          <w:spacing w:val="0"/>
          <w:w w:val="100"/>
          <w:position w:val="0"/>
        </w:rPr>
        <w:t>20.74%</w:t>
      </w:r>
      <w:r>
        <w:rPr>
          <w:color w:val="000000"/>
          <w:spacing w:val="0"/>
          <w:w w:val="100"/>
          <w:position w:val="0"/>
        </w:rPr>
        <w:t>，主要是子公司增加在建工程，以及报告期内增加理财投资共同影响所致。</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筹资活动现金流入小计较上年下降</w:t>
      </w:r>
      <w:r>
        <w:rPr>
          <w:rFonts w:ascii="Times New Roman" w:eastAsia="Times New Roman" w:hAnsi="Times New Roman" w:cs="Times New Roman"/>
          <w:color w:val="000000"/>
          <w:spacing w:val="0"/>
          <w:w w:val="100"/>
          <w:position w:val="0"/>
        </w:rPr>
        <w:t>19.01%</w:t>
      </w:r>
      <w:r>
        <w:rPr>
          <w:color w:val="000000"/>
          <w:spacing w:val="0"/>
          <w:w w:val="100"/>
          <w:position w:val="0"/>
        </w:rPr>
        <w:t>，主要是本期银行借款减少所致。</w:t>
      </w:r>
    </w:p>
    <w:p>
      <w:pPr>
        <w:pStyle w:val="Style2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筹资活动现金流出小计较上年增长</w:t>
      </w:r>
      <w:r>
        <w:rPr>
          <w:rFonts w:ascii="Times New Roman" w:eastAsia="Times New Roman" w:hAnsi="Times New Roman" w:cs="Times New Roman"/>
          <w:color w:val="000000"/>
          <w:spacing w:val="0"/>
          <w:w w:val="100"/>
          <w:position w:val="0"/>
        </w:rPr>
        <w:t>64.02%</w:t>
      </w:r>
      <w:r>
        <w:rPr>
          <w:color w:val="000000"/>
          <w:spacing w:val="0"/>
          <w:w w:val="100"/>
          <w:position w:val="0"/>
        </w:rPr>
        <w:t>，主要是报告期内偿还借款和分配股利增加，同时依据新租赁准则增加列报偿还 租赁负债本金和利息共同影响所致。</w:t>
      </w:r>
    </w:p>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五</w:t>
      </w:r>
      <w:bookmarkEnd w:id="155"/>
      <w:r>
        <w:rPr>
          <w:color w:val="000000"/>
          <w:spacing w:val="0"/>
          <w:w w:val="100"/>
          <w:position w:val="0"/>
          <w:sz w:val="24"/>
          <w:szCs w:val="24"/>
        </w:rPr>
        <w:t>、非主营业务情况</w:t>
      </w:r>
      <w:bookmarkEnd w:id="153"/>
      <w:bookmarkEnd w:id="154"/>
      <w:bookmarkEnd w:id="156"/>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4,430,423.29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主要是对联营企业的投资 收益及理财投资收益。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266,386.06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476,883.86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-26,421,637.57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主要是对应收账款计提的 坏账准备金。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32,580,634.39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主要包括增值税退税收入 及政府补助收入。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-57,788.95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六</w:t>
      </w:r>
      <w:bookmarkEnd w:id="159"/>
      <w:r>
        <w:rPr>
          <w:color w:val="000000"/>
          <w:spacing w:val="0"/>
          <w:w w:val="100"/>
          <w:position w:val="0"/>
          <w:sz w:val="24"/>
          <w:szCs w:val="24"/>
        </w:rPr>
        <w:t>、资产及负债状况分析</w:t>
      </w:r>
      <w:bookmarkEnd w:id="157"/>
      <w:bookmarkEnd w:id="158"/>
      <w:bookmarkEnd w:id="160"/>
    </w:p>
    <w:p>
      <w:pPr>
        <w:pStyle w:val="Style33"/>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227"/>
        <w:gridCol w:w="2256"/>
        <w:gridCol w:w="797"/>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848,393,807.4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949,320,556.11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主要系报告期内购买理财、偿还借款 及分配股利、回购股票等各项支出共 同影响所致。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569,546,169.1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447,357,898.72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112,548,537.3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41,877,024.65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17,530,040.06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18,311,565.80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76,652,224.63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56,953,590.13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173,834,592.4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178,243,300.90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131,969,583.2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主要系子公司在建大楼的工程支出。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37,429,028.19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32,534,462.22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42,023,527.78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168,249,534.23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122,338,879.2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79,393,603.77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13,950,921.88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12,146,660.78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tbl>
      <w:tblPr>
        <w:tblOverlap w:val="never"/>
        <w:jc w:val="left"/>
        <w:tblLayout w:type="fixed"/>
      </w:tblPr>
      <w:tblGrid>
        <w:gridCol w:w="2635"/>
        <w:gridCol w:w="2621"/>
        <w:gridCol w:w="3293"/>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5,288,278.34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保函保证金等</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5,288,278.34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其他说明：</w:t>
      </w:r>
    </w:p>
    <w:p>
      <w:pPr>
        <w:pStyle w:val="Style22"/>
        <w:keepNext w:val="0"/>
        <w:keepLines w:val="0"/>
        <w:widowControl w:val="0"/>
        <w:shd w:val="clear" w:color="auto" w:fill="auto"/>
        <w:bidi w:val="0"/>
        <w:spacing w:before="0" w:after="34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日与招商银行福州分行签订《质押合同》，合同编号为</w:t>
      </w:r>
      <w:r>
        <w:rPr>
          <w:rFonts w:ascii="Times New Roman" w:eastAsia="Times New Roman" w:hAnsi="Times New Roman" w:cs="Times New Roman"/>
          <w:color w:val="000000"/>
          <w:spacing w:val="0"/>
          <w:w w:val="100"/>
          <w:position w:val="0"/>
        </w:rPr>
        <w:t>2019</w:t>
      </w:r>
      <w:r>
        <w:rPr>
          <w:color w:val="000000"/>
          <w:spacing w:val="0"/>
          <w:w w:val="100"/>
          <w:position w:val="0"/>
        </w:rPr>
        <w:t>年质字第</w:t>
      </w:r>
      <w:r>
        <w:rPr>
          <w:rFonts w:ascii="Times New Roman" w:eastAsia="Times New Roman" w:hAnsi="Times New Roman" w:cs="Times New Roman"/>
          <w:color w:val="000000"/>
          <w:spacing w:val="0"/>
          <w:w w:val="100"/>
          <w:position w:val="0"/>
        </w:rPr>
        <w:t>A01-000</w:t>
      </w:r>
      <w:r>
        <w:rPr>
          <w:rFonts w:ascii="Times New Roman" w:eastAsia="Times New Roman" w:hAnsi="Times New Roman" w:cs="Times New Roman"/>
          <w:color w:val="000000"/>
          <w:spacing w:val="0"/>
          <w:w w:val="100"/>
          <w:position w:val="0"/>
        </w:rPr>
        <w:t>2</w:t>
      </w:r>
      <w:r>
        <w:rPr>
          <w:color w:val="000000"/>
          <w:spacing w:val="0"/>
          <w:w w:val="100"/>
          <w:position w:val="0"/>
        </w:rPr>
        <w:t>号，公司将持有的子 公司广东瑞联科技有限公司</w:t>
      </w:r>
      <w:r>
        <w:rPr>
          <w:rFonts w:ascii="Times New Roman" w:eastAsia="Times New Roman" w:hAnsi="Times New Roman" w:cs="Times New Roman"/>
          <w:color w:val="000000"/>
          <w:spacing w:val="0"/>
          <w:w w:val="100"/>
          <w:position w:val="0"/>
        </w:rPr>
        <w:t>794.04</w:t>
      </w:r>
      <w:r>
        <w:rPr>
          <w:color w:val="000000"/>
          <w:spacing w:val="0"/>
          <w:w w:val="100"/>
          <w:position w:val="0"/>
        </w:rPr>
        <w:t>万股的股权作为质押物向招商银行福州分行贷款。</w:t>
      </w:r>
      <w:r>
        <w:br w:type="page"/>
      </w:r>
    </w:p>
    <w:p>
      <w:pPr>
        <w:pStyle w:val="Style27"/>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七</w:t>
      </w:r>
      <w:bookmarkEnd w:id="175"/>
      <w:r>
        <w:rPr>
          <w:color w:val="000000"/>
          <w:spacing w:val="0"/>
          <w:w w:val="100"/>
          <w:position w:val="0"/>
          <w:sz w:val="24"/>
          <w:szCs w:val="24"/>
        </w:rPr>
        <w:t>、投资状况分析</w:t>
      </w:r>
      <w:bookmarkEnd w:id="173"/>
      <w:bookmarkEnd w:id="174"/>
      <w:bookmarkEnd w:id="176"/>
    </w:p>
    <w:p>
      <w:pPr>
        <w:pStyle w:val="Style33"/>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361,768,520.80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338,462,729.07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、报告期内获取的重大的股权投资情况</w:t>
      </w:r>
      <w:bookmarkEnd w:id="181"/>
      <w:bookmarkEnd w:id="182"/>
      <w:bookmarkEnd w:id="18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、报告期内正在进行的重大的非股权投资情况</w:t>
      </w:r>
      <w:bookmarkEnd w:id="185"/>
      <w:bookmarkEnd w:id="186"/>
      <w:bookmarkEnd w:id="18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定资产投</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截止报</w:t>
            </w:r>
          </w:p>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告期末</w:t>
            </w:r>
          </w:p>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累计实</w:t>
            </w:r>
          </w:p>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期（如</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披露索 引（如 有）</w:t>
            </w:r>
          </w:p>
        </w:tc>
      </w:tr>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博思人工智能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143,418,</w:t>
            </w:r>
          </w:p>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291.03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171,614,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自筹资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于建设</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巨潮资 讯网</w:t>
            </w:r>
          </w:p>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m.cn</w:t>
            </w:r>
            <w:r>
              <w:rPr>
                <w:color w:val="000000"/>
                <w:spacing w:val="0"/>
                <w:w w:val="100"/>
                <w:position w:val="0"/>
              </w:rPr>
              <w:t>：</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全资子 公司对 产业园 项目增 加投资 额的公 告》</w:t>
            </w:r>
          </w:p>
          <w:p>
            <w:pPr>
              <w:pStyle w:val="Style24"/>
              <w:keepNext w:val="0"/>
              <w:keepLines w:val="0"/>
              <w:widowControl w:val="0"/>
              <w:shd w:val="clear" w:color="auto" w:fill="auto"/>
              <w:bidi w:val="0"/>
              <w:spacing w:before="0" w:after="10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rPr>
              <w:t>-160</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143,418,</w:t>
            </w:r>
          </w:p>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291.03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171,614,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、以公允价值计量的金融资产</w:t>
      </w:r>
      <w:bookmarkEnd w:id="189"/>
      <w:bookmarkEnd w:id="190"/>
      <w:bookmarkEnd w:id="19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、募集资金使用情况</w:t>
      </w:r>
      <w:bookmarkEnd w:id="193"/>
      <w:bookmarkEnd w:id="194"/>
      <w:bookmarkEnd w:id="196"/>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25,296.91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除闲置募 集资金暂 时补充流 动资金</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8,000 </w:t>
            </w:r>
            <w:r>
              <w:rPr>
                <w:color w:val="000000"/>
                <w:spacing w:val="0"/>
                <w:w w:val="100"/>
                <w:position w:val="0"/>
              </w:rPr>
              <w:t>万 元、购买的 尚未到期 的理财产 品</w:t>
            </w:r>
            <w:r>
              <w:rPr>
                <w:rFonts w:ascii="Times New Roman" w:eastAsia="Times New Roman" w:hAnsi="Times New Roman" w:cs="Times New Roman"/>
                <w:color w:val="000000"/>
                <w:spacing w:val="0"/>
                <w:w w:val="100"/>
                <w:position w:val="0"/>
              </w:rPr>
              <w:t>6,000</w:t>
            </w:r>
            <w:r>
              <w:rPr>
                <w:color w:val="000000"/>
                <w:spacing w:val="0"/>
                <w:w w:val="100"/>
                <w:position w:val="0"/>
              </w:rPr>
              <w:t>万 元外，其余 尚未使用 的募集资 金均存放 于募集资 金专户中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25,296.91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19,841.34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358"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实际募集资金金额、资金到位时间</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经中国证券监督管理委员会《关于核准福建博思软件股份有限公司非公开发行股票的批复》（证监许可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2019]899</w:t>
            </w:r>
            <w:r>
              <w:rPr>
                <w:color w:val="000000"/>
                <w:spacing w:val="0"/>
                <w:w w:val="100"/>
                <w:position w:val="0"/>
              </w:rPr>
              <w:t>号）核准， 公司向特定对象非公开发行人民币普通股（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18,211,201</w:t>
            </w:r>
            <w:r>
              <w:rPr>
                <w:color w:val="000000"/>
                <w:spacing w:val="0"/>
                <w:w w:val="100"/>
                <w:position w:val="0"/>
              </w:rPr>
              <w:t>股，发行价格人民币</w:t>
            </w:r>
            <w:r>
              <w:rPr>
                <w:rFonts w:ascii="Times New Roman" w:eastAsia="Times New Roman" w:hAnsi="Times New Roman" w:cs="Times New Roman"/>
                <w:color w:val="000000"/>
                <w:spacing w:val="0"/>
                <w:w w:val="100"/>
                <w:position w:val="0"/>
              </w:rPr>
              <w:t>24.71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股，募集资金总额为人民币 </w:t>
            </w:r>
            <w:r>
              <w:rPr>
                <w:rFonts w:ascii="Times New Roman" w:eastAsia="Times New Roman" w:hAnsi="Times New Roman" w:cs="Times New Roman"/>
                <w:color w:val="000000"/>
                <w:spacing w:val="0"/>
                <w:w w:val="100"/>
                <w:position w:val="0"/>
              </w:rPr>
              <w:t>449,998,776.71</w:t>
            </w:r>
            <w:r>
              <w:rPr>
                <w:color w:val="000000"/>
                <w:spacing w:val="0"/>
                <w:w w:val="100"/>
                <w:position w:val="0"/>
              </w:rPr>
              <w:t>元，扣除各项发行费用（不含税）后的实际募集资金净额为人民币</w:t>
            </w:r>
            <w:r>
              <w:rPr>
                <w:rFonts w:ascii="Times New Roman" w:eastAsia="Times New Roman" w:hAnsi="Times New Roman" w:cs="Times New Roman"/>
                <w:color w:val="000000"/>
                <w:spacing w:val="0"/>
                <w:w w:val="100"/>
                <w:position w:val="0"/>
              </w:rPr>
              <w:t>436,279,474.00</w:t>
            </w:r>
            <w:r>
              <w:rPr>
                <w:color w:val="000000"/>
                <w:spacing w:val="0"/>
                <w:w w:val="100"/>
                <w:position w:val="0"/>
              </w:rPr>
              <w:t>元。本次发行募集资金 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日全部到账，且已经福建华兴会计师事务所（特殊普通合伙）审验，并出具了</w:t>
            </w:r>
            <w:r>
              <w:rPr>
                <w:rFonts w:ascii="Times New Roman" w:eastAsia="Times New Roman" w:hAnsi="Times New Roman" w:cs="Times New Roman"/>
                <w:color w:val="000000"/>
                <w:spacing w:val="0"/>
                <w:w w:val="100"/>
                <w:position w:val="0"/>
              </w:rPr>
              <w:t>“</w:t>
            </w:r>
            <w:r>
              <w:rPr>
                <w:color w:val="000000"/>
                <w:spacing w:val="0"/>
                <w:w w:val="100"/>
                <w:position w:val="0"/>
              </w:rPr>
              <w:t>闽华兴所（</w:t>
            </w:r>
            <w:r>
              <w:rPr>
                <w:rFonts w:ascii="Times New Roman" w:eastAsia="Times New Roman" w:hAnsi="Times New Roman" w:cs="Times New Roman"/>
                <w:color w:val="000000"/>
                <w:spacing w:val="0"/>
                <w:w w:val="100"/>
                <w:position w:val="0"/>
              </w:rPr>
              <w:t>2019</w:t>
            </w:r>
            <w:r>
              <w:rPr>
                <w:color w:val="000000"/>
                <w:spacing w:val="0"/>
                <w:w w:val="100"/>
                <w:position w:val="0"/>
              </w:rPr>
              <w:t>）验 字</w:t>
            </w:r>
            <w:r>
              <w:rPr>
                <w:rFonts w:ascii="Times New Roman" w:eastAsia="Times New Roman" w:hAnsi="Times New Roman" w:cs="Times New Roman"/>
                <w:color w:val="000000"/>
                <w:spacing w:val="0"/>
                <w:w w:val="100"/>
                <w:position w:val="0"/>
              </w:rPr>
              <w:t>I-003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《验资报告》予以确认。</w:t>
            </w:r>
          </w:p>
          <w:p>
            <w:pPr>
              <w:pStyle w:val="Style24"/>
              <w:keepNext w:val="0"/>
              <w:keepLines w:val="0"/>
              <w:widowControl w:val="0"/>
              <w:shd w:val="clear" w:color="auto" w:fill="auto"/>
              <w:tabs>
                <w:tab w:pos="302"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以前年度已使用金额</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日，公司对募集资金项目累计投入募集资金</w:t>
            </w:r>
            <w:r>
              <w:rPr>
                <w:rFonts w:ascii="Times New Roman" w:eastAsia="Times New Roman" w:hAnsi="Times New Roman" w:cs="Times New Roman"/>
                <w:color w:val="000000"/>
                <w:spacing w:val="0"/>
                <w:w w:val="100"/>
                <w:position w:val="0"/>
              </w:rPr>
              <w:t>10,263.20</w:t>
            </w:r>
            <w:r>
              <w:rPr>
                <w:color w:val="000000"/>
                <w:spacing w:val="0"/>
                <w:w w:val="100"/>
                <w:position w:val="0"/>
              </w:rPr>
              <w:t>万元，利息收入</w:t>
            </w:r>
            <w:r>
              <w:rPr>
                <w:rFonts w:ascii="Times New Roman" w:eastAsia="Times New Roman" w:hAnsi="Times New Roman" w:cs="Times New Roman"/>
                <w:color w:val="000000"/>
                <w:spacing w:val="0"/>
                <w:w w:val="100"/>
                <w:position w:val="0"/>
              </w:rPr>
              <w:t>1,053.91</w:t>
            </w:r>
            <w:r>
              <w:rPr>
                <w:color w:val="000000"/>
                <w:spacing w:val="0"/>
                <w:w w:val="100"/>
                <w:position w:val="0"/>
              </w:rPr>
              <w:t>万元，银行手续费支 出</w:t>
            </w:r>
            <w:r>
              <w:rPr>
                <w:rFonts w:ascii="Times New Roman" w:eastAsia="Times New Roman" w:hAnsi="Times New Roman" w:cs="Times New Roman"/>
                <w:color w:val="000000"/>
                <w:spacing w:val="0"/>
                <w:w w:val="100"/>
                <w:position w:val="0"/>
              </w:rPr>
              <w:t>0.41</w:t>
            </w:r>
            <w:r>
              <w:rPr>
                <w:color w:val="000000"/>
                <w:spacing w:val="0"/>
                <w:w w:val="100"/>
                <w:position w:val="0"/>
              </w:rPr>
              <w:t>万元，闲置募集资金暂时补充流动资金</w:t>
            </w:r>
            <w:r>
              <w:rPr>
                <w:rFonts w:ascii="Times New Roman" w:eastAsia="Times New Roman" w:hAnsi="Times New Roman" w:cs="Times New Roman"/>
                <w:color w:val="000000"/>
                <w:spacing w:val="0"/>
                <w:w w:val="100"/>
                <w:position w:val="0"/>
              </w:rPr>
              <w:t>8,000</w:t>
            </w:r>
            <w:r>
              <w:rPr>
                <w:color w:val="000000"/>
                <w:spacing w:val="0"/>
                <w:w w:val="100"/>
                <w:position w:val="0"/>
              </w:rPr>
              <w:t>万元，募集资金余额为人民币</w:t>
            </w:r>
            <w:r>
              <w:rPr>
                <w:rFonts w:ascii="Times New Roman" w:eastAsia="Times New Roman" w:hAnsi="Times New Roman" w:cs="Times New Roman"/>
                <w:color w:val="000000"/>
                <w:spacing w:val="0"/>
                <w:w w:val="100"/>
                <w:position w:val="0"/>
              </w:rPr>
              <w:t>26,418.25</w:t>
            </w:r>
            <w:r>
              <w:rPr>
                <w:color w:val="000000"/>
                <w:spacing w:val="0"/>
                <w:w w:val="100"/>
                <w:position w:val="0"/>
              </w:rPr>
              <w:t>万元。</w:t>
            </w:r>
          </w:p>
          <w:p>
            <w:pPr>
              <w:pStyle w:val="Style24"/>
              <w:keepNext w:val="0"/>
              <w:keepLines w:val="0"/>
              <w:widowControl w:val="0"/>
              <w:shd w:val="clear" w:color="auto" w:fill="auto"/>
              <w:tabs>
                <w:tab w:pos="274"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本期使用金额及当前余额</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年度，公司对募集资金项目累计投入募集资金</w:t>
            </w:r>
            <w:r>
              <w:rPr>
                <w:rFonts w:ascii="Times New Roman" w:eastAsia="Times New Roman" w:hAnsi="Times New Roman" w:cs="Times New Roman"/>
                <w:color w:val="000000"/>
                <w:spacing w:val="0"/>
                <w:w w:val="100"/>
                <w:position w:val="0"/>
              </w:rPr>
              <w:t>15,033.31</w:t>
            </w:r>
            <w:r>
              <w:rPr>
                <w:color w:val="000000"/>
                <w:spacing w:val="0"/>
                <w:w w:val="100"/>
                <w:position w:val="0"/>
              </w:rPr>
              <w:t>万元，利息收入</w:t>
            </w:r>
            <w:r>
              <w:rPr>
                <w:rFonts w:ascii="Times New Roman" w:eastAsia="Times New Roman" w:hAnsi="Times New Roman" w:cs="Times New Roman"/>
                <w:color w:val="000000"/>
                <w:spacing w:val="0"/>
                <w:w w:val="100"/>
                <w:position w:val="0"/>
              </w:rPr>
              <w:t>456.67</w:t>
            </w:r>
            <w:r>
              <w:rPr>
                <w:color w:val="000000"/>
                <w:spacing w:val="0"/>
                <w:w w:val="100"/>
                <w:position w:val="0"/>
              </w:rPr>
              <w:t>万元，银行手续费支出</w:t>
            </w:r>
            <w:r>
              <w:rPr>
                <w:rFonts w:ascii="Times New Roman" w:eastAsia="Times New Roman" w:hAnsi="Times New Roman" w:cs="Times New Roman"/>
                <w:color w:val="000000"/>
                <w:spacing w:val="0"/>
                <w:w w:val="100"/>
                <w:position w:val="0"/>
              </w:rPr>
              <w:t>0.27</w:t>
            </w:r>
            <w:r>
              <w:rPr>
                <w:color w:val="000000"/>
                <w:spacing w:val="0"/>
                <w:w w:val="100"/>
                <w:position w:val="0"/>
              </w:rPr>
              <w:t>万元。截 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日，公司对募集资金项目累计投入</w:t>
            </w:r>
            <w:r>
              <w:rPr>
                <w:rFonts w:ascii="Times New Roman" w:eastAsia="Times New Roman" w:hAnsi="Times New Roman" w:cs="Times New Roman"/>
                <w:color w:val="000000"/>
                <w:spacing w:val="0"/>
                <w:w w:val="100"/>
                <w:position w:val="0"/>
              </w:rPr>
              <w:t>25,296.51</w:t>
            </w:r>
            <w:r>
              <w:rPr>
                <w:color w:val="000000"/>
                <w:spacing w:val="0"/>
                <w:w w:val="100"/>
                <w:position w:val="0"/>
              </w:rPr>
              <w:t>万元，闲置募集资金暂时补充流动资金</w:t>
            </w:r>
            <w:r>
              <w:rPr>
                <w:rFonts w:ascii="Times New Roman" w:eastAsia="Times New Roman" w:hAnsi="Times New Roman" w:cs="Times New Roman"/>
                <w:color w:val="000000"/>
                <w:spacing w:val="0"/>
                <w:w w:val="100"/>
                <w:position w:val="0"/>
              </w:rPr>
              <w:t>8,000</w:t>
            </w:r>
            <w:r>
              <w:rPr>
                <w:color w:val="000000"/>
                <w:spacing w:val="0"/>
                <w:w w:val="100"/>
                <w:position w:val="0"/>
              </w:rPr>
              <w:t>万元，使用 闲置募集资金购买的结构性存款余额为</w:t>
            </w:r>
            <w:r>
              <w:rPr>
                <w:rFonts w:ascii="Times New Roman" w:eastAsia="Times New Roman" w:hAnsi="Times New Roman" w:cs="Times New Roman"/>
                <w:color w:val="000000"/>
                <w:spacing w:val="0"/>
                <w:w w:val="100"/>
                <w:position w:val="0"/>
              </w:rPr>
              <w:t>6,000</w:t>
            </w:r>
            <w:r>
              <w:rPr>
                <w:color w:val="000000"/>
                <w:spacing w:val="0"/>
                <w:w w:val="100"/>
                <w:position w:val="0"/>
              </w:rPr>
              <w:t>万元，募集资金余额为人民币</w:t>
            </w:r>
            <w:r>
              <w:rPr>
                <w:rFonts w:ascii="Times New Roman" w:eastAsia="Times New Roman" w:hAnsi="Times New Roman" w:cs="Times New Roman"/>
                <w:color w:val="000000"/>
                <w:spacing w:val="0"/>
                <w:w w:val="100"/>
                <w:position w:val="0"/>
              </w:rPr>
              <w:t>5,841.34</w:t>
            </w:r>
            <w:r>
              <w:rPr>
                <w:color w:val="000000"/>
                <w:spacing w:val="0"/>
                <w:w w:val="100"/>
                <w:position w:val="0"/>
              </w:rPr>
              <w:t>万元。</w:t>
            </w:r>
          </w:p>
        </w:tc>
      </w:tr>
    </w:tbl>
    <w:p>
      <w:pPr>
        <w:spacing w:lineRule="exact" w:line="1"/>
        <w:rPr>
          <w:sz w:val="2"/>
          <w:szCs w:val="2"/>
        </w:rPr>
      </w:pPr>
      <w:r>
        <w:br w:type="page"/>
      </w:r>
    </w:p>
    <w:p>
      <w:pPr>
        <w:pStyle w:val="Style33"/>
        <w:keepNext/>
        <w:keepLines/>
        <w:widowControl w:val="0"/>
        <w:numPr>
          <w:ilvl w:val="0"/>
          <w:numId w:val="5"/>
        </w:numPr>
        <w:shd w:val="clear" w:color="auto" w:fill="auto"/>
        <w:bidi w:val="0"/>
        <w:spacing w:before="0" w:after="380" w:line="240" w:lineRule="auto"/>
        <w:ind w:left="0" w:right="0" w:firstLine="0"/>
        <w:jc w:val="left"/>
      </w:pPr>
      <w:bookmarkStart w:id="201" w:name="bookmark201"/>
      <w:bookmarkStart w:id="202" w:name="bookmark202"/>
      <w:bookmarkStart w:id="203" w:name="bookmark203"/>
      <w:bookmarkStart w:id="204" w:name="bookmark204"/>
      <w:bookmarkEnd w:id="203"/>
      <w:r>
        <w:rPr>
          <w:color w:val="000000"/>
          <w:spacing w:val="0"/>
          <w:w w:val="100"/>
          <w:position w:val="0"/>
        </w:rPr>
        <w:t>募集资金承诺项目情况</w:t>
      </w:r>
      <w:bookmarkEnd w:id="201"/>
      <w:bookmarkEnd w:id="202"/>
      <w:bookmarkEnd w:id="20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4"/>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财政电</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子票据</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应用系</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统开发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19,380.53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19,010.01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7,064.48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政府采</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购电子</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化管理 平台开 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3,413.99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智慧城 市电子 缴款平 台开发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8,924.84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8,536.63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1,826.23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财政及 公共服 务大数 据应用 平台开 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5,774.71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5,468.11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44,999.88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15,033.3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25,296.51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12,039.2</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12,304.7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44,999.88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15,033.3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25,296.51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12,039.2</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12,304.7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99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未达到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计划进</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度或预</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财政与公共服务大数据应用平台开发项目募集资金主要投资于财政与公共服务大数据应用平台的开发、过渡、测 试环境的建设，属于非盈利项目，无法核算效益。</w:t>
            </w:r>
          </w:p>
        </w:tc>
      </w:tr>
    </w:tbl>
    <w:p>
      <w:pPr>
        <w:spacing w:lineRule="exact" w:line="1"/>
        <w:rPr>
          <w:sz w:val="2"/>
          <w:szCs w:val="2"/>
        </w:rPr>
      </w:pPr>
      <w:r>
        <w:br w:type="page"/>
      </w:r>
    </w:p>
    <w:tbl>
      <w:tblPr>
        <w:tblOverlap w:val="never"/>
        <w:jc w:val="center"/>
        <w:tblLayout w:type="fixed"/>
      </w:tblPr>
      <w:tblGrid>
        <w:gridCol w:w="730"/>
        <w:gridCol w:w="8856"/>
      </w:tblGrid>
      <w:tr>
        <w:trPr>
          <w:trHeight w:val="16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计收益</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的情况</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和原因</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情况说 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日召开的第三届董事会第二十一次会议、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大会审议通过了《关于募投项目变更实施主体及实施地点、调整投资总额及实施方式等事项的议案》，公司募集 资金投资项目之</w:t>
            </w:r>
            <w:r>
              <w:rPr>
                <w:rFonts w:ascii="Times New Roman" w:eastAsia="Times New Roman" w:hAnsi="Times New Roman" w:cs="Times New Roman"/>
                <w:color w:val="000000"/>
                <w:spacing w:val="0"/>
                <w:w w:val="100"/>
                <w:position w:val="0"/>
              </w:rPr>
              <w:t>“</w:t>
            </w:r>
            <w:r>
              <w:rPr>
                <w:color w:val="000000"/>
                <w:spacing w:val="0"/>
                <w:w w:val="100"/>
                <w:position w:val="0"/>
              </w:rPr>
              <w:t>政府采购平台开发项目</w:t>
            </w:r>
            <w:r>
              <w:rPr>
                <w:rFonts w:ascii="Times New Roman" w:eastAsia="Times New Roman" w:hAnsi="Times New Roman" w:cs="Times New Roman"/>
                <w:color w:val="000000"/>
                <w:spacing w:val="0"/>
                <w:w w:val="100"/>
                <w:position w:val="0"/>
              </w:rPr>
              <w:t>”</w:t>
            </w:r>
            <w:r>
              <w:rPr>
                <w:color w:val="000000"/>
                <w:spacing w:val="0"/>
                <w:w w:val="100"/>
                <w:position w:val="0"/>
              </w:rPr>
              <w:t>实施主体由母公司博思软件变更为子公司博思数采，实施地点由福州市 闽侯县上街镇高新大道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号变更为福州市长乐区数字福建产业园东湖路</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号研发楼；公司募集资金投资项 目之</w:t>
            </w:r>
            <w:r>
              <w:rPr>
                <w:rFonts w:ascii="Times New Roman" w:eastAsia="Times New Roman" w:hAnsi="Times New Roman" w:cs="Times New Roman"/>
                <w:color w:val="000000"/>
                <w:spacing w:val="0"/>
                <w:w w:val="100"/>
                <w:position w:val="0"/>
              </w:rPr>
              <w:t>“</w:t>
            </w:r>
            <w:r>
              <w:rPr>
                <w:color w:val="000000"/>
                <w:spacing w:val="0"/>
                <w:w w:val="100"/>
                <w:position w:val="0"/>
              </w:rPr>
              <w:t>智慧城市电子缴款平台开发项目</w:t>
            </w:r>
            <w:r>
              <w:rPr>
                <w:rFonts w:ascii="Times New Roman" w:eastAsia="Times New Roman" w:hAnsi="Times New Roman" w:cs="Times New Roman"/>
                <w:color w:val="000000"/>
                <w:spacing w:val="0"/>
                <w:w w:val="100"/>
                <w:position w:val="0"/>
              </w:rPr>
              <w:t>”</w:t>
            </w:r>
            <w:r>
              <w:rPr>
                <w:color w:val="000000"/>
                <w:spacing w:val="0"/>
                <w:w w:val="100"/>
                <w:position w:val="0"/>
              </w:rPr>
              <w:t>实施主体由母公司博思软件变更为子公司博思数科，实施地点由福州市闽 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号变更为福州市长乐区数字福建产业园东湖路</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号研发楼。该事项已于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日变更完毕。</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435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日召开的第三届董事会第二十一次会议、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大会审议通过了《关于募投项目变更实施主体及实施地点、调整投资总额及实施方式等事项的议案》，四个募投 项目的实施方式由原计划的通过自建云平台部分调整为采用租入云服务。本次调整的主要变化为：</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财政电子票据应用系统开发项目：减少设备购置费</w:t>
            </w:r>
            <w:r>
              <w:rPr>
                <w:rFonts w:ascii="Times New Roman" w:eastAsia="Times New Roman" w:hAnsi="Times New Roman" w:cs="Times New Roman"/>
                <w:color w:val="000000"/>
                <w:spacing w:val="0"/>
                <w:w w:val="100"/>
                <w:position w:val="0"/>
              </w:rPr>
              <w:t>4,090.53</w:t>
            </w:r>
            <w:r>
              <w:rPr>
                <w:color w:val="000000"/>
                <w:spacing w:val="0"/>
                <w:w w:val="100"/>
                <w:position w:val="0"/>
              </w:rPr>
              <w:t>万元，增加市场推广费</w:t>
            </w:r>
            <w:r>
              <w:rPr>
                <w:rFonts w:ascii="Times New Roman" w:eastAsia="Times New Roman" w:hAnsi="Times New Roman" w:cs="Times New Roman"/>
                <w:color w:val="000000"/>
                <w:spacing w:val="0"/>
                <w:w w:val="100"/>
                <w:position w:val="0"/>
              </w:rPr>
              <w:t>1,400.00</w:t>
            </w:r>
            <w:r>
              <w:rPr>
                <w:color w:val="000000"/>
                <w:spacing w:val="0"/>
                <w:w w:val="100"/>
                <w:position w:val="0"/>
              </w:rPr>
              <w:t>万元，变更实施 方式后本项目的投资总额为</w:t>
            </w:r>
            <w:r>
              <w:rPr>
                <w:rFonts w:ascii="Times New Roman" w:eastAsia="Times New Roman" w:hAnsi="Times New Roman" w:cs="Times New Roman"/>
                <w:color w:val="000000"/>
                <w:spacing w:val="0"/>
                <w:w w:val="100"/>
                <w:position w:val="0"/>
              </w:rPr>
              <w:t>19,010.01</w:t>
            </w:r>
            <w:r>
              <w:rPr>
                <w:color w:val="000000"/>
                <w:spacing w:val="0"/>
                <w:w w:val="100"/>
                <w:position w:val="0"/>
              </w:rPr>
              <w:t>万元。</w:t>
            </w:r>
          </w:p>
          <w:p>
            <w:pPr>
              <w:pStyle w:val="Style24"/>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政府采购平台开发项目：增加基础投资</w:t>
            </w:r>
            <w:r>
              <w:rPr>
                <w:rFonts w:ascii="Times New Roman" w:eastAsia="Times New Roman" w:hAnsi="Times New Roman" w:cs="Times New Roman"/>
                <w:color w:val="000000"/>
                <w:spacing w:val="0"/>
                <w:w w:val="100"/>
                <w:position w:val="0"/>
              </w:rPr>
              <w:t>160.00</w:t>
            </w:r>
            <w:r>
              <w:rPr>
                <w:color w:val="000000"/>
                <w:spacing w:val="0"/>
                <w:w w:val="100"/>
                <w:position w:val="0"/>
              </w:rPr>
              <w:t>万元、市场推广费</w:t>
            </w:r>
            <w:r>
              <w:rPr>
                <w:rFonts w:ascii="Times New Roman" w:eastAsia="Times New Roman" w:hAnsi="Times New Roman" w:cs="Times New Roman"/>
                <w:color w:val="000000"/>
                <w:spacing w:val="0"/>
                <w:w w:val="100"/>
                <w:position w:val="0"/>
              </w:rPr>
              <w:t>900.00</w:t>
            </w:r>
            <w:r>
              <w:rPr>
                <w:color w:val="000000"/>
                <w:spacing w:val="0"/>
                <w:w w:val="100"/>
                <w:position w:val="0"/>
              </w:rPr>
              <w:t>万元，减少设备购置费用</w:t>
            </w:r>
            <w:r>
              <w:rPr>
                <w:rFonts w:ascii="Times New Roman" w:eastAsia="Times New Roman" w:hAnsi="Times New Roman" w:cs="Times New Roman"/>
                <w:color w:val="000000"/>
                <w:spacing w:val="0"/>
                <w:w w:val="100"/>
                <w:position w:val="0"/>
              </w:rPr>
              <w:t>2,945.66</w:t>
            </w:r>
            <w:r>
              <w:rPr>
                <w:color w:val="000000"/>
                <w:spacing w:val="0"/>
                <w:w w:val="100"/>
                <w:position w:val="0"/>
              </w:rPr>
              <w:t>万 元，变更实施方式后本项目的投资总额为</w:t>
            </w:r>
            <w:r>
              <w:rPr>
                <w:rFonts w:ascii="Times New Roman" w:eastAsia="Times New Roman" w:hAnsi="Times New Roman" w:cs="Times New Roman"/>
                <w:color w:val="000000"/>
                <w:spacing w:val="0"/>
                <w:w w:val="100"/>
                <w:position w:val="0"/>
              </w:rPr>
              <w:t>10,613.20</w:t>
            </w:r>
            <w:r>
              <w:rPr>
                <w:color w:val="000000"/>
                <w:spacing w:val="0"/>
                <w:w w:val="100"/>
                <w:position w:val="0"/>
              </w:rPr>
              <w:t>万元。</w:t>
            </w:r>
          </w:p>
          <w:p>
            <w:pPr>
              <w:pStyle w:val="Style24"/>
              <w:keepNext w:val="0"/>
              <w:keepLines w:val="0"/>
              <w:widowControl w:val="0"/>
              <w:shd w:val="clear" w:color="auto" w:fill="auto"/>
              <w:tabs>
                <w:tab w:pos="283"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智慧城市电子缴款平台开发项目：增加基础投资</w:t>
            </w:r>
            <w:r>
              <w:rPr>
                <w:rFonts w:ascii="Times New Roman" w:eastAsia="Times New Roman" w:hAnsi="Times New Roman" w:cs="Times New Roman"/>
                <w:color w:val="000000"/>
                <w:spacing w:val="0"/>
                <w:w w:val="100"/>
                <w:position w:val="0"/>
              </w:rPr>
              <w:t>110.00</w:t>
            </w:r>
            <w:r>
              <w:rPr>
                <w:color w:val="000000"/>
                <w:spacing w:val="0"/>
                <w:w w:val="100"/>
                <w:position w:val="0"/>
              </w:rPr>
              <w:t>万元、市场推广费</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万元，减少设备购置费用 </w:t>
            </w:r>
            <w:r>
              <w:rPr>
                <w:rFonts w:ascii="Times New Roman" w:eastAsia="Times New Roman" w:hAnsi="Times New Roman" w:cs="Times New Roman"/>
                <w:color w:val="000000"/>
                <w:spacing w:val="0"/>
                <w:w w:val="100"/>
                <w:position w:val="0"/>
              </w:rPr>
              <w:t>2,573.46</w:t>
            </w:r>
            <w:r>
              <w:rPr>
                <w:color w:val="000000"/>
                <w:spacing w:val="0"/>
                <w:w w:val="100"/>
                <w:position w:val="0"/>
              </w:rPr>
              <w:t>万元，变更实施方式后本项目的投资总额为</w:t>
            </w:r>
            <w:r>
              <w:rPr>
                <w:rFonts w:ascii="Times New Roman" w:eastAsia="Times New Roman" w:hAnsi="Times New Roman" w:cs="Times New Roman"/>
                <w:color w:val="000000"/>
                <w:spacing w:val="0"/>
                <w:w w:val="100"/>
                <w:position w:val="0"/>
              </w:rPr>
              <w:t>8,536.63</w:t>
            </w:r>
            <w:r>
              <w:rPr>
                <w:color w:val="000000"/>
                <w:spacing w:val="0"/>
                <w:w w:val="100"/>
                <w:position w:val="0"/>
              </w:rPr>
              <w:t>万元。</w:t>
            </w:r>
          </w:p>
          <w:p>
            <w:pPr>
              <w:pStyle w:val="Style24"/>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 财政及公共服务大数据应用平台开发项目：增加基础投资</w:t>
            </w:r>
            <w:r>
              <w:rPr>
                <w:rFonts w:ascii="Times New Roman" w:eastAsia="Times New Roman" w:hAnsi="Times New Roman" w:cs="Times New Roman"/>
                <w:color w:val="000000"/>
                <w:spacing w:val="0"/>
                <w:w w:val="100"/>
                <w:position w:val="0"/>
              </w:rPr>
              <w:t>50.00</w:t>
            </w:r>
            <w:r>
              <w:rPr>
                <w:color w:val="000000"/>
                <w:spacing w:val="0"/>
                <w:w w:val="100"/>
                <w:position w:val="0"/>
              </w:rPr>
              <w:t>万元，减少设备购置费用</w:t>
            </w:r>
            <w:r>
              <w:rPr>
                <w:rFonts w:ascii="Times New Roman" w:eastAsia="Times New Roman" w:hAnsi="Times New Roman" w:cs="Times New Roman"/>
                <w:color w:val="000000"/>
                <w:spacing w:val="0"/>
                <w:w w:val="100"/>
                <w:position w:val="0"/>
              </w:rPr>
              <w:t>456.60</w:t>
            </w:r>
            <w:r>
              <w:rPr>
                <w:color w:val="000000"/>
                <w:spacing w:val="0"/>
                <w:w w:val="100"/>
                <w:position w:val="0"/>
              </w:rPr>
              <w:t>万元，变更 实施方式后本项目的投资总额为</w:t>
            </w:r>
            <w:r>
              <w:rPr>
                <w:rFonts w:ascii="Times New Roman" w:eastAsia="Times New Roman" w:hAnsi="Times New Roman" w:cs="Times New Roman"/>
                <w:color w:val="000000"/>
                <w:spacing w:val="0"/>
                <w:w w:val="100"/>
                <w:position w:val="0"/>
              </w:rPr>
              <w:t>5,468.11</w:t>
            </w:r>
            <w:r>
              <w:rPr>
                <w:color w:val="000000"/>
                <w:spacing w:val="0"/>
                <w:w w:val="100"/>
                <w:position w:val="0"/>
              </w:rPr>
              <w:t>万元。</w:t>
            </w:r>
          </w:p>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日召开第四届董事会第二次会议、第四届监事会第二次会议，审议通过《关于募投项目变</w:t>
            </w:r>
          </w:p>
        </w:tc>
      </w:tr>
    </w:tbl>
    <w:p>
      <w:pPr>
        <w:spacing w:lineRule="exact" w:line="1"/>
        <w:rPr>
          <w:sz w:val="2"/>
          <w:szCs w:val="2"/>
        </w:rPr>
      </w:pPr>
      <w:r>
        <w:br w:type="page"/>
      </w:r>
    </w:p>
    <w:tbl>
      <w:tblPr>
        <w:tblOverlap w:val="never"/>
        <w:jc w:val="center"/>
        <w:tblLayout w:type="fixed"/>
      </w:tblPr>
      <w:tblGrid>
        <w:gridCol w:w="730"/>
        <w:gridCol w:w="8856"/>
      </w:tblGrid>
      <w:tr>
        <w:trPr>
          <w:trHeight w:val="6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更实施方式、投资结构，调整投资进度的议案》。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 通过该议案，同意调整募投项目实施方式和投资结构，调整投资进度。本次变更后的实施方式、投资结构与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日召开第三届董事会第二十一次会议、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 《关于募投项目变更实施主体及实施地点、调整投资总额及实施方式等事项的议案》公告中已披露的有关内容的 主要变化为：</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财政电子票据应用系统开发项目：变更本项目的实施方式、投资结构，减少对办公租赁装修投入</w:t>
            </w:r>
            <w:r>
              <w:rPr>
                <w:rFonts w:ascii="Times New Roman" w:eastAsia="Times New Roman" w:hAnsi="Times New Roman" w:cs="Times New Roman"/>
                <w:color w:val="000000"/>
                <w:spacing w:val="0"/>
                <w:w w:val="100"/>
                <w:position w:val="0"/>
              </w:rPr>
              <w:t>350.00</w:t>
            </w:r>
            <w:r>
              <w:rPr>
                <w:color w:val="000000"/>
                <w:spacing w:val="0"/>
                <w:w w:val="100"/>
                <w:position w:val="0"/>
              </w:rPr>
              <w:t>万 元、减少对软硬件环境投入</w:t>
            </w:r>
            <w:r>
              <w:rPr>
                <w:rFonts w:ascii="Times New Roman" w:eastAsia="Times New Roman" w:hAnsi="Times New Roman" w:cs="Times New Roman"/>
                <w:color w:val="000000"/>
                <w:spacing w:val="0"/>
                <w:w w:val="100"/>
                <w:position w:val="0"/>
              </w:rPr>
              <w:t>8,300.00</w:t>
            </w:r>
            <w:r>
              <w:rPr>
                <w:color w:val="000000"/>
                <w:spacing w:val="0"/>
                <w:w w:val="100"/>
                <w:position w:val="0"/>
              </w:rPr>
              <w:t>万元、增加对云租赁投入</w:t>
            </w:r>
            <w:r>
              <w:rPr>
                <w:rFonts w:ascii="Times New Roman" w:eastAsia="Times New Roman" w:hAnsi="Times New Roman" w:cs="Times New Roman"/>
                <w:color w:val="000000"/>
                <w:spacing w:val="0"/>
                <w:w w:val="100"/>
                <w:position w:val="0"/>
              </w:rPr>
              <w:t>300.00</w:t>
            </w:r>
            <w:r>
              <w:rPr>
                <w:color w:val="000000"/>
                <w:spacing w:val="0"/>
                <w:w w:val="100"/>
                <w:position w:val="0"/>
              </w:rPr>
              <w:t xml:space="preserve">万元、增加对应用开发和测试费的投入 </w:t>
            </w:r>
            <w:r>
              <w:rPr>
                <w:rFonts w:ascii="Times New Roman" w:eastAsia="Times New Roman" w:hAnsi="Times New Roman" w:cs="Times New Roman"/>
                <w:color w:val="000000"/>
                <w:spacing w:val="0"/>
                <w:w w:val="100"/>
                <w:position w:val="0"/>
              </w:rPr>
              <w:t>6,000.00</w:t>
            </w:r>
            <w:r>
              <w:rPr>
                <w:color w:val="000000"/>
                <w:spacing w:val="0"/>
                <w:w w:val="100"/>
                <w:position w:val="0"/>
              </w:rPr>
              <w:t>万元、减少对调研、论证、人员培训投入</w:t>
            </w:r>
            <w:r>
              <w:rPr>
                <w:rFonts w:ascii="Times New Roman" w:eastAsia="Times New Roman" w:hAnsi="Times New Roman" w:cs="Times New Roman"/>
                <w:color w:val="000000"/>
                <w:spacing w:val="0"/>
                <w:w w:val="100"/>
                <w:position w:val="0"/>
              </w:rPr>
              <w:t>590.00</w:t>
            </w:r>
            <w:r>
              <w:rPr>
                <w:color w:val="000000"/>
                <w:spacing w:val="0"/>
                <w:w w:val="100"/>
                <w:position w:val="0"/>
              </w:rPr>
              <w:t>万元、减少对市场推广费的投入</w:t>
            </w:r>
            <w:r>
              <w:rPr>
                <w:rFonts w:ascii="Times New Roman" w:eastAsia="Times New Roman" w:hAnsi="Times New Roman" w:cs="Times New Roman"/>
                <w:color w:val="000000"/>
                <w:spacing w:val="0"/>
                <w:w w:val="100"/>
                <w:position w:val="0"/>
              </w:rPr>
              <w:t>1,400.00</w:t>
            </w:r>
            <w:r>
              <w:rPr>
                <w:color w:val="000000"/>
                <w:spacing w:val="0"/>
                <w:w w:val="100"/>
                <w:position w:val="0"/>
              </w:rPr>
              <w:t>万元、增加铺 底流动资金</w:t>
            </w:r>
            <w:r>
              <w:rPr>
                <w:rFonts w:ascii="Times New Roman" w:eastAsia="Times New Roman" w:hAnsi="Times New Roman" w:cs="Times New Roman"/>
                <w:color w:val="000000"/>
                <w:spacing w:val="0"/>
                <w:w w:val="100"/>
                <w:position w:val="0"/>
              </w:rPr>
              <w:t>4,340.00</w:t>
            </w:r>
            <w:r>
              <w:rPr>
                <w:color w:val="000000"/>
                <w:spacing w:val="0"/>
                <w:w w:val="100"/>
                <w:position w:val="0"/>
              </w:rPr>
              <w:t>万元，变更实施方式、投资结构后本项目的投资总额不变，总投资额计</w:t>
            </w:r>
            <w:r>
              <w:rPr>
                <w:rFonts w:ascii="Times New Roman" w:eastAsia="Times New Roman" w:hAnsi="Times New Roman" w:cs="Times New Roman"/>
                <w:color w:val="000000"/>
                <w:spacing w:val="0"/>
                <w:w w:val="100"/>
                <w:position w:val="0"/>
              </w:rPr>
              <w:t>19,010.01</w:t>
            </w:r>
            <w:r>
              <w:rPr>
                <w:color w:val="000000"/>
                <w:spacing w:val="0"/>
                <w:w w:val="100"/>
                <w:position w:val="0"/>
              </w:rPr>
              <w:t>万元。</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政府采购平台开发项目：变更本项目的实施方式、投资结构，减少对办公租赁装修投入</w:t>
            </w:r>
            <w:r>
              <w:rPr>
                <w:rFonts w:ascii="Times New Roman" w:eastAsia="Times New Roman" w:hAnsi="Times New Roman" w:cs="Times New Roman"/>
                <w:color w:val="000000"/>
                <w:spacing w:val="0"/>
                <w:w w:val="100"/>
                <w:position w:val="0"/>
              </w:rPr>
              <w:t>452.00</w:t>
            </w:r>
            <w:r>
              <w:rPr>
                <w:color w:val="000000"/>
                <w:spacing w:val="0"/>
                <w:w w:val="100"/>
                <w:position w:val="0"/>
              </w:rPr>
              <w:t>万元、减少 对软硬件环境投入</w:t>
            </w:r>
            <w:r>
              <w:rPr>
                <w:rFonts w:ascii="Times New Roman" w:eastAsia="Times New Roman" w:hAnsi="Times New Roman" w:cs="Times New Roman"/>
                <w:color w:val="000000"/>
                <w:spacing w:val="0"/>
                <w:w w:val="100"/>
                <w:position w:val="0"/>
              </w:rPr>
              <w:t>3,800.00</w:t>
            </w:r>
            <w:r>
              <w:rPr>
                <w:color w:val="000000"/>
                <w:spacing w:val="0"/>
                <w:w w:val="100"/>
                <w:position w:val="0"/>
              </w:rPr>
              <w:t>万元、增加对云租赁投入</w:t>
            </w:r>
            <w:r>
              <w:rPr>
                <w:rFonts w:ascii="Times New Roman" w:eastAsia="Times New Roman" w:hAnsi="Times New Roman" w:cs="Times New Roman"/>
                <w:color w:val="000000"/>
                <w:spacing w:val="0"/>
                <w:w w:val="100"/>
                <w:position w:val="0"/>
              </w:rPr>
              <w:t>100.00</w:t>
            </w:r>
            <w:r>
              <w:rPr>
                <w:color w:val="000000"/>
                <w:spacing w:val="0"/>
                <w:w w:val="100"/>
                <w:position w:val="0"/>
              </w:rPr>
              <w:t>万元、增加对应用开发和测试费的投入</w:t>
            </w:r>
            <w:r>
              <w:rPr>
                <w:rFonts w:ascii="Times New Roman" w:eastAsia="Times New Roman" w:hAnsi="Times New Roman" w:cs="Times New Roman"/>
                <w:color w:val="000000"/>
                <w:spacing w:val="0"/>
                <w:w w:val="100"/>
                <w:position w:val="0"/>
              </w:rPr>
              <w:t>3,234.00</w:t>
            </w:r>
            <w:r>
              <w:rPr>
                <w:color w:val="000000"/>
                <w:spacing w:val="0"/>
                <w:w w:val="100"/>
                <w:position w:val="0"/>
              </w:rPr>
              <w:t>万元、 减少对调研、论证、人员培训投入</w:t>
            </w:r>
            <w:r>
              <w:rPr>
                <w:rFonts w:ascii="Times New Roman" w:eastAsia="Times New Roman" w:hAnsi="Times New Roman" w:cs="Times New Roman"/>
                <w:color w:val="000000"/>
                <w:spacing w:val="0"/>
                <w:w w:val="100"/>
                <w:position w:val="0"/>
              </w:rPr>
              <w:t>334.00</w:t>
            </w:r>
            <w:r>
              <w:rPr>
                <w:color w:val="000000"/>
                <w:spacing w:val="0"/>
                <w:w w:val="100"/>
                <w:position w:val="0"/>
              </w:rPr>
              <w:t>万元、减少对市场推广费的投入</w:t>
            </w:r>
            <w:r>
              <w:rPr>
                <w:rFonts w:ascii="Times New Roman" w:eastAsia="Times New Roman" w:hAnsi="Times New Roman" w:cs="Times New Roman"/>
                <w:color w:val="000000"/>
                <w:spacing w:val="0"/>
                <w:w w:val="100"/>
                <w:position w:val="0"/>
              </w:rPr>
              <w:t>1,400.00</w:t>
            </w:r>
            <w:r>
              <w:rPr>
                <w:color w:val="000000"/>
                <w:spacing w:val="0"/>
                <w:w w:val="100"/>
                <w:position w:val="0"/>
              </w:rPr>
              <w:t>万元、增加铺底流动资金</w:t>
            </w:r>
            <w:r>
              <w:rPr>
                <w:rFonts w:ascii="Times New Roman" w:eastAsia="Times New Roman" w:hAnsi="Times New Roman" w:cs="Times New Roman"/>
                <w:color w:val="000000"/>
                <w:spacing w:val="0"/>
                <w:w w:val="100"/>
                <w:position w:val="0"/>
              </w:rPr>
              <w:t xml:space="preserve">2,652.00 </w:t>
            </w:r>
            <w:r>
              <w:rPr>
                <w:color w:val="000000"/>
                <w:spacing w:val="0"/>
                <w:w w:val="100"/>
                <w:position w:val="0"/>
              </w:rPr>
              <w:t>万元，变更实施方式、投资结构后本项目的投资总额不变，总投资额计</w:t>
            </w:r>
            <w:r>
              <w:rPr>
                <w:rFonts w:ascii="Times New Roman" w:eastAsia="Times New Roman" w:hAnsi="Times New Roman" w:cs="Times New Roman"/>
                <w:color w:val="000000"/>
                <w:spacing w:val="0"/>
                <w:w w:val="100"/>
                <w:position w:val="0"/>
              </w:rPr>
              <w:t>10,613.20</w:t>
            </w:r>
            <w:r>
              <w:rPr>
                <w:color w:val="000000"/>
                <w:spacing w:val="0"/>
                <w:w w:val="100"/>
                <w:position w:val="0"/>
              </w:rPr>
              <w:t>万元。</w:t>
            </w:r>
          </w:p>
          <w:p>
            <w:pPr>
              <w:pStyle w:val="Style24"/>
              <w:keepNext w:val="0"/>
              <w:keepLines w:val="0"/>
              <w:widowControl w:val="0"/>
              <w:shd w:val="clear" w:color="auto" w:fill="auto"/>
              <w:tabs>
                <w:tab w:pos="46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智慧城市电子缴款平台开发项目：变更本项目的实施方式、投资结构，减少对办公租赁装修投入</w:t>
            </w:r>
            <w:r>
              <w:rPr>
                <w:rFonts w:ascii="Times New Roman" w:eastAsia="Times New Roman" w:hAnsi="Times New Roman" w:cs="Times New Roman"/>
                <w:color w:val="000000"/>
                <w:spacing w:val="0"/>
                <w:w w:val="100"/>
                <w:position w:val="0"/>
              </w:rPr>
              <w:t>320.00</w:t>
            </w:r>
            <w:r>
              <w:rPr>
                <w:color w:val="000000"/>
                <w:spacing w:val="0"/>
                <w:w w:val="100"/>
                <w:position w:val="0"/>
              </w:rPr>
              <w:t>万 元、减少对软硬件环境投入</w:t>
            </w:r>
            <w:r>
              <w:rPr>
                <w:rFonts w:ascii="Times New Roman" w:eastAsia="Times New Roman" w:hAnsi="Times New Roman" w:cs="Times New Roman"/>
                <w:color w:val="000000"/>
                <w:spacing w:val="0"/>
                <w:w w:val="100"/>
                <w:position w:val="0"/>
              </w:rPr>
              <w:t>2,670.00</w:t>
            </w:r>
            <w:r>
              <w:rPr>
                <w:color w:val="000000"/>
                <w:spacing w:val="0"/>
                <w:w w:val="100"/>
                <w:position w:val="0"/>
              </w:rPr>
              <w:t>万元、增加对云租赁投入</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万元、增加对应用开发和测试费的投入 </w:t>
            </w:r>
            <w:r>
              <w:rPr>
                <w:rFonts w:ascii="Times New Roman" w:eastAsia="Times New Roman" w:hAnsi="Times New Roman" w:cs="Times New Roman"/>
                <w:color w:val="000000"/>
                <w:spacing w:val="0"/>
                <w:w w:val="100"/>
                <w:position w:val="0"/>
              </w:rPr>
              <w:t>2,900.00</w:t>
            </w:r>
            <w:r>
              <w:rPr>
                <w:color w:val="000000"/>
                <w:spacing w:val="0"/>
                <w:w w:val="100"/>
                <w:position w:val="0"/>
              </w:rPr>
              <w:t>万元、减少对调研、论证、人员培训投入</w:t>
            </w:r>
            <w:r>
              <w:rPr>
                <w:rFonts w:ascii="Times New Roman" w:eastAsia="Times New Roman" w:hAnsi="Times New Roman" w:cs="Times New Roman"/>
                <w:color w:val="000000"/>
                <w:spacing w:val="0"/>
                <w:w w:val="100"/>
                <w:position w:val="0"/>
              </w:rPr>
              <w:t>203.40</w:t>
            </w:r>
            <w:r>
              <w:rPr>
                <w:color w:val="000000"/>
                <w:spacing w:val="0"/>
                <w:w w:val="100"/>
                <w:position w:val="0"/>
              </w:rPr>
              <w:t>万元、减少对市场推广费的投入</w:t>
            </w:r>
            <w:r>
              <w:rPr>
                <w:rFonts w:ascii="Times New Roman" w:eastAsia="Times New Roman" w:hAnsi="Times New Roman" w:cs="Times New Roman"/>
                <w:color w:val="000000"/>
                <w:spacing w:val="0"/>
                <w:w w:val="100"/>
                <w:position w:val="0"/>
              </w:rPr>
              <w:t>1,400.00</w:t>
            </w:r>
            <w:r>
              <w:rPr>
                <w:color w:val="000000"/>
                <w:spacing w:val="0"/>
                <w:w w:val="100"/>
                <w:position w:val="0"/>
              </w:rPr>
              <w:t>万元、增加铺 底流动资金</w:t>
            </w:r>
            <w:r>
              <w:rPr>
                <w:rFonts w:ascii="Times New Roman" w:eastAsia="Times New Roman" w:hAnsi="Times New Roman" w:cs="Times New Roman"/>
                <w:color w:val="000000"/>
                <w:spacing w:val="0"/>
                <w:w w:val="100"/>
                <w:position w:val="0"/>
              </w:rPr>
              <w:t>1,543.40</w:t>
            </w:r>
            <w:r>
              <w:rPr>
                <w:color w:val="000000"/>
                <w:spacing w:val="0"/>
                <w:w w:val="100"/>
                <w:position w:val="0"/>
              </w:rPr>
              <w:t>万元，变更实施方式、投资结构后本项目的投资总额不变，总投资额计</w:t>
            </w:r>
            <w:r>
              <w:rPr>
                <w:rFonts w:ascii="Times New Roman" w:eastAsia="Times New Roman" w:hAnsi="Times New Roman" w:cs="Times New Roman"/>
                <w:color w:val="000000"/>
                <w:spacing w:val="0"/>
                <w:w w:val="100"/>
                <w:position w:val="0"/>
              </w:rPr>
              <w:t>8,536.63</w:t>
            </w:r>
            <w:r>
              <w:rPr>
                <w:color w:val="000000"/>
                <w:spacing w:val="0"/>
                <w:w w:val="100"/>
                <w:position w:val="0"/>
              </w:rPr>
              <w:t>万元。</w:t>
            </w:r>
          </w:p>
          <w:p>
            <w:pPr>
              <w:pStyle w:val="Style24"/>
              <w:keepNext w:val="0"/>
              <w:keepLines w:val="0"/>
              <w:widowControl w:val="0"/>
              <w:shd w:val="clear" w:color="auto" w:fill="auto"/>
              <w:tabs>
                <w:tab w:pos="451"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财政及公共服务大数据应用平台开发项目：变更本项目的实施方式、投资结构，减少对软硬件环境投入 </w:t>
            </w:r>
            <w:r>
              <w:rPr>
                <w:rFonts w:ascii="Times New Roman" w:eastAsia="Times New Roman" w:hAnsi="Times New Roman" w:cs="Times New Roman"/>
                <w:color w:val="000000"/>
                <w:spacing w:val="0"/>
                <w:w w:val="100"/>
                <w:position w:val="0"/>
              </w:rPr>
              <w:t>1,000.00</w:t>
            </w:r>
            <w:r>
              <w:rPr>
                <w:color w:val="000000"/>
                <w:spacing w:val="0"/>
                <w:w w:val="100"/>
                <w:position w:val="0"/>
              </w:rPr>
              <w:t>万元，增加对应用开发和测试费的投入</w:t>
            </w:r>
            <w:r>
              <w:rPr>
                <w:rFonts w:ascii="Times New Roman" w:eastAsia="Times New Roman" w:hAnsi="Times New Roman" w:cs="Times New Roman"/>
                <w:color w:val="000000"/>
                <w:spacing w:val="0"/>
                <w:w w:val="100"/>
                <w:position w:val="0"/>
              </w:rPr>
              <w:t>1,000.00</w:t>
            </w:r>
            <w:r>
              <w:rPr>
                <w:color w:val="000000"/>
                <w:spacing w:val="0"/>
                <w:w w:val="100"/>
                <w:position w:val="0"/>
              </w:rPr>
              <w:t>万元，变更实施方式、投资结构后本项目的投资总额不 变，总投资额计</w:t>
            </w:r>
            <w:r>
              <w:rPr>
                <w:rFonts w:ascii="Times New Roman" w:eastAsia="Times New Roman" w:hAnsi="Times New Roman" w:cs="Times New Roman"/>
                <w:color w:val="000000"/>
                <w:spacing w:val="0"/>
                <w:w w:val="100"/>
                <w:position w:val="0"/>
              </w:rPr>
              <w:t>5,468.11</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日召开的第三届董事会第二十次会议审议通过了《关于使用募集资金置换预先投入募投</w:t>
            </w: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项目先</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项目自筹资金的议案》，同意公司以非公开发行股票募集资金置换预先投入募投项目的自筹资金</w:t>
            </w:r>
            <w:r>
              <w:rPr>
                <w:rFonts w:ascii="Times New Roman" w:eastAsia="Times New Roman" w:hAnsi="Times New Roman" w:cs="Times New Roman"/>
                <w:color w:val="000000"/>
                <w:spacing w:val="0"/>
                <w:w w:val="100"/>
                <w:position w:val="0"/>
              </w:rPr>
              <w:t>2,041.28</w:t>
            </w:r>
            <w:r>
              <w:rPr>
                <w:color w:val="000000"/>
                <w:spacing w:val="0"/>
                <w:w w:val="100"/>
                <w:position w:val="0"/>
              </w:rPr>
              <w:t>万元。</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公司以自筹资金预先投入募集资金投资项目情况报告业经大华会计师事务所（特殊普通合伙）鉴证，并出具了大</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及置换</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华核字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2019]006557</w:t>
            </w:r>
            <w:r>
              <w:rPr>
                <w:color w:val="000000"/>
                <w:spacing w:val="0"/>
                <w:w w:val="100"/>
                <w:position w:val="0"/>
              </w:rPr>
              <w:t>号《鉴证报告》。公司独立董事、监事会、保荐机构针对上述事项均发表了同意意见。该事</w:t>
            </w:r>
          </w:p>
        </w:tc>
      </w:tr>
      <w:tr>
        <w:trPr>
          <w:trHeight w:val="36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日公告。</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日召开的第三届董事会第十八次会议审议通过了《关于使用部分闲置募集资金暂时补充</w:t>
            </w:r>
          </w:p>
        </w:tc>
      </w:tr>
      <w:tr>
        <w:trPr>
          <w:trHeight w:val="31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流动资金的议案》，同意公司使用不超过</w:t>
            </w:r>
            <w:r>
              <w:rPr>
                <w:rFonts w:ascii="Times New Roman" w:eastAsia="Times New Roman" w:hAnsi="Times New Roman" w:cs="Times New Roman"/>
                <w:color w:val="000000"/>
                <w:spacing w:val="0"/>
                <w:w w:val="100"/>
                <w:position w:val="0"/>
              </w:rPr>
              <w:t>8,000</w:t>
            </w:r>
            <w:r>
              <w:rPr>
                <w:color w:val="000000"/>
                <w:spacing w:val="0"/>
                <w:w w:val="100"/>
                <w:position w:val="0"/>
              </w:rPr>
              <w:t>万元的闲置募集资金暂时补充日常经营所需的流动资金，使用期限</w:t>
            </w:r>
          </w:p>
        </w:tc>
      </w:tr>
      <w:tr>
        <w:trPr>
          <w:trHeight w:val="30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自董事会批准之日起不超过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个月，到期后将归还至募集资金专项账户。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日，公司召开第三届</w:t>
            </w:r>
          </w:p>
        </w:tc>
      </w:tr>
      <w:tr>
        <w:trPr>
          <w:trHeight w:val="31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金暂时</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董事会第二十八次会议，审议通过《关于延期归还闲置募集资金并继续用于暂时补充流动资金的议案》，为满足</w:t>
            </w:r>
          </w:p>
        </w:tc>
      </w:tr>
      <w:tr>
        <w:trPr>
          <w:trHeight w:val="31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日常经营需要，同意公司延期归还闲置募集资金</w:t>
            </w:r>
            <w:r>
              <w:rPr>
                <w:rFonts w:ascii="Times New Roman" w:eastAsia="Times New Roman" w:hAnsi="Times New Roman" w:cs="Times New Roman"/>
                <w:color w:val="000000"/>
                <w:spacing w:val="0"/>
                <w:w w:val="100"/>
                <w:position w:val="0"/>
              </w:rPr>
              <w:t>8,000</w:t>
            </w:r>
            <w:r>
              <w:rPr>
                <w:color w:val="000000"/>
                <w:spacing w:val="0"/>
                <w:w w:val="100"/>
                <w:position w:val="0"/>
              </w:rPr>
              <w:t>万元并继续用于暂时补充流动资金。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w:t>
            </w:r>
          </w:p>
        </w:tc>
      </w:tr>
      <w:tr>
        <w:trPr>
          <w:trHeight w:val="30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司召开第四届董事会第三次会议审议通过《关于延期归还闲置募集资金并继续用于暂时补充流动资金的议案》，</w:t>
            </w:r>
          </w:p>
        </w:tc>
      </w:tr>
      <w:tr>
        <w:trPr>
          <w:trHeight w:val="979"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随着公司业务规模不断扩大，对流动资金的需求日益增加，为满足公司发展需要，提高募集资金的使用效率，同 意公司延期归还闲置募集资金</w:t>
            </w:r>
            <w:r>
              <w:rPr>
                <w:rFonts w:ascii="Times New Roman" w:eastAsia="Times New Roman" w:hAnsi="Times New Roman" w:cs="Times New Roman"/>
                <w:color w:val="000000"/>
                <w:spacing w:val="0"/>
                <w:w w:val="100"/>
                <w:position w:val="0"/>
              </w:rPr>
              <w:t>8,000</w:t>
            </w:r>
            <w:r>
              <w:rPr>
                <w:color w:val="000000"/>
                <w:spacing w:val="0"/>
                <w:w w:val="100"/>
                <w:position w:val="0"/>
              </w:rPr>
              <w:t>万元并继续用于暂时补充流动资金。截至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日止，公司使用闲 置募集资金补充流动资金的余额为</w:t>
            </w:r>
            <w:r>
              <w:rPr>
                <w:rFonts w:ascii="Times New Roman" w:eastAsia="Times New Roman" w:hAnsi="Times New Roman" w:cs="Times New Roman"/>
                <w:color w:val="000000"/>
                <w:spacing w:val="0"/>
                <w:w w:val="100"/>
                <w:position w:val="0"/>
              </w:rPr>
              <w:t>8,000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及原因</w:t>
            </w: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日召开的第三届董事会第二十七次会议审议通过了《关于使用部分闲置募集资金进行现金</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日召开的第四届董事会第二次会议审议通过了《关于使用部分闲置募集资金进行现</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金管理的议案》，同意公司及子公司在确保不影响募集资金投资项目建设和正常生产经营的情况下，使用不超过</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w:t>
            </w:r>
            <w:r>
              <w:rPr>
                <w:color w:val="000000"/>
                <w:spacing w:val="0"/>
                <w:w w:val="100"/>
                <w:position w:val="0"/>
              </w:rPr>
              <w:t>万元的暂时闲置的募集资金进行现金管理，使用期限自董事会审议通过之日起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个月内有效。截至</w:t>
            </w:r>
            <w:r>
              <w:rPr>
                <w:rFonts w:ascii="Times New Roman" w:eastAsia="Times New Roman" w:hAnsi="Times New Roman" w:cs="Times New Roman"/>
                <w:color w:val="000000"/>
                <w:spacing w:val="0"/>
                <w:w w:val="100"/>
                <w:position w:val="0"/>
              </w:rPr>
              <w:t>2021</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日止，公司使用闲置募集资金购买的结构性存款余额为</w:t>
            </w:r>
            <w:r>
              <w:rPr>
                <w:rFonts w:ascii="Times New Roman" w:eastAsia="Times New Roman" w:hAnsi="Times New Roman" w:cs="Times New Roman"/>
                <w:color w:val="000000"/>
                <w:spacing w:val="0"/>
                <w:w w:val="100"/>
                <w:position w:val="0"/>
              </w:rPr>
              <w:t>6,000</w:t>
            </w:r>
            <w:r>
              <w:rPr>
                <w:color w:val="000000"/>
                <w:spacing w:val="0"/>
                <w:w w:val="100"/>
                <w:position w:val="0"/>
              </w:rPr>
              <w:t>万元。</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5"/>
        </w:numPr>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募集资金变更项目情况</w:t>
      </w:r>
      <w:bookmarkEnd w:id="205"/>
      <w:bookmarkEnd w:id="206"/>
      <w:bookmarkEnd w:id="20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八</w:t>
      </w:r>
      <w:bookmarkEnd w:id="211"/>
      <w:r>
        <w:rPr>
          <w:color w:val="000000"/>
          <w:spacing w:val="0"/>
          <w:w w:val="100"/>
          <w:position w:val="0"/>
          <w:sz w:val="24"/>
          <w:szCs w:val="24"/>
        </w:rPr>
        <w:t>、</w:t>
        <w:tab/>
        <w:t>重大资产和股权出售</w:t>
      </w:r>
      <w:bookmarkEnd w:id="209"/>
      <w:bookmarkEnd w:id="210"/>
      <w:bookmarkEnd w:id="212"/>
    </w:p>
    <w:p>
      <w:pPr>
        <w:pStyle w:val="Style33"/>
        <w:keepNext/>
        <w:keepLines/>
        <w:widowControl w:val="0"/>
        <w:shd w:val="clear" w:color="auto" w:fill="auto"/>
        <w:tabs>
          <w:tab w:pos="400"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0"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九</w:t>
      </w:r>
      <w:bookmarkEnd w:id="223"/>
      <w:r>
        <w:rPr>
          <w:color w:val="000000"/>
          <w:spacing w:val="0"/>
          <w:w w:val="100"/>
          <w:position w:val="0"/>
          <w:sz w:val="24"/>
          <w:szCs w:val="24"/>
        </w:rPr>
        <w:t>、</w:t>
        <w:tab/>
        <w:t>主要控股参股公司分析</w:t>
      </w:r>
      <w:bookmarkEnd w:id="221"/>
      <w:bookmarkEnd w:id="222"/>
      <w:bookmarkEnd w:id="22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内蒙古金财</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 开发、服务 及销售；计 算机硬件、 办公服务器 的销售等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160,831,579.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100,869,759.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165,129,991.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54,894,825.0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48,165,780.5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6</w:t>
            </w:r>
            <w:r>
              <w:rPr>
                <w:color w:val="000000"/>
                <w:spacing w:val="0"/>
                <w:w w:val="100"/>
                <w:position w:val="0"/>
              </w:rPr>
              <w:t>月注销，自注销完成之日起不再 纳入合并范围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9</w:t>
            </w:r>
            <w:r>
              <w:rPr>
                <w:color w:val="000000"/>
                <w:spacing w:val="0"/>
                <w:w w:val="100"/>
                <w:position w:val="0"/>
              </w:rPr>
              <w:t>月注销，自注销完成之日起不再 纳入合并范围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2"/>
        <w:keepNext w:val="0"/>
        <w:keepLines w:val="0"/>
        <w:widowControl w:val="0"/>
        <w:shd w:val="clear" w:color="auto" w:fill="auto"/>
        <w:bidi w:val="0"/>
        <w:spacing w:before="0" w:after="0" w:line="318" w:lineRule="exact"/>
        <w:ind w:left="0" w:right="0" w:firstLine="320"/>
        <w:jc w:val="left"/>
      </w:pPr>
      <w:r>
        <w:rPr>
          <w:color w:val="000000"/>
          <w:spacing w:val="0"/>
          <w:w w:val="100"/>
          <w:position w:val="0"/>
        </w:rPr>
        <w:t>公司报告期内吸收合并全资子公司吉林省博思金财科技有限公司（以下简称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吉林金财</w:t>
      </w:r>
      <w:r>
        <w:rPr>
          <w:rFonts w:ascii="Times New Roman" w:eastAsia="Times New Roman" w:hAnsi="Times New Roman" w:cs="Times New Roman"/>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月，吉林金财 所有资产、债权、债务等已完成变更或处置，并取得了长春市市场监督管理局南关分局出具的《准予注销登记通知书》，准 予吉林金财注销登记。至此，公司吸收合并吉林金财的相关手续已全部办理完毕，吉林金财的独立法人资格已被注销，其全 部资产、债权债务及其他一切权利和义务均由公司依法承继。</w:t>
      </w:r>
    </w:p>
    <w:p>
      <w:pPr>
        <w:pStyle w:val="Style22"/>
        <w:keepNext w:val="0"/>
        <w:keepLines w:val="0"/>
        <w:widowControl w:val="0"/>
        <w:shd w:val="clear" w:color="auto" w:fill="auto"/>
        <w:bidi w:val="0"/>
        <w:spacing w:before="0" w:after="380" w:line="319" w:lineRule="exact"/>
        <w:ind w:left="0" w:right="0" w:firstLine="320"/>
        <w:jc w:val="left"/>
      </w:pPr>
      <w:r>
        <w:rPr>
          <w:color w:val="000000"/>
          <w:spacing w:val="0"/>
          <w:w w:val="100"/>
          <w:position w:val="0"/>
        </w:rPr>
        <w:t>公司控股子公司博思数采科技发展有限公司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2,549.37</w:t>
      </w:r>
      <w:r>
        <w:rPr>
          <w:color w:val="000000"/>
          <w:spacing w:val="0"/>
          <w:w w:val="100"/>
          <w:position w:val="0"/>
        </w:rPr>
        <w:t>万元，上年同期为</w:t>
      </w:r>
      <w:r>
        <w:rPr>
          <w:rFonts w:ascii="Times New Roman" w:eastAsia="Times New Roman" w:hAnsi="Times New Roman" w:cs="Times New Roman"/>
          <w:color w:val="000000"/>
          <w:spacing w:val="0"/>
          <w:w w:val="100"/>
          <w:position w:val="0"/>
        </w:rPr>
        <w:t>15,016.4</w:t>
      </w:r>
      <w:r>
        <w:rPr>
          <w:rFonts w:ascii="Times New Roman" w:eastAsia="Times New Roman" w:hAnsi="Times New Roman" w:cs="Times New Roman"/>
          <w:color w:val="000000"/>
          <w:spacing w:val="0"/>
          <w:w w:val="100"/>
          <w:position w:val="0"/>
        </w:rPr>
        <w:t>7</w:t>
      </w:r>
      <w:r>
        <w:rPr>
          <w:color w:val="000000"/>
          <w:spacing w:val="0"/>
          <w:w w:val="100"/>
          <w:position w:val="0"/>
        </w:rPr>
        <w:t>万元，营业收入 增长</w:t>
      </w:r>
      <w:r>
        <w:rPr>
          <w:rFonts w:ascii="Times New Roman" w:eastAsia="Times New Roman" w:hAnsi="Times New Roman" w:cs="Times New Roman"/>
          <w:color w:val="000000"/>
          <w:spacing w:val="0"/>
          <w:w w:val="100"/>
          <w:position w:val="0"/>
        </w:rPr>
        <w:t>50.16%</w:t>
      </w:r>
      <w:r>
        <w:rPr>
          <w:color w:val="000000"/>
          <w:spacing w:val="0"/>
          <w:w w:val="100"/>
          <w:position w:val="0"/>
        </w:rPr>
        <w:t>；实现净利润</w:t>
      </w:r>
      <w:r>
        <w:rPr>
          <w:rFonts w:ascii="Times New Roman" w:eastAsia="Times New Roman" w:hAnsi="Times New Roman" w:cs="Times New Roman"/>
          <w:color w:val="000000"/>
          <w:spacing w:val="0"/>
          <w:w w:val="100"/>
          <w:position w:val="0"/>
        </w:rPr>
        <w:t>1,123.24</w:t>
      </w:r>
      <w:r>
        <w:rPr>
          <w:color w:val="000000"/>
          <w:spacing w:val="0"/>
          <w:w w:val="100"/>
          <w:position w:val="0"/>
        </w:rPr>
        <w:t>万元，上年同期为</w:t>
      </w:r>
      <w:r>
        <w:rPr>
          <w:rFonts w:ascii="Times New Roman" w:eastAsia="Times New Roman" w:hAnsi="Times New Roman" w:cs="Times New Roman"/>
          <w:color w:val="000000"/>
          <w:spacing w:val="0"/>
          <w:w w:val="100"/>
          <w:position w:val="0"/>
        </w:rPr>
        <w:t>-2,258.98</w:t>
      </w:r>
      <w:r>
        <w:rPr>
          <w:color w:val="000000"/>
          <w:spacing w:val="0"/>
          <w:w w:val="100"/>
          <w:position w:val="0"/>
        </w:rPr>
        <w:t>万元，净利润增长</w:t>
      </w:r>
      <w:r>
        <w:rPr>
          <w:rFonts w:ascii="Times New Roman" w:eastAsia="Times New Roman" w:hAnsi="Times New Roman" w:cs="Times New Roman"/>
          <w:color w:val="000000"/>
          <w:spacing w:val="0"/>
          <w:w w:val="100"/>
          <w:position w:val="0"/>
        </w:rPr>
        <w:t>149.72%</w:t>
      </w:r>
      <w:r>
        <w:rPr>
          <w:color w:val="000000"/>
          <w:spacing w:val="0"/>
          <w:w w:val="100"/>
          <w:position w:val="0"/>
        </w:rPr>
        <w:t>，主要原因是销售规模扩大，营业收 入大幅提升。</w:t>
      </w:r>
    </w:p>
    <w:p>
      <w:pPr>
        <w:pStyle w:val="Style27"/>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十、公司控制的结构化主体情况</w:t>
      </w:r>
      <w:bookmarkEnd w:id="225"/>
      <w:bookmarkEnd w:id="226"/>
      <w:bookmarkEnd w:id="227"/>
    </w:p>
    <w:p>
      <w:pPr>
        <w:pStyle w:val="Style22"/>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28" w:name="bookmark228"/>
      <w:bookmarkStart w:id="229" w:name="bookmark229"/>
      <w:bookmarkStart w:id="230" w:name="bookmark230"/>
      <w:r>
        <w:rPr>
          <w:color w:val="000000"/>
          <w:spacing w:val="0"/>
          <w:w w:val="100"/>
          <w:position w:val="0"/>
          <w:sz w:val="24"/>
          <w:szCs w:val="24"/>
        </w:rPr>
        <w:t>十一、公司未来发展的展望</w:t>
      </w:r>
      <w:bookmarkEnd w:id="228"/>
      <w:bookmarkEnd w:id="229"/>
      <w:bookmarkEnd w:id="230"/>
    </w:p>
    <w:p>
      <w:pPr>
        <w:pStyle w:val="Style22"/>
        <w:keepNext w:val="0"/>
        <w:keepLines w:val="0"/>
        <w:widowControl w:val="0"/>
        <w:shd w:val="clear" w:color="auto" w:fill="auto"/>
        <w:tabs>
          <w:tab w:pos="684" w:val="left"/>
        </w:tabs>
        <w:bidi w:val="0"/>
        <w:spacing w:before="0" w:after="0"/>
        <w:ind w:left="0" w:right="0"/>
        <w:jc w:val="both"/>
      </w:pPr>
      <w:bookmarkStart w:id="231" w:name="bookmark231"/>
      <w:r>
        <w:rPr>
          <w:rFonts w:ascii="Times New Roman" w:eastAsia="Times New Roman" w:hAnsi="Times New Roman" w:cs="Times New Roman"/>
          <w:b/>
          <w:bCs/>
          <w:color w:val="000000"/>
          <w:spacing w:val="0"/>
          <w:w w:val="100"/>
          <w:position w:val="0"/>
        </w:rPr>
        <w:t>1</w:t>
      </w:r>
      <w:bookmarkEnd w:id="231"/>
      <w:r>
        <w:rPr>
          <w:b/>
          <w:bCs/>
          <w:color w:val="000000"/>
          <w:spacing w:val="0"/>
          <w:w w:val="100"/>
          <w:position w:val="0"/>
        </w:rPr>
        <w:t>、</w:t>
        <w:tab/>
        <w:t>行业发展情况</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公司所处行业的发展情况及趋势，详见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一、报告期内公司所处行业情况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tabs>
          <w:tab w:pos="699" w:val="left"/>
        </w:tabs>
        <w:bidi w:val="0"/>
        <w:spacing w:before="0" w:after="0"/>
        <w:ind w:left="0" w:right="0"/>
        <w:jc w:val="both"/>
      </w:pPr>
      <w:bookmarkStart w:id="232" w:name="bookmark232"/>
      <w:r>
        <w:rPr>
          <w:rFonts w:ascii="Times New Roman" w:eastAsia="Times New Roman" w:hAnsi="Times New Roman" w:cs="Times New Roman"/>
          <w:b/>
          <w:bCs/>
          <w:color w:val="000000"/>
          <w:spacing w:val="0"/>
          <w:w w:val="100"/>
          <w:position w:val="0"/>
        </w:rPr>
        <w:t>2</w:t>
      </w:r>
      <w:bookmarkEnd w:id="232"/>
      <w:r>
        <w:rPr>
          <w:b/>
          <w:bCs/>
          <w:color w:val="000000"/>
          <w:spacing w:val="0"/>
          <w:w w:val="100"/>
          <w:position w:val="0"/>
        </w:rPr>
        <w:t>、</w:t>
        <w:tab/>
        <w:t>公司发展战略</w:t>
      </w:r>
    </w:p>
    <w:p>
      <w:pPr>
        <w:pStyle w:val="Style2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年是公司成立二十周年、上市五周年的重要时间节点，年内公司召开了内部战略研讨会，就公司未来五年的战略目 标及实施路径作了整体规划与部署，并对公司愿景进行了升级。</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公司将继续以</w:t>
      </w:r>
      <w:r>
        <w:rPr>
          <w:rFonts w:ascii="Times New Roman" w:eastAsia="Times New Roman" w:hAnsi="Times New Roman" w:cs="Times New Roman"/>
          <w:color w:val="000000"/>
          <w:spacing w:val="0"/>
          <w:w w:val="100"/>
          <w:position w:val="0"/>
        </w:rPr>
        <w:t>“</w:t>
      </w:r>
      <w:r>
        <w:rPr>
          <w:color w:val="000000"/>
          <w:spacing w:val="0"/>
          <w:w w:val="100"/>
          <w:position w:val="0"/>
        </w:rPr>
        <w:t>专注科技与创新，更好服务于社会公众</w:t>
      </w:r>
      <w:r>
        <w:rPr>
          <w:rFonts w:ascii="Times New Roman" w:eastAsia="Times New Roman" w:hAnsi="Times New Roman" w:cs="Times New Roman"/>
          <w:color w:val="000000"/>
          <w:spacing w:val="0"/>
          <w:w w:val="100"/>
          <w:position w:val="0"/>
        </w:rPr>
        <w:t>”</w:t>
      </w:r>
      <w:r>
        <w:rPr>
          <w:color w:val="000000"/>
          <w:spacing w:val="0"/>
          <w:w w:val="100"/>
          <w:position w:val="0"/>
        </w:rPr>
        <w:t>为使命，聚焦财政电子票据及非税收入、政府智慧财政财务、公 共采购、智慧城市</w:t>
      </w:r>
      <w:r>
        <w:rPr>
          <w:rFonts w:ascii="Times New Roman" w:eastAsia="Times New Roman" w:hAnsi="Times New Roman" w:cs="Times New Roman"/>
          <w:color w:val="000000"/>
          <w:spacing w:val="0"/>
          <w:w w:val="100"/>
          <w:position w:val="0"/>
        </w:rPr>
        <w:t>+</w:t>
      </w:r>
      <w:r>
        <w:rPr>
          <w:color w:val="000000"/>
          <w:spacing w:val="0"/>
          <w:w w:val="100"/>
          <w:position w:val="0"/>
        </w:rPr>
        <w:t>数字乡村领域，紧紧把握当今技术趋势，不断向互联网、大数据应用和服务转型，力争成为全国领先的 政府</w:t>
      </w:r>
      <w:r>
        <w:rPr>
          <w:rFonts w:ascii="Times New Roman" w:eastAsia="Times New Roman" w:hAnsi="Times New Roman" w:cs="Times New Roman"/>
          <w:color w:val="000000"/>
          <w:spacing w:val="0"/>
          <w:w w:val="100"/>
          <w:position w:val="0"/>
        </w:rPr>
        <w:t>+</w:t>
      </w:r>
      <w:r>
        <w:rPr>
          <w:color w:val="000000"/>
          <w:spacing w:val="0"/>
          <w:w w:val="100"/>
          <w:position w:val="0"/>
        </w:rPr>
        <w:t>互联网服务提供商，让亿万公众和百万企业享受我们优质的互联网服务，并进入中国</w:t>
      </w:r>
      <w:r>
        <w:rPr>
          <w:rFonts w:ascii="Times New Roman" w:eastAsia="Times New Roman" w:hAnsi="Times New Roman" w:cs="Times New Roman"/>
          <w:color w:val="000000"/>
          <w:spacing w:val="0"/>
          <w:w w:val="100"/>
          <w:position w:val="0"/>
        </w:rPr>
        <w:t>IT</w:t>
      </w:r>
      <w:r>
        <w:rPr>
          <w:color w:val="000000"/>
          <w:spacing w:val="0"/>
          <w:w w:val="100"/>
          <w:position w:val="0"/>
        </w:rPr>
        <w:t>上市公司二十强。</w:t>
      </w:r>
    </w:p>
    <w:p>
      <w:pPr>
        <w:pStyle w:val="Style22"/>
        <w:keepNext w:val="0"/>
        <w:keepLines w:val="0"/>
        <w:widowControl w:val="0"/>
        <w:shd w:val="clear" w:color="auto" w:fill="auto"/>
        <w:tabs>
          <w:tab w:pos="699" w:val="left"/>
        </w:tabs>
        <w:bidi w:val="0"/>
        <w:spacing w:before="0" w:after="0"/>
        <w:ind w:left="0" w:right="0"/>
        <w:jc w:val="both"/>
      </w:pPr>
      <w:bookmarkStart w:id="233" w:name="bookmark233"/>
      <w:r>
        <w:rPr>
          <w:rFonts w:ascii="Times New Roman" w:eastAsia="Times New Roman" w:hAnsi="Times New Roman" w:cs="Times New Roman"/>
          <w:b/>
          <w:bCs/>
          <w:color w:val="000000"/>
          <w:spacing w:val="0"/>
          <w:w w:val="100"/>
          <w:position w:val="0"/>
        </w:rPr>
        <w:t>3</w:t>
      </w:r>
      <w:bookmarkEnd w:id="233"/>
      <w:r>
        <w:rPr>
          <w:b/>
          <w:bCs/>
          <w:color w:val="000000"/>
          <w:spacing w:val="0"/>
          <w:w w:val="100"/>
          <w:position w:val="0"/>
        </w:rPr>
        <w:t>、</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年公司经营计划</w:t>
      </w:r>
    </w:p>
    <w:p>
      <w:pPr>
        <w:pStyle w:val="Style2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年，公司将围绕上述发展战略，继续以客户为中心，以研发为驱动，以人才为根本，开展主要经营管理工作：</w:t>
      </w:r>
    </w:p>
    <w:p>
      <w:pPr>
        <w:pStyle w:val="Style22"/>
        <w:keepNext w:val="0"/>
        <w:keepLines w:val="0"/>
        <w:widowControl w:val="0"/>
        <w:shd w:val="clear" w:color="auto" w:fill="auto"/>
        <w:bidi w:val="0"/>
        <w:spacing w:before="0" w:after="0" w:line="312" w:lineRule="exact"/>
        <w:ind w:left="0" w:right="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1</w:t>
      </w:r>
      <w:r>
        <w:rPr>
          <w:color w:val="000000"/>
          <w:spacing w:val="0"/>
          <w:w w:val="100"/>
          <w:position w:val="0"/>
        </w:rPr>
        <w:t>）业务拓展</w:t>
      </w:r>
    </w:p>
    <w:p>
      <w:pPr>
        <w:pStyle w:val="Style2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年，公司将在财政电子票据及非税收入领域，继续借助互联网</w:t>
      </w:r>
      <w:r>
        <w:rPr>
          <w:rFonts w:ascii="Times New Roman" w:eastAsia="Times New Roman" w:hAnsi="Times New Roman" w:cs="Times New Roman"/>
          <w:color w:val="000000"/>
          <w:spacing w:val="0"/>
          <w:w w:val="100"/>
          <w:position w:val="0"/>
        </w:rPr>
        <w:t>+</w:t>
      </w:r>
      <w:r>
        <w:rPr>
          <w:color w:val="000000"/>
          <w:spacing w:val="0"/>
          <w:w w:val="100"/>
          <w:position w:val="0"/>
        </w:rPr>
        <w:t>政务、财政电子票据、非税收缴电子化管理政策东 风，强化推广电子票据的应用，积极争取未覆盖省份的电子票据业务，加快推动已覆盖省份的电子票据深度应用，横向扩展 教育、交通、医疗、公安、法院等行业电子票据，推进电子非税收入一般缴款书在中央单位及地方省份全面上线，助力全国 非税收缴全流程电子化管理实现资金收缴、资金缴库、资金退库、收入调整，全流程电子化闭环管理，提升资金周转效率， 提升财政非税收入精细化管理水平和服务质量。其中，医疗电子票据市场广阔，公司将继续以已开拓的财政电子票据市场为 支撑，加快已开拓省份的医疗电子票据推广，扩大业务覆盖面，提高空白省份医院的市场占有率，同时充分挖掘原有客户的 业务应用深度，加强医疗电子票据中间业务平台的产品专业化和服务水平。</w:t>
      </w:r>
    </w:p>
    <w:p>
      <w:pPr>
        <w:pStyle w:val="Style22"/>
        <w:keepNext w:val="0"/>
        <w:keepLines w:val="0"/>
        <w:widowControl w:val="0"/>
        <w:shd w:val="clear" w:color="auto" w:fill="auto"/>
        <w:bidi w:val="0"/>
        <w:spacing w:before="0" w:after="180" w:line="312" w:lineRule="exact"/>
        <w:ind w:left="0" w:right="0"/>
        <w:jc w:val="both"/>
      </w:pPr>
      <w:r>
        <w:rPr>
          <w:color w:val="000000"/>
          <w:spacing w:val="0"/>
          <w:w w:val="100"/>
          <w:position w:val="0"/>
        </w:rPr>
        <w:t>在政府智慧财政财务领域，财政预算管理业务是财政信息化的标志项目以及护城河，各个地区政府单位正积极贯彻落实 财政部全国预算管理一体化建设工作的要求，加快推进全国财政信息化、系统化的发展。公司将凭借技术能力积累，利用先 前市场地位，深入拓展现有客户及区域，加大市场开发力度，积极争取重点项目的扩展及落地，努力成为行业内主流厂商。</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在公共采购领域，公司将继续深入发展、深入解读国家政策要求，结合不同区域、不同客户的情况，扩充政府采购电子 化管理平台的服务功能，完善产品结构，为政府部门、央企、大型国企、高校提供更加规范、完善的采购平台，扩大公司在 公共采购领域的市场占有率，巩固和提高公司的行业地位。同时丰富金融</w:t>
      </w:r>
      <w:r>
        <w:rPr>
          <w:rFonts w:ascii="Times New Roman" w:eastAsia="Times New Roman" w:hAnsi="Times New Roman" w:cs="Times New Roman"/>
          <w:color w:val="000000"/>
          <w:spacing w:val="0"/>
          <w:w w:val="100"/>
          <w:position w:val="0"/>
        </w:rPr>
        <w:t>IT</w:t>
      </w:r>
      <w:r>
        <w:rPr>
          <w:color w:val="000000"/>
          <w:spacing w:val="0"/>
          <w:w w:val="100"/>
          <w:position w:val="0"/>
        </w:rPr>
        <w:t>产品，打造全方位金融服务平台并提供相关</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服务，提升公司的核心竞争力。</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在智慧城市和数字乡村领域，公司将发挥在政府缴费服务及一码通行方面的优势，将</w:t>
      </w:r>
      <w:r>
        <w:rPr>
          <w:rFonts w:ascii="Times New Roman" w:eastAsia="Times New Roman" w:hAnsi="Times New Roman" w:cs="Times New Roman"/>
          <w:color w:val="000000"/>
          <w:spacing w:val="0"/>
          <w:w w:val="100"/>
          <w:position w:val="0"/>
        </w:rPr>
        <w:t>e</w:t>
      </w:r>
      <w:r>
        <w:rPr>
          <w:color w:val="000000"/>
          <w:spacing w:val="0"/>
          <w:w w:val="100"/>
          <w:position w:val="0"/>
        </w:rPr>
        <w:t>福州打造成为城市服务标杆，开 展城市运营新模式，同时加大一码通平台及政府统一支付公共平台的推广力度，扩大省级及市级智慧城市建设业务覆盖地区， 并在产品、运营以及盈利模式上形成新突破。数字乡村方面，公司将深入解读国家有关数字乡村的相关政策要求，扩大现有 产品的市场覆盖，并继续推进新产品的开发与落地。</w:t>
      </w:r>
    </w:p>
    <w:p>
      <w:pPr>
        <w:pStyle w:val="Style22"/>
        <w:keepNext w:val="0"/>
        <w:keepLines w:val="0"/>
        <w:widowControl w:val="0"/>
        <w:shd w:val="clear" w:color="auto" w:fill="auto"/>
        <w:tabs>
          <w:tab w:pos="765" w:val="left"/>
        </w:tabs>
        <w:bidi w:val="0"/>
        <w:spacing w:before="0" w:after="0" w:line="313" w:lineRule="exact"/>
        <w:ind w:left="0" w:right="0"/>
        <w:jc w:val="left"/>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w:t>
        <w:tab/>
        <w:t>产品研发</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公司将持续加大研发投入，结合行业相关技术的发展动态和趋势，以及客户需求的变化，积极推动相关产品的升级换代， 不断完善产品功能，提高用户的操控体验，为客户提供更多增值服务，进一步拓展主营业务行业应用的深度和广度；同时根 据当前财政信息化、互联网化的发展趋势，积极研发财政信息化互联网产品。在财政电子票据及非税收入领域，将进一步加 强财政电子票据行业版（如医疗等）产品的研发，并加强电子票据云平台产品建设、完善，积极为电子票据的社会化应用提 供技术服务；在政府智慧财政财务领域，基于互联网云化微服务架构和信创数据库，加大产品创新，完善产品结构，引领行 业新应用模式；在公共采购领域，进一步打造完善公共采购领域全面解决方案；在智慧城市和数字乡村领域，进一步扩大智 慧城市相关产品的市场应用，加快数字乡村产品落地及市场推广。</w:t>
      </w:r>
    </w:p>
    <w:p>
      <w:pPr>
        <w:pStyle w:val="Style22"/>
        <w:keepNext w:val="0"/>
        <w:keepLines w:val="0"/>
        <w:widowControl w:val="0"/>
        <w:shd w:val="clear" w:color="auto" w:fill="auto"/>
        <w:tabs>
          <w:tab w:pos="765" w:val="left"/>
        </w:tabs>
        <w:bidi w:val="0"/>
        <w:spacing w:before="0" w:after="0" w:line="313" w:lineRule="exact"/>
        <w:ind w:left="0" w:right="0"/>
        <w:jc w:val="left"/>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3</w:t>
      </w:r>
      <w:r>
        <w:rPr>
          <w:color w:val="000000"/>
          <w:spacing w:val="0"/>
          <w:w w:val="100"/>
          <w:position w:val="0"/>
        </w:rPr>
        <w:t>）</w:t>
        <w:tab/>
        <w:t>人力资源</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公司将以企业战略为指引，推动人才发展模式转型升级。创新用人机制，注重人才梯队培养，多渠道引进专业技术人才， 不断优化人才队伍；将加强培训体系建设，提供全面、完善的培训计划，持续打造学习型组织，提升员工业务能力及效率； 完善考核与激励机制，推进公司长效激励机制建设的同时，加强员工的工作计划管理以及质量监督评价管理，严格执行奖惩 兑现，实现优胜劣汰。</w:t>
      </w:r>
    </w:p>
    <w:p>
      <w:pPr>
        <w:pStyle w:val="Style22"/>
        <w:keepNext w:val="0"/>
        <w:keepLines w:val="0"/>
        <w:widowControl w:val="0"/>
        <w:shd w:val="clear" w:color="auto" w:fill="auto"/>
        <w:tabs>
          <w:tab w:pos="765" w:val="left"/>
        </w:tabs>
        <w:bidi w:val="0"/>
        <w:spacing w:before="0" w:after="0" w:line="313" w:lineRule="exact"/>
        <w:ind w:left="0" w:right="0"/>
        <w:jc w:val="left"/>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4</w:t>
      </w:r>
      <w:r>
        <w:rPr>
          <w:color w:val="000000"/>
          <w:spacing w:val="0"/>
          <w:w w:val="100"/>
          <w:position w:val="0"/>
        </w:rPr>
        <w:t>）</w:t>
        <w:tab/>
        <w:t>内控管理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随着近年来子公司数量的增加，公司规模不断扩大，对内部管理的要求更高。公司将进一步梳理内部管理流程，完善公 司内部流程规范和相关内部控制制度建设，合理进行资源调配和组织架构调整，优化管理结构，提升内控水平。财务管理方 面，深化全面预算管理，按照公司制定的各项预算规划和责任目标，定期进行跟踪、落实、监督和分析，控制日常经营中的 经营成本，加强资金管理，提高资金使用效率，降低融资成本；强化应收账款管理，防范财务风险等。信息化建设方面，公 司将进一步完善财务信息化系统，通过信息化系统优化业务流程管控、预算成本管理、内部风险控制，提高公司经营数据的 自动化、智能化和可视化水平，实现企业精益管理，进一步提高管理运营效率效益。</w:t>
      </w:r>
    </w:p>
    <w:p>
      <w:pPr>
        <w:pStyle w:val="Style22"/>
        <w:keepNext w:val="0"/>
        <w:keepLines w:val="0"/>
        <w:widowControl w:val="0"/>
        <w:shd w:val="clear" w:color="auto" w:fill="auto"/>
        <w:tabs>
          <w:tab w:pos="765" w:val="left"/>
        </w:tabs>
        <w:bidi w:val="0"/>
        <w:spacing w:before="0" w:after="0" w:line="313" w:lineRule="exact"/>
        <w:ind w:left="0" w:right="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5</w:t>
      </w:r>
      <w:r>
        <w:rPr>
          <w:color w:val="000000"/>
          <w:spacing w:val="0"/>
          <w:w w:val="100"/>
          <w:position w:val="0"/>
        </w:rPr>
        <w:t>）</w:t>
        <w:tab/>
        <w:t>资本运作</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公司根据发展战略，围绕自身核心业务，在时机较为成熟的前提下，公司将继续充分利用自身优势和资本市场平台，采 用兼并收购等多种方式扩张，并有效整合资源、提高运营效率，增强企业核心竞争力。同时公司将发挥上市公司综合优势， 加强资本运作，以进一步加强公司持续盈利能力。</w:t>
      </w:r>
    </w:p>
    <w:p>
      <w:pPr>
        <w:pStyle w:val="Style22"/>
        <w:keepNext w:val="0"/>
        <w:keepLines w:val="0"/>
        <w:widowControl w:val="0"/>
        <w:shd w:val="clear" w:color="auto" w:fill="auto"/>
        <w:tabs>
          <w:tab w:pos="765" w:val="left"/>
        </w:tabs>
        <w:bidi w:val="0"/>
        <w:spacing w:before="0" w:after="0" w:line="313" w:lineRule="exact"/>
        <w:ind w:left="0" w:right="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6</w:t>
      </w:r>
      <w:r>
        <w:rPr>
          <w:color w:val="000000"/>
          <w:spacing w:val="0"/>
          <w:w w:val="100"/>
          <w:position w:val="0"/>
        </w:rPr>
        <w:t>）</w:t>
        <w:tab/>
        <w:t>产业园区建设</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公司将加快推进位于福州市长乐区人工智能产业园项目建设。新园区建成后将用于持续培育增量业务，以解决未来公司 规划发展对经营场地的需求；另一方面公司将利用该资产区域环境优势吸引更多高素质研发人才、优秀高校毕业生到公司工 作，更好地优化公司人力资源结构和成本，并为公司未来的经营发展提供必要的保障。</w:t>
      </w:r>
    </w:p>
    <w:p>
      <w:pPr>
        <w:pStyle w:val="Style22"/>
        <w:keepNext w:val="0"/>
        <w:keepLines w:val="0"/>
        <w:widowControl w:val="0"/>
        <w:shd w:val="clear" w:color="auto" w:fill="auto"/>
        <w:bidi w:val="0"/>
        <w:spacing w:before="0" w:after="0"/>
        <w:ind w:left="0" w:right="0"/>
        <w:jc w:val="both"/>
      </w:pPr>
      <w:bookmarkStart w:id="240" w:name="bookmark240"/>
      <w:r>
        <w:rPr>
          <w:rFonts w:ascii="Times New Roman" w:eastAsia="Times New Roman" w:hAnsi="Times New Roman" w:cs="Times New Roman"/>
          <w:color w:val="000000"/>
          <w:spacing w:val="0"/>
          <w:w w:val="100"/>
          <w:position w:val="0"/>
        </w:rPr>
        <w:t>4</w:t>
      </w:r>
      <w:bookmarkEnd w:id="240"/>
      <w:r>
        <w:rPr>
          <w:color w:val="000000"/>
          <w:spacing w:val="0"/>
          <w:w w:val="100"/>
          <w:position w:val="0"/>
        </w:rPr>
        <w:t>、可能面临的风险及应对措施</w:t>
      </w:r>
    </w:p>
    <w:p>
      <w:pPr>
        <w:pStyle w:val="Style22"/>
        <w:keepNext w:val="0"/>
        <w:keepLines w:val="0"/>
        <w:widowControl w:val="0"/>
        <w:shd w:val="clear" w:color="auto" w:fill="auto"/>
        <w:bidi w:val="0"/>
        <w:spacing w:before="0" w:after="0" w:line="313" w:lineRule="exact"/>
        <w:ind w:left="0" w:right="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1</w:t>
      </w:r>
      <w:r>
        <w:rPr>
          <w:color w:val="000000"/>
          <w:spacing w:val="0"/>
          <w:w w:val="100"/>
          <w:position w:val="0"/>
        </w:rPr>
        <w:t>）市场竞争风险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凭借对行业发展趋势的深刻理解和多年积累的技术与行业经验，公司抓住国家推动财政票据电子化管理改革、政府采购 制度改革、加强非税收入管理的机会，研发出财政电子票据管理软件和非税收入收缴管理系统、非税收入政策管理系统、公 共采购信息化监管和电子交易平台等领先产品，并迅速占领了较大的市场份额，而随着该细分市场领域的市场环境逐步成熟， 市场规模不断扩大，将吸引越来越多的软件企业进入，市场竞争更加激烈。新竞争者的进入，可能带来产品和服务价格的下 滑、产品更新换代加快、市场份额难以保持的风险。公司将面临国内大型软件企业和国外软件企业的竞争，这可能对公司的 产品和服务的价格、市场份额等产生不利影响。</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公司首先持续不断打造与提升公司的产品力、渠道力、品牌力、服务力等核心竞争力，保持并巩固原有行业优势；同时， 对公司已有产品进行持续的技术升级和改造，不断完善产品功能，以提升自身在电子政务领域的市场地位。</w:t>
      </w:r>
    </w:p>
    <w:p>
      <w:pPr>
        <w:pStyle w:val="Style22"/>
        <w:keepNext w:val="0"/>
        <w:keepLines w:val="0"/>
        <w:widowControl w:val="0"/>
        <w:shd w:val="clear" w:color="auto" w:fill="auto"/>
        <w:tabs>
          <w:tab w:pos="765" w:val="left"/>
        </w:tabs>
        <w:bidi w:val="0"/>
        <w:spacing w:before="0" w:after="0" w:line="312" w:lineRule="exact"/>
        <w:ind w:left="0" w:right="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2</w:t>
      </w:r>
      <w:r>
        <w:rPr>
          <w:color w:val="000000"/>
          <w:spacing w:val="0"/>
          <w:w w:val="100"/>
          <w:position w:val="0"/>
        </w:rPr>
        <w:t>）</w:t>
        <w:tab/>
        <w:t>政策风险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国家历来高度重视软件行业的发展，将软件行业列为国家战略性产业，陆续颁布了一系列法律法规和支持政策，在软件 行业的研发投入、税收优惠、知识产权和人才建设等方面出台了全面的扶持政策，为软件行业发展建立了良好的政策环境。 公司所属软件行业，同时是高新技术企业，根据相关税收政策，在增值税方面，公司销售自行开发生产的软件产品，按</w:t>
      </w:r>
      <w:r>
        <w:rPr>
          <w:rFonts w:ascii="Times New Roman" w:eastAsia="Times New Roman" w:hAnsi="Times New Roman" w:cs="Times New Roman"/>
          <w:color w:val="000000"/>
          <w:spacing w:val="0"/>
          <w:w w:val="100"/>
          <w:position w:val="0"/>
        </w:rPr>
        <w:t xml:space="preserve">17% </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的部分实行即征即退政策；在企业所得税方面，减按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 所得税。未来如果国家关于支持软件行业及高新技术企业发展的税收优惠政策发生变化，可能导致公司无法享受相关税收优 惠政策，将对公司经营业绩造成一定影响。另公司软件产品主要应用于财政票据、政府非税收入和政府采购等领域，如果以 上领域涉及的政府管理政策发生变动，可能会对行业内企业及本公司的经营活动产生一定影响。</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公司将加强政策风险管理能力，充分分析政策和市场机会，加大市场开发力度，促进主营业务持续健康发展。</w:t>
      </w:r>
    </w:p>
    <w:p>
      <w:pPr>
        <w:pStyle w:val="Style22"/>
        <w:keepNext w:val="0"/>
        <w:keepLines w:val="0"/>
        <w:widowControl w:val="0"/>
        <w:shd w:val="clear" w:color="auto" w:fill="auto"/>
        <w:tabs>
          <w:tab w:pos="765" w:val="left"/>
        </w:tabs>
        <w:bidi w:val="0"/>
        <w:spacing w:before="0" w:after="0" w:line="312" w:lineRule="exact"/>
        <w:ind w:left="0" w:right="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w:t>
        <w:tab/>
        <w:t>技术开发、产品升级风险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软件开发属于技术密集型产业，公司产品技术开发所依赖的操作系统、中间件、开发工具等更新换代速度快。如果相关 技术发生重大变革，将影响公司产品技术开发进程。公司产品主要服务于电子政务领域，该领域对信息安全性、保密性要求 程度较高，日常业务数据处理量大，因而对所应用的软件不断提出更高、更新的要求，如果公司不能准确把握技术、产品及 市场发展的趋势，研发出符合市场需求的新产品；或者公司对产品和市场需求的把握出现偏差、不能及时调整技术和产品方 向，将可能使公司丧失技术和市场的领先地位。</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软件产品较为复杂，任何软件公司可能都无法完全杜绝所开发软件的错误和缺陷。如果公司开发的软件存在缺陷或错误， 将导致用户的日常业务开展，甚至非税收入的征收管理受到不利影响。为修正产品已发生的错误或因客户提起的索赔请求而 进行的申辩，将额外增加公司的成本费用，并影响公司的市场信誉及行业地位。</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公司将技术研发与市场开拓相结合，对市场需求及趋势进行分析以确立研发方向，加强产品立项评估管理；产品研发过 程中把握进度，严格把控风险，努力保障研发的产品成功率；同时大力开展自主核心技术的研发，以保持公司技术优势。</w:t>
      </w:r>
    </w:p>
    <w:p>
      <w:pPr>
        <w:pStyle w:val="Style22"/>
        <w:keepNext w:val="0"/>
        <w:keepLines w:val="0"/>
        <w:widowControl w:val="0"/>
        <w:shd w:val="clear" w:color="auto" w:fill="auto"/>
        <w:tabs>
          <w:tab w:pos="765" w:val="left"/>
        </w:tabs>
        <w:bidi w:val="0"/>
        <w:spacing w:before="0" w:after="0" w:line="312" w:lineRule="exact"/>
        <w:ind w:left="0" w:right="0"/>
        <w:jc w:val="left"/>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4</w:t>
      </w:r>
      <w:r>
        <w:rPr>
          <w:color w:val="000000"/>
          <w:spacing w:val="0"/>
          <w:w w:val="100"/>
          <w:position w:val="0"/>
        </w:rPr>
        <w:t>）</w:t>
        <w:tab/>
        <w:t>信息安全风险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公司提供软件产品的研发、销售与服务。公司产品的各类应用系统及其赖以运行的基础网络、处理的数据和信息，可能 存在软硬件缺陷、系统集成缺陷等问题，并且信息安全管理、人员管理中可能存在潜在的薄弱环节，这些都会导致不同程度 的安全风险。尽管公司历来注重信息安全风险的防范，每年都投入较大金额对信息安全进行研究并实施防范措施，但由于信 息系统本身固有的安全特点，公司产品的应用仍存在不可预测的信息安全风险，一旦发生大的信息安全事故，可能在一定期 间导致业务系统瘫痪，客户数据泄密或资金流向错误，从而对公司的经营造成影响。</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公司将不断提高产品的安全性和稳定性，同时加强信息安全管理，完善人员管理制度。</w:t>
      </w:r>
    </w:p>
    <w:p>
      <w:pPr>
        <w:pStyle w:val="Style22"/>
        <w:keepNext w:val="0"/>
        <w:keepLines w:val="0"/>
        <w:widowControl w:val="0"/>
        <w:shd w:val="clear" w:color="auto" w:fill="auto"/>
        <w:tabs>
          <w:tab w:pos="765" w:val="left"/>
        </w:tabs>
        <w:bidi w:val="0"/>
        <w:spacing w:before="0" w:after="0" w:line="312" w:lineRule="exact"/>
        <w:ind w:left="0" w:right="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rPr>
        <w:t>5</w:t>
      </w:r>
      <w:r>
        <w:rPr>
          <w:color w:val="000000"/>
          <w:spacing w:val="0"/>
          <w:w w:val="100"/>
          <w:position w:val="0"/>
        </w:rPr>
        <w:t>）</w:t>
        <w:tab/>
        <w:t>管理风险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随着近年来公司通过收购、设立、参股等方式扩大经营规模，公司子公司数量逐步增加，这对公司经营决策、组织管理 和风险控制能力提出更高的要求。为进一步满足公司发展需求，提升公司管理水平，公司将在运营管理、技术研发、市场开 拓、人才引进、内部控制等方面采取具体应对措施，加强集团化管控，并在财务、人力等管理关键点加强跟踪机制，确保公 司战略一致性，降低公司因规模迅速扩张引致的经营管理风险。</w:t>
      </w:r>
    </w:p>
    <w:p>
      <w:pPr>
        <w:pStyle w:val="Style22"/>
        <w:keepNext w:val="0"/>
        <w:keepLines w:val="0"/>
        <w:widowControl w:val="0"/>
        <w:shd w:val="clear" w:color="auto" w:fill="auto"/>
        <w:tabs>
          <w:tab w:pos="765" w:val="left"/>
        </w:tabs>
        <w:bidi w:val="0"/>
        <w:spacing w:before="0" w:after="0" w:line="312" w:lineRule="exact"/>
        <w:ind w:left="0" w:right="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rPr>
        <w:t>6</w:t>
      </w:r>
      <w:r>
        <w:rPr>
          <w:color w:val="000000"/>
          <w:spacing w:val="0"/>
          <w:w w:val="100"/>
          <w:position w:val="0"/>
        </w:rPr>
        <w:t>）</w:t>
        <w:tab/>
        <w:t>核心技术泄露、核心技术人员流失的风险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拥有核心技术与核心技术人员是公司在行业中能够保持竞争优势的主要原因之一。目前，公司拥有包括</w:t>
      </w:r>
      <w:r>
        <w:rPr>
          <w:rFonts w:ascii="Times New Roman" w:eastAsia="Times New Roman" w:hAnsi="Times New Roman" w:cs="Times New Roman"/>
          <w:color w:val="000000"/>
          <w:spacing w:val="0"/>
          <w:w w:val="100"/>
          <w:position w:val="0"/>
        </w:rPr>
        <w:t>“</w:t>
      </w:r>
      <w:r>
        <w:rPr>
          <w:color w:val="000000"/>
          <w:spacing w:val="0"/>
          <w:w w:val="100"/>
          <w:position w:val="0"/>
        </w:rPr>
        <w:t>博思电子票据 管理系统</w:t>
      </w:r>
      <w:r>
        <w:rPr>
          <w:rFonts w:ascii="Times New Roman" w:eastAsia="Times New Roman" w:hAnsi="Times New Roman" w:cs="Times New Roman"/>
          <w:color w:val="000000"/>
          <w:spacing w:val="0"/>
          <w:w w:val="100"/>
          <w:position w:val="0"/>
        </w:rPr>
        <w:t>V 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博思财政票据电子化暨非税收入收缴管理系统</w:t>
      </w:r>
      <w:r>
        <w:rPr>
          <w:rFonts w:ascii="Times New Roman" w:eastAsia="Times New Roman" w:hAnsi="Times New Roman" w:cs="Times New Roman"/>
          <w:color w:val="000000"/>
          <w:spacing w:val="0"/>
          <w:w w:val="100"/>
          <w:position w:val="0"/>
        </w:rPr>
        <w:t>V 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政府采购网上公开信息系统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银行代理财政 中间业务系统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等多项计算机软件著作权，均属于公司的核心技术。核心技术与核心技术人员是公司发展的基础，因此 计算机软件著作权被侵权、核心技术人员流失都会对公司生产经营造成较大负面影响，故公司存在核心技术泄露以及核心技 术人员流失的风险。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公司将已经成型的技术进行知识产权保护申请，通过法律手段保证公司核心技术；针对核心技术人员流失的风险，公司 重视人才的培养和吸纳，不断地储备和壮大公司的人才队伍，通过员工激励措施，稳定核心人员与公司的服务关系，防范核 心人员流失的风险。</w:t>
      </w:r>
    </w:p>
    <w:p>
      <w:pPr>
        <w:pStyle w:val="Style22"/>
        <w:keepNext w:val="0"/>
        <w:keepLines w:val="0"/>
        <w:widowControl w:val="0"/>
        <w:shd w:val="clear" w:color="auto" w:fill="auto"/>
        <w:tabs>
          <w:tab w:pos="765" w:val="left"/>
        </w:tabs>
        <w:bidi w:val="0"/>
        <w:spacing w:before="0" w:after="0" w:line="312" w:lineRule="exact"/>
        <w:ind w:left="0" w:right="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7</w:t>
      </w:r>
      <w:r>
        <w:rPr>
          <w:color w:val="000000"/>
          <w:spacing w:val="0"/>
          <w:w w:val="100"/>
          <w:position w:val="0"/>
        </w:rPr>
        <w:t>）</w:t>
        <w:tab/>
        <w:t>人员成本上升风险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公司是以软件及服务为主的轻资产公司，人力资源相关费用是公司成本费用的重要组成部分。随着业务发展，公司员工 数量不断增加，员工平均薪资也不断上涨，如公司的业务开展不及预期，相关领域人员成本持续上涨，将对公司盈利能力产 生不利影响。</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对此，公司将大力推进业务进展，同时将持续优化内部组织与机制，加强人员培养，提高人员效率，从而在不断提升员 工待遇的同时，确保公司盈利能力不受影响甚至逐渐增强。</w:t>
      </w:r>
    </w:p>
    <w:p>
      <w:pPr>
        <w:pStyle w:val="Style22"/>
        <w:keepNext w:val="0"/>
        <w:keepLines w:val="0"/>
        <w:widowControl w:val="0"/>
        <w:shd w:val="clear" w:color="auto" w:fill="auto"/>
        <w:tabs>
          <w:tab w:pos="792" w:val="left"/>
        </w:tabs>
        <w:bidi w:val="0"/>
        <w:spacing w:before="0" w:after="0" w:line="314" w:lineRule="exact"/>
        <w:ind w:left="0" w:right="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8</w:t>
      </w:r>
      <w:r>
        <w:rPr>
          <w:color w:val="000000"/>
          <w:spacing w:val="0"/>
          <w:w w:val="100"/>
          <w:position w:val="0"/>
        </w:rPr>
        <w:t>）</w:t>
        <w:tab/>
        <w:t>新业务、新领域开拓风险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公司上市后，在稳定现有主营业务的基础上充分利用资本市场的优势与资源，通过内部业务创新与外部战略并购的方式 推进公司业务发展，推动公司做大做强。虽然公司在上市后积极引入技术与管理人才，但是在新业务和新领域的开拓上，可 能面临专业团队不足、创新工作失误、市场判断失误等风险。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公司将实时关注市场动向，不断优化部门设置，加强团队建设。在对新业务、新领域进行拓展时，公司将谨慎决策，确 保能够做出准确判断。</w:t>
      </w:r>
    </w:p>
    <w:p>
      <w:pPr>
        <w:pStyle w:val="Style22"/>
        <w:keepNext w:val="0"/>
        <w:keepLines w:val="0"/>
        <w:widowControl w:val="0"/>
        <w:shd w:val="clear" w:color="auto" w:fill="auto"/>
        <w:tabs>
          <w:tab w:pos="792" w:val="left"/>
        </w:tabs>
        <w:bidi w:val="0"/>
        <w:spacing w:before="0" w:after="0" w:line="314"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9</w:t>
      </w:r>
      <w:r>
        <w:rPr>
          <w:color w:val="000000"/>
          <w:spacing w:val="0"/>
          <w:w w:val="100"/>
          <w:position w:val="0"/>
        </w:rPr>
        <w:t>）</w:t>
        <w:tab/>
        <w:t>应收账款余额较大风险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rPr>
        <w:t>56,954.62</w:t>
      </w:r>
      <w:r>
        <w:rPr>
          <w:color w:val="000000"/>
          <w:spacing w:val="0"/>
          <w:w w:val="100"/>
          <w:position w:val="0"/>
        </w:rPr>
        <w:t>万元，占流动资产的比例为</w:t>
      </w:r>
      <w:r>
        <w:rPr>
          <w:rFonts w:ascii="Times New Roman" w:eastAsia="Times New Roman" w:hAnsi="Times New Roman" w:cs="Times New Roman"/>
          <w:color w:val="000000"/>
          <w:spacing w:val="0"/>
          <w:w w:val="100"/>
          <w:position w:val="0"/>
        </w:rPr>
        <w:t>33.95%</w:t>
      </w:r>
      <w:r>
        <w:rPr>
          <w:color w:val="000000"/>
          <w:spacing w:val="0"/>
          <w:w w:val="100"/>
          <w:position w:val="0"/>
        </w:rPr>
        <w:t>。公司主营产品的客户主要为 政府部门及各级行政事业单位，这些客户通常采取预算管理制度，一般下半年制定次年年度预算和投资计划，审批通常集中 在次年的上半年，因此，公司每年上半年销售较少，销售主要集中在下半年尤其是第四季度，公司销售呈现较明显的季节性 分布，并由此使得公司营业收入在第四季度集中实现。随着业务规模的持续扩大，公司应收账款余额总体上呈增加趋势，可 能存在部分货款不能及时回收的风险。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对此，公司注重与客户建立长期合作关系，不断为客户创造价值，在大力拓展业务的同时，加大公司在市场开拓与财务 管理方面的有效协调，强化客户信用追踪管理，使坏账损失降低到最低水平。</w:t>
      </w:r>
    </w:p>
    <w:p>
      <w:pPr>
        <w:pStyle w:val="Style22"/>
        <w:keepNext w:val="0"/>
        <w:keepLines w:val="0"/>
        <w:widowControl w:val="0"/>
        <w:shd w:val="clear" w:color="auto" w:fill="auto"/>
        <w:tabs>
          <w:tab w:pos="883" w:val="left"/>
        </w:tabs>
        <w:bidi w:val="0"/>
        <w:spacing w:before="0" w:after="0" w:line="314"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10</w:t>
      </w:r>
      <w:r>
        <w:rPr>
          <w:color w:val="000000"/>
          <w:spacing w:val="0"/>
          <w:w w:val="100"/>
          <w:position w:val="0"/>
        </w:rPr>
        <w:t>）</w:t>
        <w:tab/>
        <w:t>商誉减值的风险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日，公司在并购过程中形成商誉</w:t>
      </w:r>
      <w:r>
        <w:rPr>
          <w:rFonts w:ascii="Times New Roman" w:eastAsia="Times New Roman" w:hAnsi="Times New Roman" w:cs="Times New Roman"/>
          <w:color w:val="000000"/>
          <w:spacing w:val="0"/>
          <w:w w:val="100"/>
          <w:position w:val="0"/>
        </w:rPr>
        <w:t>29,208.05</w:t>
      </w:r>
      <w:r>
        <w:rPr>
          <w:color w:val="000000"/>
          <w:spacing w:val="0"/>
          <w:w w:val="100"/>
          <w:position w:val="0"/>
        </w:rPr>
        <w:t>万元，若被并购公司盈利不及预期，将面临商誉减值风险， 将对公司未来的经营业绩造成不利影响。</w:t>
      </w:r>
    </w:p>
    <w:p>
      <w:pPr>
        <w:pStyle w:val="Style22"/>
        <w:keepNext w:val="0"/>
        <w:keepLines w:val="0"/>
        <w:widowControl w:val="0"/>
        <w:shd w:val="clear" w:color="auto" w:fill="auto"/>
        <w:bidi w:val="0"/>
        <w:spacing w:before="0" w:after="360" w:line="314" w:lineRule="exact"/>
        <w:ind w:left="0" w:right="0"/>
        <w:jc w:val="both"/>
      </w:pPr>
      <w:r>
        <w:rPr>
          <w:color w:val="000000"/>
          <w:spacing w:val="0"/>
          <w:w w:val="100"/>
          <w:position w:val="0"/>
        </w:rPr>
        <w:t>对于并购子公司，公司将持续加强投后管理，整合资源，通过业务、管理等方面的协同，保障并购子公司的稳健发展。</w:t>
      </w:r>
    </w:p>
    <w:p>
      <w:pPr>
        <w:pStyle w:val="Style27"/>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十二、报告期内接待调研、沟通、采访等活动登记表</w:t>
      </w:r>
      <w:bookmarkEnd w:id="251"/>
      <w:bookmarkEnd w:id="252"/>
      <w:bookmarkEnd w:id="253"/>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董事会秘书办 公室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上海聚鸣投资</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管理有限公司 袁祥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公司业务进展 情况及未来发 展，应收账款等 财务状况，博思 人工智能产业 园建设的用途、 进展等。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日披露于巨潮资 讯网的《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日投资者关系活动 记录表》（编号： </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约调研</w:t>
            </w:r>
            <w:r>
              <w:rPr>
                <w:rFonts w:ascii="Times New Roman" w:eastAsia="Times New Roman" w:hAnsi="Times New Roman" w:cs="Times New Roman"/>
                <w:color w:val="000000"/>
                <w:spacing w:val="0"/>
                <w:w w:val="100"/>
                <w:position w:val="0"/>
              </w:rPr>
              <w:t>”</w:t>
            </w:r>
            <w:r>
              <w:rPr>
                <w:color w:val="000000"/>
                <w:spacing w:val="0"/>
                <w:w w:val="100"/>
                <w:position w:val="0"/>
              </w:rPr>
              <w:t>微信 小程序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color w:val="000000"/>
                <w:spacing w:val="0"/>
                <w:w w:val="100"/>
                <w:position w:val="0"/>
              </w:rPr>
              <w:t>参与公司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年度报告网上 说明会的投资 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 业务开展情况、 财务状况，未来 战略布局等。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日披露于巨潮资 讯网的《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日投资者关系活动 记录表》（编号： </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bl>
    <w:p>
      <w:pPr>
        <w:pStyle w:val="Style12"/>
        <w:keepNext/>
        <w:keepLines/>
        <w:widowControl w:val="0"/>
        <w:shd w:val="clear" w:color="auto" w:fill="auto"/>
        <w:bidi w:val="0"/>
        <w:spacing w:before="0" w:after="560" w:line="240" w:lineRule="auto"/>
        <w:ind w:left="0" w:right="0" w:firstLine="0"/>
        <w:jc w:val="center"/>
      </w:pPr>
      <w:bookmarkStart w:id="254" w:name="bookmark254"/>
      <w:bookmarkStart w:id="255" w:name="bookmark255"/>
      <w:bookmarkStart w:id="256" w:name="bookmark256"/>
      <w:r>
        <w:rPr>
          <w:color w:val="000000"/>
          <w:spacing w:val="0"/>
          <w:w w:val="100"/>
          <w:position w:val="0"/>
        </w:rPr>
        <w:t>第四节公司治理</w:t>
      </w:r>
      <w:bookmarkEnd w:id="254"/>
      <w:bookmarkEnd w:id="255"/>
      <w:bookmarkEnd w:id="256"/>
    </w:p>
    <w:p>
      <w:pPr>
        <w:pStyle w:val="Style27"/>
        <w:keepNext/>
        <w:keepLines/>
        <w:widowControl w:val="0"/>
        <w:shd w:val="clear" w:color="auto" w:fill="auto"/>
        <w:bidi w:val="0"/>
        <w:spacing w:before="0" w:after="240" w:line="240" w:lineRule="auto"/>
        <w:ind w:left="0" w:right="0" w:firstLine="0"/>
        <w:jc w:val="left"/>
      </w:pPr>
      <w:bookmarkStart w:id="257" w:name="bookmark257"/>
      <w:bookmarkStart w:id="258" w:name="bookmark258"/>
      <w:bookmarkStart w:id="259" w:name="bookmark259"/>
      <w:bookmarkStart w:id="260" w:name="bookmark260"/>
      <w:bookmarkStart w:id="261" w:name="bookmark261"/>
      <w:r>
        <w:rPr>
          <w:color w:val="000000"/>
          <w:spacing w:val="0"/>
          <w:w w:val="100"/>
          <w:position w:val="0"/>
          <w:sz w:val="24"/>
          <w:szCs w:val="24"/>
        </w:rPr>
        <w:t>一</w:t>
      </w:r>
      <w:bookmarkEnd w:id="260"/>
      <w:r>
        <w:rPr>
          <w:color w:val="000000"/>
          <w:spacing w:val="0"/>
          <w:w w:val="100"/>
          <w:position w:val="0"/>
          <w:sz w:val="24"/>
          <w:szCs w:val="24"/>
        </w:rPr>
        <w:t>、公司治理的基本状况</w:t>
      </w:r>
      <w:bookmarkEnd w:id="258"/>
      <w:bookmarkEnd w:id="259"/>
      <w:bookmarkEnd w:id="261"/>
      <w:bookmarkEnd w:id="257"/>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报告期内，公司严格按照《公司法》、《证券法》、《深圳证券交易所创业板股票上市规则》、《深圳证券交易所上市 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号——创业板上市公司规范运作》及其他有关法律法规、规范性文件的要求，不断完善公司的法人治 理结构，建立健全公司内部管理和控制制度，持续深入开展公司治理活动，促进公司规范运作，提高公司治理水平，不断加 强信息披露工作，积极开展投资者关系管理工作，维护了上市公司及股东利益。报告期内，公司实际状况符合《深圳证券交 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号——创业板上市公司规范运作》等法律法规、规范性文件的要求。</w:t>
      </w:r>
    </w:p>
    <w:p>
      <w:pPr>
        <w:pStyle w:val="Style22"/>
        <w:keepNext w:val="0"/>
        <w:keepLines w:val="0"/>
        <w:widowControl w:val="0"/>
        <w:shd w:val="clear" w:color="auto" w:fill="auto"/>
        <w:tabs>
          <w:tab w:pos="885" w:val="left"/>
        </w:tabs>
        <w:bidi w:val="0"/>
        <w:spacing w:before="0" w:after="0" w:line="315" w:lineRule="exact"/>
        <w:ind w:left="0" w:right="0"/>
        <w:jc w:val="both"/>
      </w:pPr>
      <w:bookmarkStart w:id="262" w:name="bookmark262"/>
      <w:r>
        <w:rPr>
          <w:color w:val="000000"/>
          <w:spacing w:val="0"/>
          <w:w w:val="100"/>
          <w:position w:val="0"/>
        </w:rPr>
        <w:t>（</w:t>
      </w:r>
      <w:bookmarkEnd w:id="262"/>
      <w:r>
        <w:rPr>
          <w:color w:val="000000"/>
          <w:spacing w:val="0"/>
          <w:w w:val="100"/>
          <w:position w:val="0"/>
        </w:rPr>
        <w:t>一）</w:t>
        <w:tab/>
        <w:t>关于股东和股东大会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公司严格按照《公司章程》、《股东大会议事规则》等规定和要求，规范股东大会的召集、召开和表决程序。报告期内， 会议的召集、召开、表决程序严格依据相关法律、法规及规定。各项议案均获得通过，表决结果合法有效。会议均邀请见证 律师依规进行现场见证。公司治理结构能够保证所有股东，特别是中小股东享有平等地位，确保股东合法行使权益，保证了 股东对公司重大事项的知情权、参与权、表决权。报告期内的股东大会均由董事会召集召开，根据相关法律、行政法规、部 门规章、规范性文件及公司章程等规定应由股东大会表决的事项均按照相应的权限审批后交由股东大会审议。</w:t>
      </w:r>
    </w:p>
    <w:p>
      <w:pPr>
        <w:pStyle w:val="Style22"/>
        <w:keepNext w:val="0"/>
        <w:keepLines w:val="0"/>
        <w:widowControl w:val="0"/>
        <w:shd w:val="clear" w:color="auto" w:fill="auto"/>
        <w:tabs>
          <w:tab w:pos="885" w:val="left"/>
        </w:tabs>
        <w:bidi w:val="0"/>
        <w:spacing w:before="0" w:after="0" w:line="315" w:lineRule="exact"/>
        <w:ind w:left="0" w:right="0"/>
        <w:jc w:val="left"/>
      </w:pPr>
      <w:bookmarkStart w:id="263" w:name="bookmark263"/>
      <w:r>
        <w:rPr>
          <w:color w:val="000000"/>
          <w:spacing w:val="0"/>
          <w:w w:val="100"/>
          <w:position w:val="0"/>
        </w:rPr>
        <w:t>（</w:t>
      </w:r>
      <w:bookmarkEnd w:id="263"/>
      <w:r>
        <w:rPr>
          <w:color w:val="000000"/>
          <w:spacing w:val="0"/>
          <w:w w:val="100"/>
          <w:position w:val="0"/>
        </w:rPr>
        <w:t>二）</w:t>
        <w:tab/>
        <w:t>公司和控股股东</w:t>
      </w:r>
    </w:p>
    <w:p>
      <w:pPr>
        <w:pStyle w:val="Style22"/>
        <w:keepNext w:val="0"/>
        <w:keepLines w:val="0"/>
        <w:widowControl w:val="0"/>
        <w:shd w:val="clear" w:color="auto" w:fill="auto"/>
        <w:bidi w:val="0"/>
        <w:spacing w:before="0" w:after="0" w:line="315" w:lineRule="exact"/>
        <w:ind w:left="0" w:right="0"/>
        <w:jc w:val="left"/>
      </w:pPr>
      <w:r>
        <w:rPr>
          <w:color w:val="000000"/>
          <w:spacing w:val="0"/>
          <w:w w:val="100"/>
          <w:position w:val="0"/>
        </w:rPr>
        <w:t>公司控股股东严格按照《上市公司治理准则》、《深圳证券交易所创业板股票上市规则》及《公司章程》等规定和要求， 规范自己的行为。公司拥有独立完整的业务和自主经营能力，在业务、人员、资产、机构、财务上独立于控股股东，公司董 事会、监事会和内部机构独立运作。报告期内，控股股东不存在超越股东大会直接或间接干预公司的决策和经营活动的行为， 不存在损害公司及其他股东利益的行为，公司没有为控股股东提供担保，亦不存在控股股东非经营性占用公司资金的行为。</w:t>
      </w:r>
    </w:p>
    <w:p>
      <w:pPr>
        <w:pStyle w:val="Style22"/>
        <w:keepNext w:val="0"/>
        <w:keepLines w:val="0"/>
        <w:widowControl w:val="0"/>
        <w:shd w:val="clear" w:color="auto" w:fill="auto"/>
        <w:tabs>
          <w:tab w:pos="885" w:val="left"/>
        </w:tabs>
        <w:bidi w:val="0"/>
        <w:spacing w:before="0" w:after="0" w:line="315" w:lineRule="exact"/>
        <w:ind w:left="0" w:right="0"/>
        <w:jc w:val="left"/>
      </w:pPr>
      <w:bookmarkStart w:id="264" w:name="bookmark264"/>
      <w:r>
        <w:rPr>
          <w:color w:val="000000"/>
          <w:spacing w:val="0"/>
          <w:w w:val="100"/>
          <w:position w:val="0"/>
        </w:rPr>
        <w:t>（</w:t>
      </w:r>
      <w:bookmarkEnd w:id="264"/>
      <w:r>
        <w:rPr>
          <w:color w:val="000000"/>
          <w:spacing w:val="0"/>
          <w:w w:val="100"/>
          <w:position w:val="0"/>
        </w:rPr>
        <w:t>三）</w:t>
        <w:tab/>
        <w:t>关于董事和董事会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第四届董事会设董事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名，董事会的人数及人员构成均符合法律、法规和《公司章程》的要求。各位 董事能够依据《董事会议事规则》、《上市公司独立董事规则》、《深圳证券交易所上市公司自律监管指引第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 板上市公司规范运作》等开展工作，出席董事会和股东大会，勤勉尽责地履行职务和义务，同时积极参加相关培训，熟悉相 关法律法规，切实提高了履行董事职责的能力。各董事严格审议相关议案，保证了公司相关事项的科学决策。</w:t>
      </w:r>
    </w:p>
    <w:p>
      <w:pPr>
        <w:pStyle w:val="Style22"/>
        <w:keepNext w:val="0"/>
        <w:keepLines w:val="0"/>
        <w:widowControl w:val="0"/>
        <w:shd w:val="clear" w:color="auto" w:fill="auto"/>
        <w:tabs>
          <w:tab w:pos="885" w:val="left"/>
        </w:tabs>
        <w:bidi w:val="0"/>
        <w:spacing w:before="0" w:after="0" w:line="315" w:lineRule="exact"/>
        <w:ind w:left="0" w:right="0"/>
        <w:jc w:val="both"/>
      </w:pPr>
      <w:bookmarkStart w:id="265" w:name="bookmark265"/>
      <w:r>
        <w:rPr>
          <w:color w:val="000000"/>
          <w:spacing w:val="0"/>
          <w:w w:val="100"/>
          <w:position w:val="0"/>
        </w:rPr>
        <w:t>（</w:t>
      </w:r>
      <w:bookmarkEnd w:id="265"/>
      <w:r>
        <w:rPr>
          <w:color w:val="000000"/>
          <w:spacing w:val="0"/>
          <w:w w:val="100"/>
          <w:position w:val="0"/>
        </w:rPr>
        <w:t>四）</w:t>
        <w:tab/>
        <w:t>关于监事和监事会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第四届监事会设监事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名，监事会的人数和人员构成符合法律、法规的要求。各位监事均能够按 照《公司章程》、《监事会议事规则》的要求，认真履行自己的职责，对公司重大事项、财务状况及董事、高级管理人员履 行职责的合法、合规性进行监督，维护公司及股东的合法权益。</w:t>
      </w:r>
    </w:p>
    <w:p>
      <w:pPr>
        <w:pStyle w:val="Style22"/>
        <w:keepNext w:val="0"/>
        <w:keepLines w:val="0"/>
        <w:widowControl w:val="0"/>
        <w:shd w:val="clear" w:color="auto" w:fill="auto"/>
        <w:tabs>
          <w:tab w:pos="885" w:val="left"/>
        </w:tabs>
        <w:bidi w:val="0"/>
        <w:spacing w:before="0" w:after="0" w:line="315" w:lineRule="exact"/>
        <w:ind w:left="0" w:right="0"/>
        <w:jc w:val="both"/>
      </w:pPr>
      <w:bookmarkStart w:id="266" w:name="bookmark266"/>
      <w:r>
        <w:rPr>
          <w:color w:val="000000"/>
          <w:spacing w:val="0"/>
          <w:w w:val="100"/>
          <w:position w:val="0"/>
        </w:rPr>
        <w:t>（</w:t>
      </w:r>
      <w:bookmarkEnd w:id="266"/>
      <w:r>
        <w:rPr>
          <w:color w:val="000000"/>
          <w:spacing w:val="0"/>
          <w:w w:val="100"/>
          <w:position w:val="0"/>
        </w:rPr>
        <w:t>五）</w:t>
        <w:tab/>
        <w:t>关于董事会四个委员会</w:t>
      </w:r>
    </w:p>
    <w:p>
      <w:pPr>
        <w:pStyle w:val="Style22"/>
        <w:keepNext w:val="0"/>
        <w:keepLines w:val="0"/>
        <w:widowControl w:val="0"/>
        <w:shd w:val="clear" w:color="auto" w:fill="auto"/>
        <w:tabs>
          <w:tab w:pos="688" w:val="left"/>
        </w:tabs>
        <w:bidi w:val="0"/>
        <w:spacing w:before="0" w:after="0" w:line="315" w:lineRule="exact"/>
        <w:ind w:left="0" w:right="0"/>
        <w:jc w:val="both"/>
      </w:pPr>
      <w:bookmarkStart w:id="267" w:name="bookmark267"/>
      <w:r>
        <w:rPr>
          <w:rFonts w:ascii="Times New Roman" w:eastAsia="Times New Roman" w:hAnsi="Times New Roman" w:cs="Times New Roman"/>
          <w:color w:val="000000"/>
          <w:spacing w:val="0"/>
          <w:w w:val="100"/>
          <w:position w:val="0"/>
        </w:rPr>
        <w:t>1</w:t>
      </w:r>
      <w:bookmarkEnd w:id="267"/>
      <w:r>
        <w:rPr>
          <w:color w:val="000000"/>
          <w:spacing w:val="0"/>
          <w:w w:val="100"/>
          <w:position w:val="0"/>
        </w:rPr>
        <w:t>、</w:t>
        <w:tab/>
        <w:t>审计委员会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公司董事会审计委员会设委员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名，审计委员会人数及人员构成符合法律、法规及公司章程的要求。各位委员均能按照 《审计委员会工作细则》的要求，认真履行自己的职责，对公司财务报告、内部控制情况、内外审计机构的工作情况等事项 进行审议，并提交公司董事会审议，配合监事会的审计工作。</w:t>
      </w:r>
    </w:p>
    <w:p>
      <w:pPr>
        <w:pStyle w:val="Style22"/>
        <w:keepNext w:val="0"/>
        <w:keepLines w:val="0"/>
        <w:widowControl w:val="0"/>
        <w:shd w:val="clear" w:color="auto" w:fill="auto"/>
        <w:tabs>
          <w:tab w:pos="708" w:val="left"/>
        </w:tabs>
        <w:bidi w:val="0"/>
        <w:spacing w:before="0" w:after="0" w:line="315" w:lineRule="exact"/>
        <w:ind w:left="0" w:right="0"/>
        <w:jc w:val="both"/>
      </w:pPr>
      <w:bookmarkStart w:id="268" w:name="bookmark268"/>
      <w:r>
        <w:rPr>
          <w:rFonts w:ascii="Times New Roman" w:eastAsia="Times New Roman" w:hAnsi="Times New Roman" w:cs="Times New Roman"/>
          <w:color w:val="000000"/>
          <w:spacing w:val="0"/>
          <w:w w:val="100"/>
          <w:position w:val="0"/>
        </w:rPr>
        <w:t>2</w:t>
      </w:r>
      <w:bookmarkEnd w:id="268"/>
      <w:r>
        <w:rPr>
          <w:color w:val="000000"/>
          <w:spacing w:val="0"/>
          <w:w w:val="100"/>
          <w:position w:val="0"/>
        </w:rPr>
        <w:t>、</w:t>
        <w:tab/>
        <w:t>战略委员会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公司董事会战略委员会设委员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名，战略委员会人数及人员构成符合法律、法规及公司章程的要求。各位委员均能按照 《战略委员会工作细则》的要求，认真履行自己的职责。</w:t>
      </w:r>
    </w:p>
    <w:p>
      <w:pPr>
        <w:pStyle w:val="Style22"/>
        <w:keepNext w:val="0"/>
        <w:keepLines w:val="0"/>
        <w:widowControl w:val="0"/>
        <w:shd w:val="clear" w:color="auto" w:fill="auto"/>
        <w:tabs>
          <w:tab w:pos="708" w:val="left"/>
        </w:tabs>
        <w:bidi w:val="0"/>
        <w:spacing w:before="0" w:after="0" w:line="315" w:lineRule="exact"/>
        <w:ind w:left="0" w:right="0"/>
        <w:jc w:val="both"/>
      </w:pPr>
      <w:bookmarkStart w:id="269" w:name="bookmark269"/>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提名委员会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公司董事会提名委员会设委员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名，提名委员会人数及人员构成符合法律、法规及公司章程的要求。各位委员均能按照 《提名委员会工作细则》的要求，尽职尽责，对公司董事、高级管理人员候选人进行审查，并向公司董事会提出意见和建议。</w:t>
      </w:r>
    </w:p>
    <w:p>
      <w:pPr>
        <w:pStyle w:val="Style22"/>
        <w:keepNext w:val="0"/>
        <w:keepLines w:val="0"/>
        <w:widowControl w:val="0"/>
        <w:shd w:val="clear" w:color="auto" w:fill="auto"/>
        <w:tabs>
          <w:tab w:pos="708" w:val="left"/>
        </w:tabs>
        <w:bidi w:val="0"/>
        <w:spacing w:before="0" w:after="0" w:line="315" w:lineRule="exact"/>
        <w:ind w:left="0" w:right="0"/>
        <w:jc w:val="both"/>
      </w:pPr>
      <w:bookmarkStart w:id="270" w:name="bookmark270"/>
      <w:r>
        <w:rPr>
          <w:rFonts w:ascii="Times New Roman" w:eastAsia="Times New Roman" w:hAnsi="Times New Roman" w:cs="Times New Roman"/>
          <w:color w:val="000000"/>
          <w:spacing w:val="0"/>
          <w:w w:val="100"/>
          <w:position w:val="0"/>
        </w:rPr>
        <w:t>4</w:t>
      </w:r>
      <w:bookmarkEnd w:id="270"/>
      <w:r>
        <w:rPr>
          <w:color w:val="000000"/>
          <w:spacing w:val="0"/>
          <w:w w:val="100"/>
          <w:position w:val="0"/>
        </w:rPr>
        <w:t>、</w:t>
        <w:tab/>
        <w:t>薪酬与考核委员会</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公司董事会薪酬与考核委员会设委员</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名，薪酬与考核委员会人数及人员构成符合法律、法规及公司章程的要求。各位 </w:t>
      </w:r>
      <w:r>
        <w:rPr>
          <w:color w:val="000000"/>
          <w:spacing w:val="0"/>
          <w:w w:val="100"/>
          <w:position w:val="0"/>
        </w:rPr>
        <w:t>委员均能按照《薪酬与考核委员会工作细则》的要求，根据董事及高级管理人员管理岗位的主要范围、职责及其他企业相关 岗位的薪酬水平制定薪酬方案，审查公司董事及高级管理人员的履行职责情况，监督公司薪酬制度的执行情况。</w:t>
      </w:r>
    </w:p>
    <w:p>
      <w:pPr>
        <w:pStyle w:val="Style22"/>
        <w:keepNext w:val="0"/>
        <w:keepLines w:val="0"/>
        <w:widowControl w:val="0"/>
        <w:shd w:val="clear" w:color="auto" w:fill="auto"/>
        <w:tabs>
          <w:tab w:pos="911" w:val="left"/>
        </w:tabs>
        <w:bidi w:val="0"/>
        <w:spacing w:before="0" w:after="0" w:line="308" w:lineRule="exact"/>
        <w:ind w:left="0" w:right="0"/>
        <w:jc w:val="both"/>
      </w:pPr>
      <w:bookmarkStart w:id="271" w:name="bookmark271"/>
      <w:r>
        <w:rPr>
          <w:color w:val="000000"/>
          <w:spacing w:val="0"/>
          <w:w w:val="100"/>
          <w:position w:val="0"/>
        </w:rPr>
        <w:t>（</w:t>
      </w:r>
      <w:bookmarkEnd w:id="271"/>
      <w:r>
        <w:rPr>
          <w:color w:val="000000"/>
          <w:spacing w:val="0"/>
          <w:w w:val="100"/>
          <w:position w:val="0"/>
        </w:rPr>
        <w:t>六）</w:t>
        <w:tab/>
        <w:t>关于信息披露与透明度</w:t>
      </w:r>
    </w:p>
    <w:p>
      <w:pPr>
        <w:pStyle w:val="Style22"/>
        <w:keepNext w:val="0"/>
        <w:keepLines w:val="0"/>
        <w:widowControl w:val="0"/>
        <w:shd w:val="clear" w:color="auto" w:fill="auto"/>
        <w:bidi w:val="0"/>
        <w:spacing w:before="0" w:after="0" w:line="308" w:lineRule="exact"/>
        <w:ind w:left="0" w:right="0"/>
        <w:jc w:val="both"/>
      </w:pPr>
      <w:r>
        <w:rPr>
          <w:color w:val="000000"/>
          <w:spacing w:val="0"/>
          <w:w w:val="100"/>
          <w:position w:val="0"/>
        </w:rPr>
        <w:t>公司高度重视信息披露工作与投资者关系管理工作，严格按照有关法律法规及《信息披露管理办法》、《投资者关系管 理制度》的要求，真实、准确、及时、公平、完整地披露有关信息；并指定公司董事会秘书负责信息披露工作、协调公司与 投资者的关系、接待股东来访、回答投资者咨询、向投资者提供公司已披露的资料；为确保公司所有股东能够以平等的机会 获得信息，《中国证券报》和巨潮资讯网（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为公司信息披露媒体。</w:t>
      </w:r>
    </w:p>
    <w:p>
      <w:pPr>
        <w:pStyle w:val="Style22"/>
        <w:keepNext w:val="0"/>
        <w:keepLines w:val="0"/>
        <w:widowControl w:val="0"/>
        <w:shd w:val="clear" w:color="auto" w:fill="auto"/>
        <w:tabs>
          <w:tab w:pos="911" w:val="left"/>
        </w:tabs>
        <w:bidi w:val="0"/>
        <w:spacing w:before="0" w:after="0" w:line="308" w:lineRule="exact"/>
        <w:ind w:left="0" w:right="0"/>
        <w:jc w:val="both"/>
      </w:pPr>
      <w:bookmarkStart w:id="272" w:name="bookmark272"/>
      <w:r>
        <w:rPr>
          <w:color w:val="000000"/>
          <w:spacing w:val="0"/>
          <w:w w:val="100"/>
          <w:position w:val="0"/>
        </w:rPr>
        <w:t>（</w:t>
      </w:r>
      <w:bookmarkEnd w:id="272"/>
      <w:r>
        <w:rPr>
          <w:color w:val="000000"/>
          <w:spacing w:val="0"/>
          <w:w w:val="100"/>
          <w:position w:val="0"/>
        </w:rPr>
        <w:t>七）</w:t>
        <w:tab/>
        <w:t>关于相关利益者</w:t>
      </w:r>
    </w:p>
    <w:p>
      <w:pPr>
        <w:pStyle w:val="Style22"/>
        <w:keepNext w:val="0"/>
        <w:keepLines w:val="0"/>
        <w:widowControl w:val="0"/>
        <w:shd w:val="clear" w:color="auto" w:fill="auto"/>
        <w:bidi w:val="0"/>
        <w:spacing w:before="0" w:after="0" w:line="308" w:lineRule="exact"/>
        <w:ind w:left="0" w:right="0"/>
        <w:jc w:val="both"/>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会等各方利益的协调平衡，共同推动公司持续、健康地发展。</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22" w:val="left"/>
        </w:tabs>
        <w:bidi w:val="0"/>
        <w:spacing w:before="0" w:after="260" w:line="317" w:lineRule="exact"/>
        <w:ind w:left="0" w:right="0" w:firstLine="0"/>
        <w:jc w:val="both"/>
      </w:pPr>
      <w:bookmarkStart w:id="273" w:name="bookmark273"/>
      <w:bookmarkStart w:id="274" w:name="bookmark274"/>
      <w:bookmarkStart w:id="275" w:name="bookmark275"/>
      <w:bookmarkStart w:id="276" w:name="bookmark276"/>
      <w:r>
        <w:rPr>
          <w:color w:val="000000"/>
          <w:spacing w:val="0"/>
          <w:w w:val="100"/>
          <w:position w:val="0"/>
          <w:sz w:val="24"/>
          <w:szCs w:val="24"/>
        </w:rPr>
        <w:t>二</w:t>
      </w:r>
      <w:bookmarkEnd w:id="275"/>
      <w:r>
        <w:rPr>
          <w:color w:val="000000"/>
          <w:spacing w:val="0"/>
          <w:w w:val="100"/>
          <w:position w:val="0"/>
          <w:sz w:val="24"/>
          <w:szCs w:val="24"/>
        </w:rPr>
        <w:t>、</w:t>
        <w:tab/>
        <w:t>公司相对于控股股东、实际控制人在保证公司资产、人员、财务、机构、业务等方面的 独立情况</w:t>
      </w:r>
      <w:bookmarkEnd w:id="273"/>
      <w:bookmarkEnd w:id="274"/>
      <w:bookmarkEnd w:id="276"/>
    </w:p>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公司严格按照《公司法》、《证券法》等有关法律法规和《公司章程》的要求规范运作，在业务、人员、资产、机构、 财务等方面与公司控股股东、实际控制人及其控制的企业完全独立，具有完整的业务体系以及面向市场独立经营的能力。</w:t>
      </w:r>
    </w:p>
    <w:p>
      <w:pPr>
        <w:pStyle w:val="Style22"/>
        <w:keepNext w:val="0"/>
        <w:keepLines w:val="0"/>
        <w:widowControl w:val="0"/>
        <w:shd w:val="clear" w:color="auto" w:fill="auto"/>
        <w:tabs>
          <w:tab w:pos="911" w:val="left"/>
        </w:tabs>
        <w:bidi w:val="0"/>
        <w:spacing w:before="0" w:after="0" w:line="317" w:lineRule="exact"/>
        <w:ind w:left="0" w:right="0"/>
        <w:jc w:val="both"/>
      </w:pPr>
      <w:bookmarkStart w:id="277" w:name="bookmark277"/>
      <w:r>
        <w:rPr>
          <w:color w:val="000000"/>
          <w:spacing w:val="0"/>
          <w:w w:val="100"/>
          <w:position w:val="0"/>
        </w:rPr>
        <w:t>（</w:t>
      </w:r>
      <w:bookmarkEnd w:id="277"/>
      <w:r>
        <w:rPr>
          <w:color w:val="000000"/>
          <w:spacing w:val="0"/>
          <w:w w:val="100"/>
          <w:position w:val="0"/>
        </w:rPr>
        <w:t>一）</w:t>
        <w:tab/>
        <w:t>业务方面</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公司拥有独立完整的业务体系和自主经营能力，公司的业务独立于控股股东、实际控制人及其控制的其他企业，具有完 整的业务体系和独立面向市场经营的能力，与控股股东、实际控制人及其控制的其他企业间不存在同业竞争或显失公平的关 联交易。</w:t>
      </w:r>
    </w:p>
    <w:p>
      <w:pPr>
        <w:pStyle w:val="Style22"/>
        <w:keepNext w:val="0"/>
        <w:keepLines w:val="0"/>
        <w:widowControl w:val="0"/>
        <w:shd w:val="clear" w:color="auto" w:fill="auto"/>
        <w:tabs>
          <w:tab w:pos="911" w:val="left"/>
        </w:tabs>
        <w:bidi w:val="0"/>
        <w:spacing w:before="0" w:after="0" w:line="317" w:lineRule="exact"/>
        <w:ind w:left="0" w:right="0"/>
        <w:jc w:val="both"/>
      </w:pPr>
      <w:bookmarkStart w:id="278" w:name="bookmark278"/>
      <w:r>
        <w:rPr>
          <w:color w:val="000000"/>
          <w:spacing w:val="0"/>
          <w:w w:val="100"/>
          <w:position w:val="0"/>
        </w:rPr>
        <w:t>（</w:t>
      </w:r>
      <w:bookmarkEnd w:id="278"/>
      <w:r>
        <w:rPr>
          <w:color w:val="000000"/>
          <w:spacing w:val="0"/>
          <w:w w:val="100"/>
          <w:position w:val="0"/>
        </w:rPr>
        <w:t>二）</w:t>
        <w:tab/>
        <w:t>人员方面</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公司的总经理、副总经理、财务负责人和董事会秘书等高级管理人员不在控股股东、实际控制人及其控制的其他企业中 担任除董事、监事以外的其他职务，不在控股股东、实际控制人及其控制的其他企业领薪；公司的财务人员不在控股股东、 实际控制人及其控制的其他企业中兼职。</w:t>
      </w:r>
    </w:p>
    <w:p>
      <w:pPr>
        <w:pStyle w:val="Style22"/>
        <w:keepNext w:val="0"/>
        <w:keepLines w:val="0"/>
        <w:widowControl w:val="0"/>
        <w:shd w:val="clear" w:color="auto" w:fill="auto"/>
        <w:tabs>
          <w:tab w:pos="911" w:val="left"/>
        </w:tabs>
        <w:bidi w:val="0"/>
        <w:spacing w:before="0" w:after="0" w:line="317" w:lineRule="exact"/>
        <w:ind w:left="0" w:right="0"/>
        <w:jc w:val="both"/>
      </w:pPr>
      <w:bookmarkStart w:id="279" w:name="bookmark279"/>
      <w:r>
        <w:rPr>
          <w:color w:val="000000"/>
          <w:spacing w:val="0"/>
          <w:w w:val="100"/>
          <w:position w:val="0"/>
        </w:rPr>
        <w:t>（</w:t>
      </w:r>
      <w:bookmarkEnd w:id="279"/>
      <w:r>
        <w:rPr>
          <w:color w:val="000000"/>
          <w:spacing w:val="0"/>
          <w:w w:val="100"/>
          <w:position w:val="0"/>
        </w:rPr>
        <w:t>三）</w:t>
        <w:tab/>
        <w:t>资产方面</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本公司与控股股东及其他关联方资产权属明确，不存在控股股东违规占用本公司资金、资产及其他资源情况。本公司的 土地使用权、房产、商标、专利、著作权等无形资产的权属完全由公司独立享有，公司对所有资产拥有完全的控制和支配权。</w:t>
      </w:r>
    </w:p>
    <w:p>
      <w:pPr>
        <w:pStyle w:val="Style22"/>
        <w:keepNext w:val="0"/>
        <w:keepLines w:val="0"/>
        <w:widowControl w:val="0"/>
        <w:shd w:val="clear" w:color="auto" w:fill="auto"/>
        <w:tabs>
          <w:tab w:pos="911" w:val="left"/>
        </w:tabs>
        <w:bidi w:val="0"/>
        <w:spacing w:before="0" w:after="0" w:line="317" w:lineRule="exact"/>
        <w:ind w:left="0" w:right="0"/>
        <w:jc w:val="both"/>
      </w:pPr>
      <w:bookmarkStart w:id="280" w:name="bookmark280"/>
      <w:r>
        <w:rPr>
          <w:color w:val="000000"/>
          <w:spacing w:val="0"/>
          <w:w w:val="100"/>
          <w:position w:val="0"/>
        </w:rPr>
        <w:t>（</w:t>
      </w:r>
      <w:bookmarkEnd w:id="280"/>
      <w:r>
        <w:rPr>
          <w:color w:val="000000"/>
          <w:spacing w:val="0"/>
          <w:w w:val="100"/>
          <w:position w:val="0"/>
        </w:rPr>
        <w:t>四）</w:t>
        <w:tab/>
        <w:t>机构独立</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公司建立健全了股东大会、董事会、监事会等完备的法人治理结构。公司具有完备、独立的内部管理制度，并建立了独 立的职能管理部门，各职能管理部门均能够独立行使经营管理职权，在机构设置、职能和人员方面与控股股东、实际控制人 及其控制的其他企业间不存在机构混同的情形。</w:t>
      </w:r>
    </w:p>
    <w:p>
      <w:pPr>
        <w:pStyle w:val="Style22"/>
        <w:keepNext w:val="0"/>
        <w:keepLines w:val="0"/>
        <w:widowControl w:val="0"/>
        <w:shd w:val="clear" w:color="auto" w:fill="auto"/>
        <w:tabs>
          <w:tab w:pos="911" w:val="left"/>
        </w:tabs>
        <w:bidi w:val="0"/>
        <w:spacing w:before="0" w:after="0" w:line="317" w:lineRule="exact"/>
        <w:ind w:left="0" w:right="0"/>
        <w:jc w:val="both"/>
      </w:pPr>
      <w:bookmarkStart w:id="281" w:name="bookmark281"/>
      <w:r>
        <w:rPr>
          <w:color w:val="000000"/>
          <w:spacing w:val="0"/>
          <w:w w:val="100"/>
          <w:position w:val="0"/>
        </w:rPr>
        <w:t>（</w:t>
      </w:r>
      <w:bookmarkEnd w:id="281"/>
      <w:r>
        <w:rPr>
          <w:color w:val="000000"/>
          <w:spacing w:val="0"/>
          <w:w w:val="100"/>
          <w:position w:val="0"/>
        </w:rPr>
        <w:t>五）</w:t>
        <w:tab/>
        <w:t>财务独立</w:t>
      </w:r>
    </w:p>
    <w:p>
      <w:pPr>
        <w:pStyle w:val="Style22"/>
        <w:keepNext w:val="0"/>
        <w:keepLines w:val="0"/>
        <w:widowControl w:val="0"/>
        <w:shd w:val="clear" w:color="auto" w:fill="auto"/>
        <w:bidi w:val="0"/>
        <w:spacing w:before="0" w:after="320" w:line="317" w:lineRule="exact"/>
        <w:ind w:left="0" w:right="0"/>
        <w:jc w:val="both"/>
      </w:pPr>
      <w:r>
        <w:rPr>
          <w:color w:val="000000"/>
          <w:spacing w:val="0"/>
          <w:w w:val="100"/>
          <w:position w:val="0"/>
        </w:rPr>
        <w:t>公司设立了独立的财务部门，建立了独立的财务管理制度；配备了专职的财务会计人员，独立进行会计核算和财务决策。 公司开设了独立的银行账户，依法独立进行纳税申报和履行纳税义务，不存在与控股股东、实际控制人及其控制的其他企业 共用银行账户的情况。</w:t>
      </w:r>
    </w:p>
    <w:p>
      <w:pPr>
        <w:pStyle w:val="Style27"/>
        <w:keepNext/>
        <w:keepLines/>
        <w:widowControl w:val="0"/>
        <w:shd w:val="clear" w:color="auto" w:fill="auto"/>
        <w:tabs>
          <w:tab w:pos="522" w:val="left"/>
        </w:tabs>
        <w:bidi w:val="0"/>
        <w:spacing w:before="0" w:line="317" w:lineRule="exact"/>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三</w:t>
      </w:r>
      <w:bookmarkEnd w:id="284"/>
      <w:r>
        <w:rPr>
          <w:color w:val="000000"/>
          <w:spacing w:val="0"/>
          <w:w w:val="100"/>
          <w:position w:val="0"/>
          <w:sz w:val="24"/>
          <w:szCs w:val="24"/>
        </w:rPr>
        <w:t>、</w:t>
        <w:tab/>
        <w:t>同业竞争情况</w:t>
      </w:r>
      <w:bookmarkEnd w:id="282"/>
      <w:bookmarkEnd w:id="283"/>
      <w:bookmarkEnd w:id="285"/>
    </w:p>
    <w:p>
      <w:pPr>
        <w:pStyle w:val="Style22"/>
        <w:keepNext w:val="0"/>
        <w:keepLines w:val="0"/>
        <w:widowControl w:val="0"/>
        <w:shd w:val="clear" w:color="auto" w:fill="auto"/>
        <w:bidi w:val="0"/>
        <w:spacing w:before="0" w:after="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四</w:t>
      </w:r>
      <w:bookmarkEnd w:id="288"/>
      <w:r>
        <w:rPr>
          <w:color w:val="000000"/>
          <w:spacing w:val="0"/>
          <w:w w:val="100"/>
          <w:position w:val="0"/>
          <w:sz w:val="24"/>
          <w:szCs w:val="24"/>
        </w:rPr>
        <w:t>、报告期内召开的年度股东大会和临时股东大会的有关情况</w:t>
      </w:r>
      <w:bookmarkEnd w:id="286"/>
      <w:bookmarkEnd w:id="287"/>
      <w:bookmarkEnd w:id="289"/>
    </w:p>
    <w:p>
      <w:pPr>
        <w:pStyle w:val="Style33"/>
        <w:keepNext/>
        <w:keepLines/>
        <w:widowControl w:val="0"/>
        <w:shd w:val="clear" w:color="auto" w:fill="auto"/>
        <w:bidi w:val="0"/>
        <w:spacing w:before="0" w:after="34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、本报告期股东大会情况</w:t>
      </w:r>
      <w:bookmarkEnd w:id="290"/>
      <w:bookmarkEnd w:id="291"/>
      <w:bookmarkEnd w:id="29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日刊登于巨潮资讯 网的《</w:t>
            </w: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股东大会决议公告》</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日刊登于巨潮资讯 网的《</w:t>
            </w: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次临时股东大会决 议公告》</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日刊登于巨潮资讯 网的《</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次临时股东大会决 议公告》</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、表决权恢复的优先股股东请求召开临时股东大会</w:t>
      </w:r>
      <w:bookmarkEnd w:id="294"/>
      <w:bookmarkEnd w:id="295"/>
      <w:bookmarkEnd w:id="297"/>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五</w:t>
      </w:r>
      <w:bookmarkEnd w:id="300"/>
      <w:r>
        <w:rPr>
          <w:color w:val="000000"/>
          <w:spacing w:val="0"/>
          <w:w w:val="100"/>
          <w:position w:val="0"/>
          <w:sz w:val="24"/>
          <w:szCs w:val="24"/>
        </w:rPr>
        <w:t>、</w:t>
        <w:tab/>
        <w:t>公司具有表决权差异安排</w:t>
      </w:r>
      <w:bookmarkEnd w:id="298"/>
      <w:bookmarkEnd w:id="299"/>
      <w:bookmarkEnd w:id="301"/>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w:t>
        <w:tab/>
        <w:t>红筹架构公司治理情况</w:t>
      </w:r>
      <w:bookmarkEnd w:id="302"/>
      <w:bookmarkEnd w:id="303"/>
      <w:bookmarkEnd w:id="305"/>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4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董事、监事和高级管理人员情况</w:t>
      </w:r>
      <w:bookmarkEnd w:id="306"/>
      <w:bookmarkEnd w:id="307"/>
      <w:bookmarkEnd w:id="309"/>
    </w:p>
    <w:p>
      <w:pPr>
        <w:pStyle w:val="Style33"/>
        <w:keepNext/>
        <w:keepLines/>
        <w:widowControl w:val="0"/>
        <w:shd w:val="clear" w:color="auto" w:fill="auto"/>
        <w:bidi w:val="0"/>
        <w:spacing w:before="0" w:after="34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、基本情况</w:t>
      </w:r>
      <w:bookmarkEnd w:id="310"/>
      <w:bookmarkEnd w:id="311"/>
      <w:bookmarkEnd w:id="313"/>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50,177,7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20,071,0 96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70,248,8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资本公 积转增 股本</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1,505,40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1,388,40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2,893,80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股本及 期权行 权</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7,663,93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3,065,57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10,729,5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资本公 积转增 股本</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4,392,05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1,756,82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5,994,67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股本，个 人资金 需求减 持公司 股份</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4,909,64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1,963,85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6,873,50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资本公 积转增 股本</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罗妙成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温长煌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4,722,02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1,888,80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6,610,82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资本公 积转增 股本</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廖晓虹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任职公 司监事 前的个 人股票 交易行 为</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梁辉华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 积转增 股本及 期权行 权</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1,032,39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 积转增 股本及 期权行 权</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 积转增 股本，个 人资金 需求减 持公司 股份</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6,423,66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2,569,46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2,077,20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6,915,93 1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 积转增 股本，个 人资金 需求减 持公司 股份</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80,993,4 60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33,434,3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2,237,00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112,190, 834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日，董事会收到王景田先生的辞职报告，王景田先生因个人原因申请辞去公司第三届董事会董事职务。</w:t>
      </w:r>
    </w:p>
    <w:p>
      <w:pPr>
        <w:pStyle w:val="Style22"/>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日，董事会分别收到公司副总经理兼财务总监郑升尉先生、副总经理余双兴先生辞职报告，郑升尉先生因工作安 排调整申请辞去公司财务总监职务，其辞去财务总监职务后仍继续担任公司副总经理，并分管公司电子政务业务等事项；余</w:t>
        <w:br w:type="page"/>
      </w:r>
      <w:r>
        <w:rPr>
          <w:color w:val="000000"/>
          <w:spacing w:val="0"/>
          <w:w w:val="100"/>
          <w:position w:val="0"/>
        </w:rPr>
        <w:t>双兴先生因个人原因辞去公司副总经理职务，其辞去副总经理职务后继续在公司参股公司任职。</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工作安排调整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日召开第三届董事会第三十三 次会议，同意聘任林宏先生担任公司财务总监。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 同意选举郑升尉先生为第三届董事会非独立董事。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日召开第三届第一次职工 代表大会进行第四届监事会职工代表监事的选举。经 与会职工代表投票，选举梁辉华先生担任公司第四届 监事会职工代表监事，与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日经股东大会 选举产生的监事共同组成第四届监事会。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 东大会，同意选举吴彬彬女士为第四届董事会非独立 董事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廖晓虹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 东大会，同意选举廖晓虹女士为第四届监事会非职工 代表监事。</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、任职情况</w:t>
      </w:r>
      <w:bookmarkEnd w:id="314"/>
      <w:bookmarkEnd w:id="315"/>
      <w:bookmarkEnd w:id="317"/>
    </w:p>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0" w:line="318" w:lineRule="exact"/>
        <w:ind w:left="0" w:right="0" w:firstLine="360"/>
        <w:jc w:val="left"/>
      </w:pPr>
      <w:r>
        <w:rPr>
          <w:color w:val="000000"/>
          <w:spacing w:val="0"/>
          <w:w w:val="100"/>
          <w:position w:val="0"/>
        </w:rPr>
        <w:t>陈航，男，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月出生，本科学历，工程师，曾任职于福建省财税信息中心，现任福建博思软件股份有限公司董事 长，博思数采科技发展有限公司董事长，博思数村科技发展有限公司董事长。</w:t>
      </w:r>
    </w:p>
    <w:p>
      <w:pPr>
        <w:pStyle w:val="Style22"/>
        <w:keepNext w:val="0"/>
        <w:keepLines w:val="0"/>
        <w:widowControl w:val="0"/>
        <w:shd w:val="clear" w:color="auto" w:fill="auto"/>
        <w:bidi w:val="0"/>
        <w:spacing w:before="0" w:after="0" w:line="318" w:lineRule="exact"/>
        <w:ind w:left="0" w:right="0" w:firstLine="360"/>
        <w:jc w:val="left"/>
      </w:pPr>
      <w:r>
        <w:rPr>
          <w:color w:val="000000"/>
          <w:spacing w:val="0"/>
          <w:w w:val="100"/>
          <w:position w:val="0"/>
        </w:rPr>
        <w:t>刘少华，男，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月出生，北大国际工商硕士管理</w:t>
      </w:r>
      <w:r>
        <w:rPr>
          <w:rFonts w:ascii="Times New Roman" w:eastAsia="Times New Roman" w:hAnsi="Times New Roman" w:cs="Times New Roman"/>
          <w:color w:val="000000"/>
          <w:spacing w:val="0"/>
          <w:w w:val="100"/>
          <w:position w:val="0"/>
        </w:rPr>
        <w:t>EMBA</w:t>
      </w:r>
      <w:r>
        <w:rPr>
          <w:color w:val="000000"/>
          <w:spacing w:val="0"/>
          <w:w w:val="100"/>
          <w:position w:val="0"/>
        </w:rPr>
        <w:t xml:space="preserve">硕士研究生，本科毕业于内蒙古大学电子系计算机专业。 历任内蒙古林业学院教师、北京北大方正电子有限公司副总裁、北京方正春元科技有限公司常务副总裁、北京用友政务软件 有限公司总裁，现任福建博思软件股份有限公司董事、总经理，内蒙古金财信息技术有限公司董事，广东瑞联科技有限公司 </w:t>
      </w:r>
      <w:r>
        <w:rPr>
          <w:color w:val="000000"/>
          <w:spacing w:val="0"/>
          <w:w w:val="100"/>
          <w:position w:val="0"/>
        </w:rPr>
        <w:t>董事长，北京博思广通信息系统有限公司执行董事，博思数采科技发展有限公司董事。</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肖勇，男，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月出生，硕士学历，毕业于中欧国际工商学院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历任福建华兴科技有限责任公司市场二部经 理、福州博思软件开发有限公司董事、副总经理，现任福建博思软件股份有限公司董事、副总经理，北京博思致新互联网科 技有限责任公司执行董事，北京博思兴华软件有限公司执行董事、经理，福建博思云易智能科技有限公司执行董事、经理， 北京善为智行科技有限公司执行董事、经理，</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叶章明，男，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月出生，大专学历，曾任福建华兴科技有限责任公司市场部经理、副总经理，现任福建博思软件 股份有限公司董事、副总经理，福建博思电子政务科技有限公司执行董事、经理，福建博思信息科技有限公司执行董事，福 建博思数字科技有限公司执行董事，福建同心思源文化艺术发展有限公司监事。</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郑升尉，男，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月出生，本科学历，正高级会计师。曾任职于福建华兴科技有限责任公司、福建财经会计师事务 所，历任福建博思软件股份有限公司副总经理、董事会秘书、财务总监，现任福建博思软件股份有限公司董事、副总经理， 福州兴博新中大软件有限公司董事长，福建博思创业园管理有限公司执行董事，内蒙古金财信息技术有限公司监事，福建博 思智慧信息产业科技有限公司执行董事兼总经理，福建优福农业科技有限公司执行董事。</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吴彬彬，女，</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月出生，本科学历，会计硕士学位，高级会计师，审计师。历任福建省审计师事务所财务审计、 工程造价审计项目经理；东煌（福建）房地产开发有限公司财务经理；福州世欧房地产开发有限公司财务部专业经理；泰禾 集团股份有限公司财务部副经理；融信（福建）投资集团有限公司财务中心专业经理；福建省电子信息集团审计风控部经理。 现任福建省电子信息（集团）有限责任公司董监事管理中心专职董监事，福建博思软件股份有限公司董事，华映光电股份有 限公司监事，中方国际融资租赁（深圳）有限公司监事，福建省电子信息产业股权投资管理有限公司监事，中方信息科技（深 圳）有限公司监事。</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罗妙成，女，</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月出生，经济学硕士，教授、注册会计师。历任福建财经学校教师，集美财政专科学校教师，福 建财会管理干部学院教师、系副主任、主任、副院长，福财会计师事务所注册会计师，福州市地方税务局鼓楼分局副局长（挂 职），福建江夏学院会计学系主任、科研处处长、会计学院教授。现任福建博思软件股份有限公司独立董事，腾景科技股份 有限公司独立董事，非上市公司福建交易市场登记结算中心股份有限公司独立董事，非上市公司福建南王环保科技股份有限 公司独立董事。</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张梅，女，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月出生，管理学硕士，福建省首批高校毕业生创业导师，</w:t>
      </w:r>
      <w:r>
        <w:rPr>
          <w:rFonts w:ascii="Times New Roman" w:eastAsia="Times New Roman" w:hAnsi="Times New Roman" w:cs="Times New Roman"/>
          <w:color w:val="000000"/>
          <w:spacing w:val="0"/>
          <w:w w:val="100"/>
          <w:position w:val="0"/>
        </w:rPr>
        <w:t>2013</w:t>
      </w:r>
      <w:r>
        <w:rPr>
          <w:color w:val="000000"/>
          <w:spacing w:val="0"/>
          <w:w w:val="100"/>
          <w:position w:val="0"/>
        </w:rPr>
        <w:t>年入选福建省新世纪优秀人才。拥有 中国注册会计师、注册资产评估师资格，上市公司独立董事资格。现任福建江夏学院会计学教授，福州大学、福建农林大学 硕士生导师，福建博思软件股份有限公司独立董事，江西赣能股份有限公司独立董事，福建南平太阳电缆股份有限公司独立 董事，海峡创新互联网股份有限公司独立董事，非上市公司福建安溪农村商业银行股份有限公司独立董事。</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温长煌，男，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月出生，研究生学历。曾任福州市建设委员会政策法规综合处副处长、处长。现任福建知信衡律 师事务所合伙人、主任律师，福建博思软件股份有限公司独立董事，福建海峡环保集团股份有限公司独立董事。</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毛时敏，男，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月出生，硕士学历，高级会计师。曾任福建省财税信息中心培训科科长、福建华兴科技有限责任 公司副总经理、福州博思软件开发有限公司副总经理，现任福建博思软件股份有限公司监事会主席、福建博思电子政务科技 有限公司监事。</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廖晓虹，女，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月出生，本科学历。曾任福建省金网软件科技有限公司电子商务部项目主管、福建华兴科技有限 责任公司项目主管、福建博思软件股份有限公司财政软件部部门主管，现任福建博思软件股份有限公司市场拓展部副经理。</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梁辉华，男，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月出生，本科学历，曾任职于福建省耀华对外贸易公司进出口一部经理、福建博思软件股份有限 公司工程部副经理，现任福建博思软件股份有限公司后勤部后勤专员。</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张奇，男，</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月出生，双学士学位。历任北京方正春元科技有限公司研发部经理、北京用友政务软件有限公司财 政产品中心总经理助理总裁、副总裁，现任北京博思致新互联网科技有限责任公司总经理、福建博思软件股份有限公司副总 经理、大数据研发中心负责人。</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林宏，男，</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月出生，硕士学历。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月在国金证券股份有限公司上海证券承销保荐分公司先 后担任投行部项目经理、高级经理；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月至今担任福建博思软件股份有限公司副总经理、董事会秘书，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 担任福建博思软件股份有限公司财务总监，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月至今担任泉州市搏浪信息科技有限公司监事。林宏先生已于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月取得深圳证券交易所董事会秘书资格证书。</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在股东单位任职情况</w:t>
      </w:r>
      <w:r>
        <w:br w:type="page"/>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审计风控部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吴彬彬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董监事管理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中心专职董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北京博思赋能科技有限公司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北京博思广通信息系统有限公司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北京公易人人信息技术有限公司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北京善为智行科技有限公司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经理</w:t>
            </w:r>
            <w:r>
              <w:rPr>
                <w:rFonts w:ascii="Times New Roman" w:eastAsia="Times New Roman" w:hAnsi="Times New Roman" w:cs="Times New Roman"/>
                <w:color w:val="000000"/>
                <w:spacing w:val="0"/>
                <w:w w:val="100"/>
                <w:position w:val="0"/>
              </w:rPr>
              <w:t>,</w:t>
            </w:r>
            <w:r>
              <w:rPr>
                <w:color w:val="000000"/>
                <w:spacing w:val="0"/>
                <w:w w:val="100"/>
                <w:position w:val="0"/>
              </w:rPr>
              <w:t>执行董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执行董事、经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执行董事、经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福建同心思源文化艺术发展有限公司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福建兴博数政科技有限公司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福建博思创业园管理有限公司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福建博思智慧信息产业科技有限公司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审计稽核部 主办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审计风控部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董监事管理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中心专职董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中方国际融资租赁（深圳）有限公司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华映光电股份有限公司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福建省电子信息产业股权投资管理有限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中方信息科技（深圳）有限公司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罗妙成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福建江夏学院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罗妙成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福建交易市场登记结算中心股份有限公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罗妙成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福建南王环保科技股份有限公司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腾景科技股份有限公司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福建江夏学院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r>
              <w:rPr>
                <w:rFonts w:ascii="Times New Roman" w:eastAsia="Times New Roman" w:hAnsi="Times New Roman" w:cs="Times New Roman"/>
                <w:color w:val="000000"/>
                <w:spacing w:val="0"/>
                <w:w w:val="100"/>
                <w:position w:val="0"/>
              </w:rPr>
              <w:t>/</w:t>
            </w:r>
            <w:r>
              <w:rPr>
                <w:color w:val="000000"/>
                <w:spacing w:val="0"/>
                <w:w w:val="100"/>
                <w:position w:val="0"/>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硕士生导师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福建农林大学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硕士生导师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江西赣能股份有限公司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福建南平太阳电缆股份有限公司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福建安溪农村商业银行股份有限公司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福建知信衡律师事务所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福建海峡环保集团股份有限公司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泉州市搏浪信息科技有限公司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both"/>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、董事、监事、高级管理人员报酬情况</w:t>
      </w:r>
      <w:bookmarkEnd w:id="318"/>
      <w:bookmarkEnd w:id="319"/>
      <w:bookmarkEnd w:id="321"/>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董事、监事、高级管理人员报酬的决策程序：公司的董事、监事的薪酬由公司股东大会决定，高级管理人员的薪酬由公司董 事会决定。不在公司任职的非独立董事不领取报酬或津贴。公司董事、监事的薪酬、津贴经董事会审议批准后，提交股东大 会审议通过后实施。</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董事、监事、高级管理人员报酬的确定依据：主要依据公司经营状况、管理岗位的主要范围与职责、重要性以及对业绩完成 情况进行考核来确定；独立董事的津贴标准参照本地区、同行业上市公司的整体水平。</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董事、监事、高级管理人员报酬的实际支付情况：报告期内，董事、监事和高级管理人员薪酬已按年度薪酬计划支付。</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廖晓虹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副总经理、财务 总监、董事会秘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八</w:t>
      </w:r>
      <w:bookmarkEnd w:id="324"/>
      <w:r>
        <w:rPr>
          <w:color w:val="000000"/>
          <w:spacing w:val="0"/>
          <w:w w:val="100"/>
          <w:position w:val="0"/>
          <w:sz w:val="24"/>
          <w:szCs w:val="24"/>
        </w:rPr>
        <w:t>、报告期内董事履行职责的情况</w:t>
      </w:r>
      <w:bookmarkEnd w:id="322"/>
      <w:bookmarkEnd w:id="323"/>
      <w:bookmarkEnd w:id="325"/>
    </w:p>
    <w:p>
      <w:pPr>
        <w:pStyle w:val="Style33"/>
        <w:keepNext/>
        <w:keepLines/>
        <w:widowControl w:val="0"/>
        <w:shd w:val="clear" w:color="auto" w:fill="auto"/>
        <w:bidi w:val="0"/>
        <w:spacing w:before="0" w:after="32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、本报告期董事会情况</w:t>
      </w:r>
      <w:bookmarkEnd w:id="326"/>
      <w:bookmarkEnd w:id="327"/>
      <w:bookmarkEnd w:id="329"/>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第三届董事会第三十一次会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日刊登于 巨潮资讯网的《第三届董事会 第三十一次会议决议公告》</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第三届董事会第三十二次会 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日刊登于 巨潮资讯网的《第三届董事会 第三十二次会议决议公告》</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2021-018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第三届董事会第三十三次会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日刊登于 巨潮资讯网的《董事会决议公 告》（公告编号：</w:t>
            </w:r>
            <w:r>
              <w:rPr>
                <w:rFonts w:ascii="Times New Roman" w:eastAsia="Times New Roman" w:hAnsi="Times New Roman" w:cs="Times New Roman"/>
                <w:color w:val="000000"/>
                <w:spacing w:val="0"/>
                <w:w w:val="100"/>
                <w:position w:val="0"/>
              </w:rPr>
              <w:t>2021-039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第三届董事会第三十四次会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日刊登于 巨潮资讯网的《第三届董事会 第三十四次会议》（公告编号： </w:t>
            </w:r>
            <w:r>
              <w:rPr>
                <w:rFonts w:ascii="Times New Roman" w:eastAsia="Times New Roman" w:hAnsi="Times New Roman" w:cs="Times New Roman"/>
                <w:color w:val="000000"/>
                <w:spacing w:val="0"/>
                <w:w w:val="100"/>
                <w:position w:val="0"/>
              </w:rPr>
              <w:t>2021-054</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第三届董事会第三十五次会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日刊登于 巨潮资讯网的《第三届董事会 第三十五次会议》（公告编号： </w:t>
            </w:r>
            <w:r>
              <w:rPr>
                <w:rFonts w:ascii="Times New Roman" w:eastAsia="Times New Roman" w:hAnsi="Times New Roman" w:cs="Times New Roman"/>
                <w:color w:val="000000"/>
                <w:spacing w:val="0"/>
                <w:w w:val="100"/>
                <w:position w:val="0"/>
              </w:rPr>
              <w:t>2021-074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日刊登于 巨潮资讯网的《第四届董事会 第一次会议》（公告编号： </w:t>
            </w:r>
            <w:r>
              <w:rPr>
                <w:rFonts w:ascii="Times New Roman" w:eastAsia="Times New Roman" w:hAnsi="Times New Roman" w:cs="Times New Roman"/>
                <w:color w:val="000000"/>
                <w:spacing w:val="0"/>
                <w:w w:val="100"/>
                <w:position w:val="0"/>
              </w:rPr>
              <w:t>2021-088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日刊登于 巨潮资讯网的《董事会决议公 告》（公告编号：</w:t>
            </w:r>
            <w:r>
              <w:rPr>
                <w:rFonts w:ascii="Times New Roman" w:eastAsia="Times New Roman" w:hAnsi="Times New Roman" w:cs="Times New Roman"/>
                <w:color w:val="000000"/>
                <w:spacing w:val="0"/>
                <w:w w:val="100"/>
                <w:position w:val="0"/>
              </w:rPr>
              <w:t>2021-101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日刊登于 巨潮资讯网的《第四届董事会 第三次会议》（公告编号： </w:t>
            </w:r>
            <w:r>
              <w:rPr>
                <w:rFonts w:ascii="Times New Roman" w:eastAsia="Times New Roman" w:hAnsi="Times New Roman" w:cs="Times New Roman"/>
                <w:color w:val="000000"/>
                <w:spacing w:val="0"/>
                <w:w w:val="100"/>
                <w:position w:val="0"/>
              </w:rPr>
              <w:t>2021-109</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日刊登于 巨潮资讯网的《第四届董事会 第四次会议》（公告编号： </w:t>
            </w:r>
            <w:r>
              <w:rPr>
                <w:rFonts w:ascii="Times New Roman" w:eastAsia="Times New Roman" w:hAnsi="Times New Roman" w:cs="Times New Roman"/>
                <w:color w:val="000000"/>
                <w:spacing w:val="0"/>
                <w:w w:val="100"/>
                <w:position w:val="0"/>
              </w:rPr>
              <w:t>2021-120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日刊登 于巨潮资讯网的《第四届董事 会第五次会议》（公告编号： </w:t>
            </w:r>
            <w:r>
              <w:rPr>
                <w:rFonts w:ascii="Times New Roman" w:eastAsia="Times New Roman" w:hAnsi="Times New Roman" w:cs="Times New Roman"/>
                <w:color w:val="000000"/>
                <w:spacing w:val="0"/>
                <w:w w:val="100"/>
                <w:position w:val="0"/>
              </w:rPr>
              <w:t>2021-132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日刊登于 巨潮资讯网的《第四届董事会 第六次会议》（公告编号： </w:t>
            </w:r>
            <w:r>
              <w:rPr>
                <w:rFonts w:ascii="Times New Roman" w:eastAsia="Times New Roman" w:hAnsi="Times New Roman" w:cs="Times New Roman"/>
                <w:color w:val="000000"/>
                <w:spacing w:val="0"/>
                <w:w w:val="100"/>
                <w:position w:val="0"/>
              </w:rPr>
              <w:t>2021-136</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日刊登 于巨潮资讯网的《第四届董事 会第七次会议》（公告编号： </w:t>
            </w:r>
            <w:r>
              <w:rPr>
                <w:rFonts w:ascii="Times New Roman" w:eastAsia="Times New Roman" w:hAnsi="Times New Roman" w:cs="Times New Roman"/>
                <w:color w:val="000000"/>
                <w:spacing w:val="0"/>
                <w:w w:val="100"/>
                <w:position w:val="0"/>
              </w:rPr>
              <w:t>2021-148</w:t>
            </w:r>
            <w:r>
              <w:rPr>
                <w:color w:val="000000"/>
                <w:spacing w:val="0"/>
                <w:w w:val="100"/>
                <w:position w:val="0"/>
              </w:rPr>
              <w:t>）</w:t>
            </w:r>
          </w:p>
        </w:tc>
      </w:tr>
    </w:tbl>
    <w:p>
      <w:pPr>
        <w:pStyle w:val="Style33"/>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、董事出席董事会及股东大会的情况</w:t>
      </w:r>
      <w:bookmarkEnd w:id="330"/>
      <w:bookmarkEnd w:id="331"/>
      <w:bookmarkEnd w:id="33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吴彬彬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、董事对公司有关事项提出异议的情况</w:t>
      </w:r>
      <w:bookmarkEnd w:id="334"/>
      <w:bookmarkEnd w:id="335"/>
      <w:bookmarkEnd w:id="337"/>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bidi w:val="0"/>
        <w:spacing w:before="0" w:after="2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、董事履行职责的其他说明</w:t>
      </w:r>
      <w:bookmarkEnd w:id="338"/>
      <w:bookmarkEnd w:id="339"/>
      <w:bookmarkEnd w:id="341"/>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200" w:line="312" w:lineRule="exact"/>
        <w:ind w:left="0" w:right="0"/>
        <w:jc w:val="both"/>
      </w:pPr>
      <w:r>
        <w:rPr>
          <w:color w:val="000000"/>
          <w:spacing w:val="0"/>
          <w:w w:val="100"/>
          <w:position w:val="0"/>
        </w:rPr>
        <w:t>报告期内，公司全体董事严格按照《公司法》、《深圳证券交易所创业板股票上市规则》等法律、法规和《公司章程》、 《独立董事制度》的规定，认真履行职责，恪尽职守，勤勉尽责，积极出席相关会议，对各项议案进行认真审议，对公司的 重大治理和经营决策提出了相关的意见，经过充分沟通讨论，形成一致意见，并坚决推动董事会决议的执行，确保决策科学、 及时、高效，维护公司和全体股东的合法权益。此外，独立董事积极主动的了解公司生产经营情况、内部控制和财务状况， 及时获悉公司各重大事项的进展情况，掌握公司的运行动态，对公司经营管理提出建议和意见，有效履行了独立董事职责。</w:t>
      </w:r>
      <w:r>
        <w:br w:type="page"/>
      </w:r>
    </w:p>
    <w:p>
      <w:pPr>
        <w:pStyle w:val="Style27"/>
        <w:keepNext/>
        <w:keepLines/>
        <w:widowControl w:val="0"/>
        <w:shd w:val="clear" w:color="auto" w:fill="auto"/>
        <w:bidi w:val="0"/>
        <w:spacing w:before="0" w:after="30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九</w:t>
      </w:r>
      <w:bookmarkEnd w:id="344"/>
      <w:r>
        <w:rPr>
          <w:color w:val="000000"/>
          <w:spacing w:val="0"/>
          <w:w w:val="100"/>
          <w:position w:val="0"/>
          <w:sz w:val="24"/>
          <w:szCs w:val="24"/>
        </w:rPr>
        <w:t>、董事会下设专门委员会在报告期内的情况</w:t>
      </w:r>
      <w:bookmarkEnd w:id="342"/>
      <w:bookmarkEnd w:id="343"/>
      <w:bookmarkEnd w:id="345"/>
    </w:p>
    <w:tbl>
      <w:tblPr>
        <w:tblOverlap w:val="never"/>
        <w:jc w:val="center"/>
        <w:tblLayout w:type="fixed"/>
      </w:tblPr>
      <w:tblGrid>
        <w:gridCol w:w="715"/>
        <w:gridCol w:w="854"/>
        <w:gridCol w:w="706"/>
        <w:gridCol w:w="854"/>
        <w:gridCol w:w="3965"/>
        <w:gridCol w:w="854"/>
        <w:gridCol w:w="706"/>
        <w:gridCol w:w="93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召开会</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提出的重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要意见和</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行职责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 董事会 审计委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张梅，温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长煌，叶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章明</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、关于本次交易摊薄即期回报影响及填补回报措 施的议案</w:t>
            </w:r>
            <w:r>
              <w:rPr>
                <w:rFonts w:ascii="Times New Roman" w:eastAsia="Times New Roman" w:hAnsi="Times New Roman" w:cs="Times New Roman"/>
                <w:color w:val="000000"/>
                <w:spacing w:val="0"/>
                <w:w w:val="100"/>
                <w:position w:val="0"/>
              </w:rPr>
              <w:t>2</w:t>
            </w:r>
            <w:r>
              <w:rPr>
                <w:color w:val="000000"/>
                <w:spacing w:val="0"/>
                <w:w w:val="100"/>
                <w:position w:val="0"/>
              </w:rPr>
              <w:t>、关于审议《前次募集资金使用情况报 告》的议案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I</w:t>
            </w:r>
            <w:r>
              <w:rPr>
                <w:color w:val="000000"/>
                <w:spacing w:val="0"/>
                <w:w w:val="100"/>
                <w:position w:val="0"/>
              </w:rPr>
              <w:t>、</w:t>
              <w:tab/>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w:t>
            </w:r>
            <w:r>
              <w:rPr>
                <w:rFonts w:ascii="Times New Roman" w:eastAsia="Times New Roman" w:hAnsi="Times New Roman" w:cs="Times New Roman"/>
                <w:color w:val="000000"/>
                <w:spacing w:val="0"/>
                <w:w w:val="100"/>
                <w:position w:val="0"/>
              </w:rPr>
              <w:t>2020</w:t>
            </w:r>
            <w:r>
              <w:rPr>
                <w:color w:val="000000"/>
                <w:spacing w:val="0"/>
                <w:w w:val="100"/>
                <w:position w:val="0"/>
              </w:rPr>
              <w:t>年年度 报告摘要》的议案</w:t>
            </w:r>
            <w:r>
              <w:rPr>
                <w:rFonts w:ascii="Times New Roman" w:eastAsia="Times New Roman" w:hAnsi="Times New Roman" w:cs="Times New Roman"/>
                <w:color w:val="000000"/>
                <w:spacing w:val="0"/>
                <w:w w:val="100"/>
                <w:position w:val="0"/>
              </w:rPr>
              <w:t>2</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年第一季 度报告全文》的议案</w:t>
            </w:r>
            <w:r>
              <w:rPr>
                <w:rFonts w:ascii="Times New Roman" w:eastAsia="Times New Roman" w:hAnsi="Times New Roman" w:cs="Times New Roman"/>
                <w:color w:val="000000"/>
                <w:spacing w:val="0"/>
                <w:w w:val="100"/>
                <w:position w:val="0"/>
              </w:rPr>
              <w:t>3</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年度财 务决算报告》的议案</w:t>
            </w:r>
            <w:r>
              <w:rPr>
                <w:rFonts w:ascii="Times New Roman" w:eastAsia="Times New Roman" w:hAnsi="Times New Roman" w:cs="Times New Roman"/>
                <w:color w:val="000000"/>
                <w:spacing w:val="0"/>
                <w:w w:val="100"/>
                <w:position w:val="0"/>
              </w:rPr>
              <w:t>4</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年度募 集资金存放与使用情况专项报告》的议案</w:t>
            </w:r>
            <w:r>
              <w:rPr>
                <w:rFonts w:ascii="Times New Roman" w:eastAsia="Times New Roman" w:hAnsi="Times New Roman" w:cs="Times New Roman"/>
                <w:color w:val="000000"/>
                <w:spacing w:val="0"/>
                <w:w w:val="100"/>
                <w:position w:val="0"/>
              </w:rPr>
              <w:t>5</w:t>
            </w:r>
            <w:r>
              <w:rPr>
                <w:color w:val="000000"/>
                <w:spacing w:val="0"/>
                <w:w w:val="100"/>
                <w:position w:val="0"/>
              </w:rPr>
              <w:t>、关于 审议《</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年度内部控制自我评价报告》的议案</w:t>
            </w:r>
            <w:r>
              <w:rPr>
                <w:rFonts w:ascii="Times New Roman" w:eastAsia="Times New Roman" w:hAnsi="Times New Roman" w:cs="Times New Roman"/>
                <w:color w:val="000000"/>
                <w:spacing w:val="0"/>
                <w:w w:val="100"/>
                <w:position w:val="0"/>
              </w:rPr>
              <w:t>6</w:t>
            </w:r>
            <w:r>
              <w:rPr>
                <w:color w:val="000000"/>
                <w:spacing w:val="0"/>
                <w:w w:val="100"/>
                <w:position w:val="0"/>
              </w:rPr>
              <w:t>、 关于审议公司控股股东及其他关联方资金占用情 况的议案</w:t>
            </w:r>
            <w:r>
              <w:rPr>
                <w:rFonts w:ascii="Times New Roman" w:eastAsia="Times New Roman" w:hAnsi="Times New Roman" w:cs="Times New Roman"/>
                <w:color w:val="000000"/>
                <w:spacing w:val="0"/>
                <w:w w:val="100"/>
                <w:position w:val="0"/>
              </w:rPr>
              <w:t>7</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 计的议案</w:t>
            </w:r>
            <w:r>
              <w:rPr>
                <w:rFonts w:ascii="Times New Roman" w:eastAsia="Times New Roman" w:hAnsi="Times New Roman" w:cs="Times New Roman"/>
                <w:color w:val="000000"/>
                <w:spacing w:val="0"/>
                <w:w w:val="100"/>
                <w:position w:val="0"/>
              </w:rPr>
              <w:t>8</w:t>
            </w:r>
            <w:r>
              <w:rPr>
                <w:color w:val="000000"/>
                <w:spacing w:val="0"/>
                <w:w w:val="100"/>
                <w:position w:val="0"/>
              </w:rPr>
              <w:t>、关于会计政策变更的议案</w:t>
            </w:r>
            <w:r>
              <w:rPr>
                <w:rFonts w:ascii="Times New Roman" w:eastAsia="Times New Roman" w:hAnsi="Times New Roman" w:cs="Times New Roman"/>
                <w:color w:val="000000"/>
                <w:spacing w:val="0"/>
                <w:w w:val="100"/>
                <w:position w:val="0"/>
              </w:rPr>
              <w:t>9</w:t>
            </w:r>
            <w:r>
              <w:rPr>
                <w:color w:val="000000"/>
                <w:spacing w:val="0"/>
                <w:w w:val="100"/>
                <w:position w:val="0"/>
              </w:rPr>
              <w:t>、关于审 议</w:t>
            </w:r>
            <w:r>
              <w:rPr>
                <w:rFonts w:ascii="Times New Roman" w:eastAsia="Times New Roman" w:hAnsi="Times New Roman" w:cs="Times New Roman"/>
                <w:color w:val="000000"/>
                <w:spacing w:val="0"/>
                <w:w w:val="100"/>
                <w:position w:val="0"/>
              </w:rPr>
              <w:t>2020</w:t>
            </w:r>
            <w:r>
              <w:rPr>
                <w:color w:val="000000"/>
                <w:spacing w:val="0"/>
                <w:w w:val="100"/>
                <w:position w:val="0"/>
              </w:rPr>
              <w:t>年度计提信用减值准备的议案</w:t>
            </w:r>
            <w:r>
              <w:rPr>
                <w:rFonts w:ascii="Times New Roman" w:eastAsia="Times New Roman" w:hAnsi="Times New Roman" w:cs="Times New Roman"/>
                <w:color w:val="000000"/>
                <w:spacing w:val="0"/>
                <w:w w:val="100"/>
                <w:position w:val="0"/>
              </w:rPr>
              <w:t>10</w:t>
            </w:r>
            <w:r>
              <w:rPr>
                <w:color w:val="000000"/>
                <w:spacing w:val="0"/>
                <w:w w:val="100"/>
                <w:position w:val="0"/>
              </w:rPr>
              <w:t>、关于控 股子公司少数股东股权变更暨关联交易的议案</w:t>
            </w:r>
          </w:p>
          <w:p>
            <w:pPr>
              <w:pStyle w:val="Style24"/>
              <w:keepNext w:val="0"/>
              <w:keepLines w:val="0"/>
              <w:widowControl w:val="0"/>
              <w:shd w:val="clear" w:color="auto" w:fill="auto"/>
              <w:tabs>
                <w:tab w:pos="346"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w:t>
              <w:tab/>
              <w:t>关于续聘会计师事务所的议案</w:t>
            </w:r>
            <w:r>
              <w:rPr>
                <w:rFonts w:ascii="Times New Roman" w:eastAsia="Times New Roman" w:hAnsi="Times New Roman" w:cs="Times New Roman"/>
                <w:color w:val="000000"/>
                <w:spacing w:val="0"/>
                <w:w w:val="100"/>
                <w:position w:val="0"/>
              </w:rPr>
              <w:t>12</w:t>
            </w:r>
            <w:r>
              <w:rPr>
                <w:color w:val="000000"/>
                <w:spacing w:val="0"/>
                <w:w w:val="100"/>
                <w:position w:val="0"/>
              </w:rPr>
              <w:t>、关于审议</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年度审计工作小结、</w:t>
            </w:r>
            <w:r>
              <w:rPr>
                <w:rFonts w:ascii="Times New Roman" w:eastAsia="Times New Roman" w:hAnsi="Times New Roman" w:cs="Times New Roman"/>
                <w:color w:val="000000"/>
                <w:spacing w:val="0"/>
                <w:w w:val="100"/>
                <w:position w:val="0"/>
              </w:rPr>
              <w:t>2021</w:t>
            </w:r>
            <w:r>
              <w:rPr>
                <w:color w:val="000000"/>
                <w:spacing w:val="0"/>
                <w:w w:val="100"/>
                <w:position w:val="0"/>
              </w:rPr>
              <w:t>年度审计工作计 划》的议案</w:t>
            </w:r>
            <w:r>
              <w:rPr>
                <w:rFonts w:ascii="Times New Roman" w:eastAsia="Times New Roman" w:hAnsi="Times New Roman" w:cs="Times New Roman"/>
                <w:color w:val="000000"/>
                <w:spacing w:val="0"/>
                <w:w w:val="100"/>
                <w:position w:val="0"/>
              </w:rPr>
              <w:t>13</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年第一季度审计 工作小结、</w:t>
            </w:r>
            <w:r>
              <w:rPr>
                <w:rFonts w:ascii="Times New Roman" w:eastAsia="Times New Roman" w:hAnsi="Times New Roman" w:cs="Times New Roman"/>
                <w:color w:val="000000"/>
                <w:spacing w:val="0"/>
                <w:w w:val="100"/>
                <w:position w:val="0"/>
              </w:rPr>
              <w:t>2021</w:t>
            </w:r>
            <w:r>
              <w:rPr>
                <w:color w:val="000000"/>
                <w:spacing w:val="0"/>
                <w:w w:val="100"/>
                <w:position w:val="0"/>
              </w:rPr>
              <w:t>年第二季度审计工作计划》的议 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、关于本次交易摊薄即期回报影响及填补回报措 施的议案</w:t>
            </w:r>
            <w:r>
              <w:rPr>
                <w:rFonts w:ascii="Times New Roman" w:eastAsia="Times New Roman" w:hAnsi="Times New Roman" w:cs="Times New Roman"/>
                <w:color w:val="000000"/>
                <w:spacing w:val="0"/>
                <w:w w:val="100"/>
                <w:position w:val="0"/>
              </w:rPr>
              <w:t>2</w:t>
            </w:r>
            <w:r>
              <w:rPr>
                <w:color w:val="000000"/>
                <w:spacing w:val="0"/>
                <w:w w:val="100"/>
                <w:position w:val="0"/>
              </w:rPr>
              <w:t>、关于审议《前次募集资金使用情况专 项报告》的议案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、关于增加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 董事会 审计委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张梅，温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长煌，郑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升尉</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5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年半年度报告》及摘要的议案</w:t>
            </w:r>
          </w:p>
          <w:p>
            <w:pPr>
              <w:pStyle w:val="Style24"/>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 情况的专项报告》的议案</w:t>
            </w:r>
            <w:r>
              <w:rPr>
                <w:rFonts w:ascii="Times New Roman" w:eastAsia="Times New Roman" w:hAnsi="Times New Roman" w:cs="Times New Roman"/>
                <w:color w:val="000000"/>
                <w:spacing w:val="0"/>
                <w:w w:val="100"/>
                <w:position w:val="0"/>
              </w:rPr>
              <w:t>3</w:t>
            </w:r>
            <w:r>
              <w:rPr>
                <w:color w:val="000000"/>
                <w:spacing w:val="0"/>
                <w:w w:val="100"/>
                <w:position w:val="0"/>
              </w:rPr>
              <w:t>、关于募投项目变更实 施方式、投资结构，调整投资进度的议案</w:t>
            </w:r>
            <w:r>
              <w:rPr>
                <w:rFonts w:ascii="Times New Roman" w:eastAsia="Times New Roman" w:hAnsi="Times New Roman" w:cs="Times New Roman"/>
                <w:color w:val="000000"/>
                <w:spacing w:val="0"/>
                <w:w w:val="100"/>
                <w:position w:val="0"/>
              </w:rPr>
              <w:t>4</w:t>
            </w:r>
            <w:r>
              <w:rPr>
                <w:color w:val="000000"/>
                <w:spacing w:val="0"/>
                <w:w w:val="100"/>
                <w:position w:val="0"/>
              </w:rPr>
              <w:t xml:space="preserve">、关于 控股子公司少数股东股权变更暨关联交易的议案 </w:t>
            </w:r>
            <w:r>
              <w:rPr>
                <w:rFonts w:ascii="Times New Roman" w:eastAsia="Times New Roman" w:hAnsi="Times New Roman" w:cs="Times New Roman"/>
                <w:color w:val="000000"/>
                <w:spacing w:val="0"/>
                <w:w w:val="100"/>
                <w:position w:val="0"/>
              </w:rPr>
              <w:t>5</w:t>
            </w:r>
            <w:r>
              <w:rPr>
                <w:color w:val="000000"/>
                <w:spacing w:val="0"/>
                <w:w w:val="100"/>
                <w:position w:val="0"/>
              </w:rPr>
              <w:t>、关于使用部分闲置募集资金进行现金管理的议 案</w:t>
            </w:r>
            <w:r>
              <w:rPr>
                <w:rFonts w:ascii="Times New Roman" w:eastAsia="Times New Roman" w:hAnsi="Times New Roman" w:cs="Times New Roman"/>
                <w:color w:val="000000"/>
                <w:spacing w:val="0"/>
                <w:w w:val="100"/>
                <w:position w:val="0"/>
              </w:rPr>
              <w:t>6</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年第二季度审计工作小结、 第三季度审计工作计划》的议案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、关于延期归还闲置募集资金并继续用于暂时补 充流动资金的议案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年第三季度报告》的议案</w:t>
            </w:r>
            <w:r>
              <w:rPr>
                <w:rFonts w:ascii="Times New Roman" w:eastAsia="Times New Roman" w:hAnsi="Times New Roman" w:cs="Times New Roman"/>
                <w:color w:val="000000"/>
                <w:spacing w:val="0"/>
                <w:w w:val="100"/>
                <w:position w:val="0"/>
              </w:rPr>
              <w:t>2</w:t>
            </w:r>
            <w:r>
              <w:rPr>
                <w:color w:val="000000"/>
                <w:spacing w:val="0"/>
                <w:w w:val="100"/>
                <w:position w:val="0"/>
              </w:rPr>
              <w:t>、 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年第三季度审计工作小结、第四 季度审计工作计划》的议案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4"/>
        <w:gridCol w:w="706"/>
        <w:gridCol w:w="854"/>
        <w:gridCol w:w="3965"/>
        <w:gridCol w:w="854"/>
        <w:gridCol w:w="706"/>
        <w:gridCol w:w="931"/>
      </w:tblGrid>
      <w:tr>
        <w:trPr>
          <w:trHeight w:val="22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关于向特定对象发行股票涉及关联交易的议案</w:t>
            </w:r>
          </w:p>
          <w:p>
            <w:pPr>
              <w:pStyle w:val="Style24"/>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关于向特定对象发行股票摊薄即期回报、采取 填补措施及相关承诺的议案</w:t>
            </w:r>
            <w:r>
              <w:rPr>
                <w:rFonts w:ascii="Times New Roman" w:eastAsia="Times New Roman" w:hAnsi="Times New Roman" w:cs="Times New Roman"/>
                <w:color w:val="000000"/>
                <w:spacing w:val="0"/>
                <w:w w:val="100"/>
                <w:position w:val="0"/>
              </w:rPr>
              <w:t>3</w:t>
            </w:r>
            <w:r>
              <w:rPr>
                <w:color w:val="000000"/>
                <w:spacing w:val="0"/>
                <w:w w:val="100"/>
                <w:position w:val="0"/>
              </w:rPr>
              <w:t>、关于制定《未来三 年（</w:t>
            </w:r>
            <w:r>
              <w:rPr>
                <w:rFonts w:ascii="Times New Roman" w:eastAsia="Times New Roman" w:hAnsi="Times New Roman" w:cs="Times New Roman"/>
                <w:color w:val="000000"/>
                <w:spacing w:val="0"/>
                <w:w w:val="100"/>
                <w:position w:val="0"/>
              </w:rPr>
              <w:t>2021-2023</w:t>
            </w:r>
            <w:r>
              <w:rPr>
                <w:color w:val="000000"/>
                <w:spacing w:val="0"/>
                <w:w w:val="100"/>
                <w:position w:val="0"/>
              </w:rPr>
              <w:t>年）股东回报规划》的议案</w:t>
            </w:r>
            <w:r>
              <w:rPr>
                <w:rFonts w:ascii="Times New Roman" w:eastAsia="Times New Roman" w:hAnsi="Times New Roman" w:cs="Times New Roman"/>
                <w:color w:val="000000"/>
                <w:spacing w:val="0"/>
                <w:w w:val="100"/>
                <w:position w:val="0"/>
              </w:rPr>
              <w:t>4</w:t>
            </w:r>
            <w:r>
              <w:rPr>
                <w:color w:val="000000"/>
                <w:spacing w:val="0"/>
                <w:w w:val="100"/>
                <w:position w:val="0"/>
              </w:rPr>
              <w:t xml:space="preserve">、关 于审议《前次募集资金使用情况专项报告》的议案 </w:t>
            </w:r>
            <w:r>
              <w:rPr>
                <w:rFonts w:ascii="Times New Roman" w:eastAsia="Times New Roman" w:hAnsi="Times New Roman" w:cs="Times New Roman"/>
                <w:color w:val="000000"/>
                <w:spacing w:val="0"/>
                <w:w w:val="100"/>
                <w:position w:val="0"/>
              </w:rPr>
              <w:t>5</w:t>
            </w:r>
            <w:r>
              <w:rPr>
                <w:color w:val="000000"/>
                <w:spacing w:val="0"/>
                <w:w w:val="100"/>
                <w:position w:val="0"/>
              </w:rPr>
              <w:t>、关于设立募集资金专项账户的议案</w:t>
            </w:r>
            <w:r>
              <w:rPr>
                <w:rFonts w:ascii="Times New Roman" w:eastAsia="Times New Roman" w:hAnsi="Times New Roman" w:cs="Times New Roman"/>
                <w:color w:val="000000"/>
                <w:spacing w:val="0"/>
                <w:w w:val="100"/>
                <w:position w:val="0"/>
              </w:rPr>
              <w:t>6</w:t>
            </w:r>
            <w:r>
              <w:rPr>
                <w:color w:val="000000"/>
                <w:spacing w:val="0"/>
                <w:w w:val="100"/>
                <w:position w:val="0"/>
              </w:rPr>
              <w:t>、关于延 长使用闲置自有资金进行现金管理期限的议案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第三届 董事会 薪酬与 考核委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罗妙成，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温长煌，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肖勇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、关于对公司非独立董事及高级管理人员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 度业绩完成情况进行考评的议案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、关于向激励对象授予预留部分限制性股票的议 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、关于拟定第四届董事会非独立董事成员薪酬标 准的议案</w:t>
            </w:r>
            <w:r>
              <w:rPr>
                <w:rFonts w:ascii="Times New Roman" w:eastAsia="Times New Roman" w:hAnsi="Times New Roman" w:cs="Times New Roman"/>
                <w:color w:val="000000"/>
                <w:spacing w:val="0"/>
                <w:w w:val="100"/>
                <w:position w:val="0"/>
              </w:rPr>
              <w:t>2</w:t>
            </w:r>
            <w:r>
              <w:rPr>
                <w:color w:val="000000"/>
                <w:spacing w:val="0"/>
                <w:w w:val="100"/>
                <w:position w:val="0"/>
              </w:rPr>
              <w:t>、关于拟定第四届董事会独立董事成员 津贴标准的议案</w:t>
            </w:r>
            <w:r>
              <w:rPr>
                <w:rFonts w:ascii="Times New Roman" w:eastAsia="Times New Roman" w:hAnsi="Times New Roman" w:cs="Times New Roman"/>
                <w:color w:val="000000"/>
                <w:spacing w:val="0"/>
                <w:w w:val="100"/>
                <w:position w:val="0"/>
              </w:rPr>
              <w:t>3</w:t>
            </w:r>
            <w:r>
              <w:rPr>
                <w:color w:val="000000"/>
                <w:spacing w:val="0"/>
                <w:w w:val="100"/>
                <w:position w:val="0"/>
              </w:rPr>
              <w:t>、关于调整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 励计划行权价格及行权数量的议案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、关于拟定高级管理人员薪酬的议案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第四届 董事会 薪酬与 考核委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罗妙成，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温长煌，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肖勇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、关于审议公司《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 案）》及其摘要的议案</w:t>
            </w:r>
            <w:r>
              <w:rPr>
                <w:rFonts w:ascii="Times New Roman" w:eastAsia="Times New Roman" w:hAnsi="Times New Roman" w:cs="Times New Roman"/>
                <w:color w:val="000000"/>
                <w:spacing w:val="0"/>
                <w:w w:val="100"/>
                <w:position w:val="0"/>
              </w:rPr>
              <w:t>2</w:t>
            </w:r>
            <w:r>
              <w:rPr>
                <w:color w:val="000000"/>
                <w:spacing w:val="0"/>
                <w:w w:val="100"/>
                <w:position w:val="0"/>
              </w:rPr>
              <w:t>、关于审议公司《</w:t>
            </w:r>
            <w:r>
              <w:rPr>
                <w:rFonts w:ascii="Times New Roman" w:eastAsia="Times New Roman" w:hAnsi="Times New Roman" w:cs="Times New Roman"/>
                <w:color w:val="000000"/>
                <w:spacing w:val="0"/>
                <w:w w:val="100"/>
                <w:position w:val="0"/>
              </w:rPr>
              <w:t>2021</w:t>
            </w:r>
            <w:r>
              <w:rPr>
                <w:color w:val="000000"/>
                <w:spacing w:val="0"/>
                <w:w w:val="100"/>
                <w:position w:val="0"/>
              </w:rPr>
              <w:t>年 股票期权激励计划实施考核管理办法》的议案</w:t>
            </w:r>
            <w:r>
              <w:rPr>
                <w:rFonts w:ascii="Times New Roman" w:eastAsia="Times New Roman" w:hAnsi="Times New Roman" w:cs="Times New Roman"/>
                <w:color w:val="000000"/>
                <w:spacing w:val="0"/>
                <w:w w:val="100"/>
                <w:position w:val="0"/>
              </w:rPr>
              <w:t>3</w:t>
            </w:r>
            <w:r>
              <w:rPr>
                <w:color w:val="000000"/>
                <w:spacing w:val="0"/>
                <w:w w:val="100"/>
                <w:position w:val="0"/>
              </w:rPr>
              <w:t>、 关于核实公司《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年股票期权激励计划激励对 象名单》的议案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、关于调整公司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年股票期权激励计划相关事 项的议案</w:t>
            </w:r>
            <w:r>
              <w:rPr>
                <w:rFonts w:ascii="Times New Roman" w:eastAsia="Times New Roman" w:hAnsi="Times New Roman" w:cs="Times New Roman"/>
                <w:color w:val="000000"/>
                <w:spacing w:val="0"/>
                <w:w w:val="100"/>
                <w:position w:val="0"/>
              </w:rPr>
              <w:t>2</w:t>
            </w:r>
            <w:r>
              <w:rPr>
                <w:color w:val="000000"/>
                <w:spacing w:val="0"/>
                <w:w w:val="100"/>
                <w:position w:val="0"/>
              </w:rPr>
              <w:t>、关于向</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年股票期权激励计划激 励对象授予股票期权的议案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年股票期权激励计划部分股票期 权的议案</w:t>
            </w:r>
            <w:r>
              <w:rPr>
                <w:rFonts w:ascii="Times New Roman" w:eastAsia="Times New Roman" w:hAnsi="Times New Roman" w:cs="Times New Roman"/>
                <w:color w:val="000000"/>
                <w:spacing w:val="0"/>
                <w:w w:val="100"/>
                <w:position w:val="0"/>
              </w:rPr>
              <w:t>2</w:t>
            </w:r>
            <w:r>
              <w:rPr>
                <w:color w:val="000000"/>
                <w:spacing w:val="0"/>
                <w:w w:val="100"/>
                <w:position w:val="0"/>
              </w:rPr>
              <w:t>、关于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 个行权期可行权的议案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、关于调整公司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年股票期权激励计划相关事 项的议案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第三届 董事会 战略委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陈航，刘 少华，张 梅</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、关于调整后发行股份购买资产并募集配套资金 暨关联交易具体方案的议案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、关于公司发行股份 购买资产并募集配套资金不构成重大资产重组的 议案</w:t>
            </w:r>
            <w:r>
              <w:rPr>
                <w:rFonts w:ascii="Times New Roman" w:eastAsia="Times New Roman" w:hAnsi="Times New Roman" w:cs="Times New Roman"/>
                <w:color w:val="000000"/>
                <w:spacing w:val="0"/>
                <w:w w:val="100"/>
                <w:position w:val="0"/>
              </w:rPr>
              <w:t>3</w:t>
            </w:r>
            <w:r>
              <w:rPr>
                <w:color w:val="000000"/>
                <w:spacing w:val="0"/>
                <w:w w:val="100"/>
                <w:position w:val="0"/>
              </w:rPr>
              <w:t>、关于签署附条件生效的《发行股份购买资 产协议之补充协议》的议案</w:t>
            </w:r>
            <w:r>
              <w:rPr>
                <w:rFonts w:ascii="Times New Roman" w:eastAsia="Times New Roman" w:hAnsi="Times New Roman" w:cs="Times New Roman"/>
                <w:color w:val="000000"/>
                <w:spacing w:val="0"/>
                <w:w w:val="100"/>
                <w:position w:val="0"/>
              </w:rPr>
              <w:t>4</w:t>
            </w:r>
            <w:r>
              <w:rPr>
                <w:color w:val="000000"/>
                <w:spacing w:val="0"/>
                <w:w w:val="100"/>
                <w:position w:val="0"/>
              </w:rPr>
              <w:t>、关于签署附条件生 效的《业绩承诺和补偿协议之补充协（二）》的议 案</w:t>
            </w:r>
            <w:r>
              <w:rPr>
                <w:rFonts w:ascii="Times New Roman" w:eastAsia="Times New Roman" w:hAnsi="Times New Roman" w:cs="Times New Roman"/>
                <w:color w:val="000000"/>
                <w:spacing w:val="0"/>
                <w:w w:val="100"/>
                <w:position w:val="0"/>
              </w:rPr>
              <w:t>5</w:t>
            </w:r>
            <w:r>
              <w:rPr>
                <w:color w:val="000000"/>
                <w:spacing w:val="0"/>
                <w:w w:val="100"/>
                <w:position w:val="0"/>
              </w:rPr>
              <w:t>、关于签署附条件生效的《股份认购协议之补 充协议》的议案</w:t>
            </w:r>
            <w:r>
              <w:rPr>
                <w:rFonts w:ascii="Times New Roman" w:eastAsia="Times New Roman" w:hAnsi="Times New Roman" w:cs="Times New Roman"/>
                <w:color w:val="000000"/>
                <w:spacing w:val="0"/>
                <w:w w:val="100"/>
                <w:position w:val="0"/>
              </w:rPr>
              <w:t>6</w:t>
            </w:r>
            <w:r>
              <w:rPr>
                <w:color w:val="000000"/>
                <w:spacing w:val="0"/>
                <w:w w:val="100"/>
                <w:position w:val="0"/>
              </w:rPr>
              <w:t>、关于审议《福建博思软件股份 有限公司发行股份购买资产并募集配套资金暨关 联交易报告书（草案）》及其摘要的议案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、关于公司组织架构调整的议案</w:t>
            </w:r>
            <w:r>
              <w:rPr>
                <w:rFonts w:ascii="Times New Roman" w:eastAsia="Times New Roman" w:hAnsi="Times New Roman" w:cs="Times New Roman"/>
                <w:color w:val="000000"/>
                <w:spacing w:val="0"/>
                <w:w w:val="100"/>
                <w:position w:val="0"/>
              </w:rPr>
              <w:t>2</w:t>
            </w:r>
            <w:r>
              <w:rPr>
                <w:color w:val="000000"/>
                <w:spacing w:val="0"/>
                <w:w w:val="100"/>
                <w:position w:val="0"/>
              </w:rPr>
              <w:t>、关于吸收合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4"/>
        <w:gridCol w:w="706"/>
        <w:gridCol w:w="854"/>
        <w:gridCol w:w="3965"/>
        <w:gridCol w:w="854"/>
        <w:gridCol w:w="706"/>
        <w:gridCol w:w="931"/>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并全资子公司的议案</w:t>
            </w:r>
            <w:r>
              <w:rPr>
                <w:rFonts w:ascii="Times New Roman" w:eastAsia="Times New Roman" w:hAnsi="Times New Roman" w:cs="Times New Roman"/>
                <w:color w:val="000000"/>
                <w:spacing w:val="0"/>
                <w:w w:val="100"/>
                <w:position w:val="0"/>
              </w:rPr>
              <w:t>3</w:t>
            </w:r>
            <w:r>
              <w:rPr>
                <w:color w:val="000000"/>
                <w:spacing w:val="0"/>
                <w:w w:val="100"/>
                <w:position w:val="0"/>
              </w:rPr>
              <w:t>、关于控股子公司少数股东 股权变更暨关联交易的议案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、关于公司符合发行股份购买资产并募集配套资 金条件的议案</w:t>
            </w:r>
            <w:r>
              <w:rPr>
                <w:rFonts w:ascii="Times New Roman" w:eastAsia="Times New Roman" w:hAnsi="Times New Roman" w:cs="Times New Roman"/>
                <w:color w:val="000000"/>
                <w:spacing w:val="0"/>
                <w:w w:val="100"/>
                <w:position w:val="0"/>
              </w:rPr>
              <w:t>2</w:t>
            </w:r>
            <w:r>
              <w:rPr>
                <w:color w:val="000000"/>
                <w:spacing w:val="0"/>
                <w:w w:val="100"/>
                <w:position w:val="0"/>
              </w:rPr>
              <w:t>、关于审议《福建博思软件股份有 限公司发行股份购买资产并募集配套资金暨关联 交易报告书（草案）（修订稿）》及其摘要的议案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第四届 董事会 战略委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陈航，刘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少华，罗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妙成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、关于控股子公司少数股东股权变更暨关联交易 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、关于终止发行股份购买资产并募集配套资金暨 关联交易事项的议案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、关于公司与交易对方签署 发行股份购买资产并募集配套资金暨关联交易相 关协议之终止协议的议案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关于公司符合向特定对象发行股票条件的议案 </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年度向特定对象发行股票方案的 议案</w:t>
            </w:r>
            <w:r>
              <w:rPr>
                <w:rFonts w:ascii="Times New Roman" w:eastAsia="Times New Roman" w:hAnsi="Times New Roman" w:cs="Times New Roman"/>
                <w:color w:val="000000"/>
                <w:spacing w:val="0"/>
                <w:w w:val="100"/>
                <w:position w:val="0"/>
              </w:rPr>
              <w:t>3</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年度向特定对象发行股票 预案》的议案</w:t>
            </w:r>
            <w:r>
              <w:rPr>
                <w:rFonts w:ascii="Times New Roman" w:eastAsia="Times New Roman" w:hAnsi="Times New Roman" w:cs="Times New Roman"/>
                <w:color w:val="000000"/>
                <w:spacing w:val="0"/>
                <w:w w:val="100"/>
                <w:position w:val="0"/>
              </w:rPr>
              <w:t>4</w:t>
            </w: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年度向特定对象 发行股票方案的论证分析报告》的议案</w:t>
            </w:r>
            <w:r>
              <w:rPr>
                <w:rFonts w:ascii="Times New Roman" w:eastAsia="Times New Roman" w:hAnsi="Times New Roman" w:cs="Times New Roman"/>
                <w:color w:val="000000"/>
                <w:spacing w:val="0"/>
                <w:w w:val="100"/>
                <w:position w:val="0"/>
              </w:rPr>
              <w:t>5</w:t>
            </w:r>
            <w:r>
              <w:rPr>
                <w:color w:val="000000"/>
                <w:spacing w:val="0"/>
                <w:w w:val="100"/>
                <w:position w:val="0"/>
              </w:rPr>
              <w:t>关于审 议《</w:t>
            </w:r>
            <w:r>
              <w:rPr>
                <w:rFonts w:ascii="Times New Roman" w:eastAsia="Times New Roman" w:hAnsi="Times New Roman" w:cs="Times New Roman"/>
                <w:color w:val="000000"/>
                <w:spacing w:val="0"/>
                <w:w w:val="100"/>
                <w:position w:val="0"/>
              </w:rPr>
              <w:t>2021</w:t>
            </w:r>
            <w:r>
              <w:rPr>
                <w:color w:val="000000"/>
                <w:spacing w:val="0"/>
                <w:w w:val="100"/>
                <w:position w:val="0"/>
              </w:rPr>
              <w:t>年度向特定对象发行股票募集资金使用 的可行性分析报告》的议案</w:t>
            </w:r>
            <w:r>
              <w:rPr>
                <w:rFonts w:ascii="Times New Roman" w:eastAsia="Times New Roman" w:hAnsi="Times New Roman" w:cs="Times New Roman"/>
                <w:color w:val="000000"/>
                <w:spacing w:val="0"/>
                <w:w w:val="100"/>
                <w:position w:val="0"/>
              </w:rPr>
              <w:t>6</w:t>
            </w:r>
            <w:r>
              <w:rPr>
                <w:color w:val="000000"/>
                <w:spacing w:val="0"/>
                <w:w w:val="100"/>
                <w:position w:val="0"/>
              </w:rPr>
              <w:t>关于向特定对象发 行股票涉及关联交易的议案</w:t>
            </w:r>
            <w:r>
              <w:rPr>
                <w:rFonts w:ascii="Times New Roman" w:eastAsia="Times New Roman" w:hAnsi="Times New Roman" w:cs="Times New Roman"/>
                <w:color w:val="000000"/>
                <w:spacing w:val="0"/>
                <w:w w:val="100"/>
                <w:position w:val="0"/>
              </w:rPr>
              <w:t>7</w:t>
            </w:r>
            <w:r>
              <w:rPr>
                <w:color w:val="000000"/>
                <w:spacing w:val="0"/>
                <w:w w:val="100"/>
                <w:position w:val="0"/>
              </w:rPr>
              <w:t>关于公司与本次发 行认购对象签署《附条件生效的股份认购协议》的 议案</w:t>
            </w:r>
            <w:r>
              <w:rPr>
                <w:rFonts w:ascii="Times New Roman" w:eastAsia="Times New Roman" w:hAnsi="Times New Roman" w:cs="Times New Roman"/>
                <w:color w:val="000000"/>
                <w:spacing w:val="0"/>
                <w:w w:val="100"/>
                <w:position w:val="0"/>
              </w:rPr>
              <w:t>8</w:t>
            </w:r>
            <w:r>
              <w:rPr>
                <w:color w:val="000000"/>
                <w:spacing w:val="0"/>
                <w:w w:val="100"/>
                <w:position w:val="0"/>
              </w:rPr>
              <w:t>关于全资子公司对产业园项目增加投资额 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 董事会 提名委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温长煌，</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张梅，陈</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航</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6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关于提名郑升尉先生为公司董事候选人的议案</w:t>
            </w:r>
          </w:p>
          <w:p>
            <w:pPr>
              <w:pStyle w:val="Style24"/>
              <w:keepNext w:val="0"/>
              <w:keepLines w:val="0"/>
              <w:widowControl w:val="0"/>
              <w:shd w:val="clear" w:color="auto" w:fill="auto"/>
              <w:tabs>
                <w:tab w:pos="28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关于聘任财务负责人的议案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、关于公司董事会换届选举暨提名第四届董事会 非独立董事候选人的议案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、关于公司董事会换届 选举暨提名第四届董事会独立董事候选人的议案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第四届 董事会 提名委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温长煌， 张梅，陈 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、关于聘任总经理的议案</w:t>
            </w:r>
            <w:r>
              <w:rPr>
                <w:rFonts w:ascii="Times New Roman" w:eastAsia="Times New Roman" w:hAnsi="Times New Roman" w:cs="Times New Roman"/>
                <w:color w:val="000000"/>
                <w:spacing w:val="0"/>
                <w:w w:val="100"/>
                <w:position w:val="0"/>
              </w:rPr>
              <w:t>2</w:t>
            </w:r>
            <w:r>
              <w:rPr>
                <w:color w:val="000000"/>
                <w:spacing w:val="0"/>
                <w:w w:val="100"/>
                <w:position w:val="0"/>
              </w:rPr>
              <w:t>、关于聘任副总经理 的议案</w:t>
            </w:r>
            <w:r>
              <w:rPr>
                <w:rFonts w:ascii="Times New Roman" w:eastAsia="Times New Roman" w:hAnsi="Times New Roman" w:cs="Times New Roman"/>
                <w:color w:val="000000"/>
                <w:spacing w:val="0"/>
                <w:w w:val="100"/>
                <w:position w:val="0"/>
              </w:rPr>
              <w:t>3</w:t>
            </w:r>
            <w:r>
              <w:rPr>
                <w:color w:val="000000"/>
                <w:spacing w:val="0"/>
                <w:w w:val="100"/>
                <w:position w:val="0"/>
              </w:rPr>
              <w:t>、关于聘任财务负责人的议案</w:t>
            </w:r>
            <w:r>
              <w:rPr>
                <w:rFonts w:ascii="Times New Roman" w:eastAsia="Times New Roman" w:hAnsi="Times New Roman" w:cs="Times New Roman"/>
                <w:color w:val="000000"/>
                <w:spacing w:val="0"/>
                <w:w w:val="100"/>
                <w:position w:val="0"/>
              </w:rPr>
              <w:t>4</w:t>
            </w:r>
            <w:r>
              <w:rPr>
                <w:color w:val="000000"/>
                <w:spacing w:val="0"/>
                <w:w w:val="100"/>
                <w:position w:val="0"/>
              </w:rPr>
              <w:t>、关于聘 任董事会秘书的议案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同意相关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十、监事会工作情况</w:t>
      </w:r>
      <w:bookmarkEnd w:id="346"/>
      <w:bookmarkEnd w:id="347"/>
      <w:bookmarkEnd w:id="34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7"/>
        <w:keepNext/>
        <w:keepLines/>
        <w:widowControl w:val="0"/>
        <w:shd w:val="clear" w:color="auto" w:fill="auto"/>
        <w:bidi w:val="0"/>
        <w:spacing w:before="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十^一、公司员工情况</w:t>
      </w:r>
      <w:bookmarkEnd w:id="349"/>
      <w:bookmarkEnd w:id="350"/>
      <w:bookmarkEnd w:id="351"/>
    </w:p>
    <w:p>
      <w:pPr>
        <w:pStyle w:val="Style42"/>
        <w:keepNext w:val="0"/>
        <w:keepLines w:val="0"/>
        <w:widowControl w:val="0"/>
        <w:shd w:val="clear" w:color="auto" w:fill="auto"/>
        <w:bidi w:val="0"/>
        <w:spacing w:before="0" w:line="240" w:lineRule="auto"/>
        <w:ind w:left="0" w:right="0" w:firstLine="0"/>
        <w:jc w:val="both"/>
      </w:pPr>
      <w:bookmarkStart w:id="352" w:name="bookmark352"/>
      <w:r>
        <w:rPr>
          <w:rFonts w:ascii="Times New Roman" w:eastAsia="Times New Roman" w:hAnsi="Times New Roman" w:cs="Times New Roman"/>
          <w:b/>
          <w:bCs/>
          <w:color w:val="000000"/>
          <w:spacing w:val="0"/>
          <w:w w:val="100"/>
          <w:position w:val="0"/>
        </w:rPr>
        <w:t>1</w:t>
      </w:r>
      <w:bookmarkEnd w:id="352"/>
      <w:r>
        <w:rPr>
          <w:b/>
          <w:bCs/>
          <w:color w:val="000000"/>
          <w:spacing w:val="0"/>
          <w:w w:val="100"/>
          <w:position w:val="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3,353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5,008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3,642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5,008</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3,382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1,428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5,008</w:t>
            </w:r>
          </w:p>
        </w:tc>
      </w:tr>
    </w:tbl>
    <w:p>
      <w:pPr>
        <w:widowControl w:val="0"/>
        <w:spacing w:after="279" w:line="1" w:lineRule="exact"/>
      </w:pPr>
    </w:p>
    <w:p>
      <w:pPr>
        <w:pStyle w:val="Style33"/>
        <w:keepNext/>
        <w:keepLines/>
        <w:widowControl w:val="0"/>
        <w:shd w:val="clear" w:color="auto" w:fill="auto"/>
        <w:bidi w:val="0"/>
        <w:spacing w:before="0" w:after="280" w:line="312" w:lineRule="exact"/>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、薪酬政策</w:t>
      </w:r>
      <w:bookmarkEnd w:id="353"/>
      <w:bookmarkEnd w:id="354"/>
      <w:bookmarkEnd w:id="356"/>
    </w:p>
    <w:p>
      <w:pPr>
        <w:pStyle w:val="Style42"/>
        <w:keepNext w:val="0"/>
        <w:keepLines w:val="0"/>
        <w:widowControl w:val="0"/>
        <w:shd w:val="clear" w:color="auto" w:fill="auto"/>
        <w:bidi w:val="0"/>
        <w:spacing w:before="0"/>
        <w:ind w:left="0" w:right="0" w:firstLine="420"/>
        <w:jc w:val="both"/>
      </w:pPr>
      <w:r>
        <w:rPr>
          <w:color w:val="000000"/>
          <w:spacing w:val="0"/>
          <w:w w:val="100"/>
          <w:position w:val="0"/>
        </w:rPr>
        <w:t>公司薪酬政策坚持与岗位价值相匹配的基本原则，以管理与专业序列并行的等级制薪酬体系，根据不同类 别岗位制定相应的薪酬等级体系，在每个薪酬等级体系内根据其管理能力、专业技能水平确定对应的薪酬。同 时，公司将人才作为推动企业发展的第一要素，积极提升薪资福利的竞争性，能够吸引更多的优秀人才，通过 工资和奖金、绩效、福利等激励性的设计激发员工工作积极性。一方面，薪资与公司、部门和个人的绩效完成 状况密切相关，不同的绩效考评结果会在薪资中准确体现，实现员工的自我激励与提升，从而最终保障公司整 体绩效目标的实现。公司秉承</w:t>
      </w:r>
      <w:r>
        <w:rPr>
          <w:rFonts w:ascii="Times New Roman" w:eastAsia="Times New Roman" w:hAnsi="Times New Roman" w:cs="Times New Roman"/>
          <w:color w:val="000000"/>
          <w:spacing w:val="0"/>
          <w:w w:val="100"/>
          <w:position w:val="0"/>
        </w:rPr>
        <w:t>“</w:t>
      </w:r>
      <w:r>
        <w:rPr>
          <w:color w:val="000000"/>
          <w:spacing w:val="0"/>
          <w:w w:val="100"/>
          <w:position w:val="0"/>
        </w:rPr>
        <w:t>同创共享</w:t>
      </w:r>
      <w:r>
        <w:rPr>
          <w:rFonts w:ascii="Times New Roman" w:eastAsia="Times New Roman" w:hAnsi="Times New Roman" w:cs="Times New Roman"/>
          <w:color w:val="000000"/>
          <w:spacing w:val="0"/>
          <w:w w:val="100"/>
          <w:position w:val="0"/>
        </w:rPr>
        <w:t>”</w:t>
      </w:r>
      <w:r>
        <w:rPr>
          <w:color w:val="000000"/>
          <w:spacing w:val="0"/>
          <w:w w:val="100"/>
          <w:position w:val="0"/>
        </w:rPr>
        <w:t>的企业文化，制定了多项股权激励计划，与公司员工共享公司生产经 营成果。另一方面，公司将依据经营方向持续设计不同的激励通道，使不同岗位的员工有同等的晋级机会。最 终，公司用适当工资成本的增加激发员工创造更多的经济增加值，保障投资者的利益，实现可持续发展。</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42"/>
        <w:keepNext w:val="0"/>
        <w:keepLines w:val="0"/>
        <w:widowControl w:val="0"/>
        <w:shd w:val="clear" w:color="auto" w:fill="auto"/>
        <w:bidi w:val="0"/>
        <w:spacing w:before="0" w:after="40" w:line="298" w:lineRule="exact"/>
        <w:ind w:left="0" w:right="0" w:firstLine="380"/>
        <w:jc w:val="both"/>
      </w:pPr>
      <w:r>
        <w:rPr>
          <w:color w:val="000000"/>
          <w:spacing w:val="0"/>
          <w:w w:val="100"/>
          <w:position w:val="0"/>
        </w:rPr>
        <w:t xml:space="preserve">职工薪酬总额（计入成本部分）及占公司成本总额的比重：报告期内，职工薪酬总额（计入成本部分）为 </w:t>
      </w:r>
      <w:r>
        <w:rPr>
          <w:rFonts w:ascii="Times New Roman" w:eastAsia="Times New Roman" w:hAnsi="Times New Roman" w:cs="Times New Roman"/>
          <w:color w:val="000000"/>
          <w:spacing w:val="0"/>
          <w:w w:val="100"/>
          <w:position w:val="0"/>
        </w:rPr>
        <w:t>235,661,990.63</w:t>
      </w:r>
      <w:r>
        <w:rPr>
          <w:color w:val="000000"/>
          <w:spacing w:val="0"/>
          <w:w w:val="100"/>
          <w:position w:val="0"/>
        </w:rPr>
        <w:t>元，占公司营业成本的</w:t>
      </w:r>
      <w:r>
        <w:rPr>
          <w:rFonts w:ascii="Times New Roman" w:eastAsia="Times New Roman" w:hAnsi="Times New Roman" w:cs="Times New Roman"/>
          <w:color w:val="000000"/>
          <w:spacing w:val="0"/>
          <w:w w:val="100"/>
          <w:position w:val="0"/>
        </w:rPr>
        <w:t>43.14%</w:t>
      </w:r>
      <w:r>
        <w:rPr>
          <w:color w:val="000000"/>
          <w:spacing w:val="0"/>
          <w:w w:val="100"/>
          <w:position w:val="0"/>
        </w:rPr>
        <w:t>。</w:t>
      </w:r>
    </w:p>
    <w:p>
      <w:pPr>
        <w:pStyle w:val="Style4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公司利润对职工薪酬总额变化的敏感性：公司为软件与信息技术服务业，职工薪酬是公司营业成本主要项 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年，职工薪酬总额（计入成本部分）分别占公司营业成本的</w:t>
      </w:r>
      <w:r>
        <w:rPr>
          <w:rFonts w:ascii="Times New Roman" w:eastAsia="Times New Roman" w:hAnsi="Times New Roman" w:cs="Times New Roman"/>
          <w:color w:val="000000"/>
          <w:spacing w:val="0"/>
          <w:w w:val="100"/>
          <w:position w:val="0"/>
        </w:rPr>
        <w:t>48.57%</w:t>
      </w:r>
      <w:r>
        <w:rPr>
          <w:color w:val="000000"/>
          <w:spacing w:val="0"/>
          <w:w w:val="100"/>
          <w:position w:val="0"/>
        </w:rPr>
        <w:t>、</w:t>
      </w:r>
      <w:r>
        <w:rPr>
          <w:rFonts w:ascii="Times New Roman" w:eastAsia="Times New Roman" w:hAnsi="Times New Roman" w:cs="Times New Roman"/>
          <w:color w:val="000000"/>
          <w:spacing w:val="0"/>
          <w:w w:val="100"/>
          <w:position w:val="0"/>
        </w:rPr>
        <w:t>46.67%</w:t>
      </w:r>
      <w:r>
        <w:rPr>
          <w:color w:val="000000"/>
          <w:spacing w:val="0"/>
          <w:w w:val="100"/>
          <w:position w:val="0"/>
        </w:rPr>
        <w:t>、</w:t>
      </w:r>
      <w:r>
        <w:rPr>
          <w:rFonts w:ascii="Times New Roman" w:eastAsia="Times New Roman" w:hAnsi="Times New Roman" w:cs="Times New Roman"/>
          <w:color w:val="000000"/>
          <w:spacing w:val="0"/>
          <w:w w:val="100"/>
          <w:position w:val="0"/>
        </w:rPr>
        <w:t>43.14%</w:t>
      </w:r>
      <w:r>
        <w:rPr>
          <w:color w:val="000000"/>
          <w:spacing w:val="0"/>
          <w:w w:val="100"/>
          <w:position w:val="0"/>
        </w:rPr>
        <w:t>，职工薪 酬总额变化会导致公司营业成本增加，故公司利润对职工薪酬变化较为敏感。</w:t>
      </w:r>
    </w:p>
    <w:p>
      <w:pPr>
        <w:pStyle w:val="Style42"/>
        <w:keepNext w:val="0"/>
        <w:keepLines w:val="0"/>
        <w:widowControl w:val="0"/>
        <w:shd w:val="clear" w:color="auto" w:fill="auto"/>
        <w:bidi w:val="0"/>
        <w:spacing w:before="0" w:after="720" w:line="310" w:lineRule="exact"/>
        <w:ind w:left="0" w:right="0" w:firstLine="380"/>
        <w:jc w:val="both"/>
      </w:pPr>
      <w:r>
        <w:rPr>
          <w:color w:val="000000"/>
          <w:spacing w:val="0"/>
          <w:w w:val="100"/>
          <w:position w:val="0"/>
        </w:rPr>
        <w:t>报告期内核心技术人员数量占比和薪酬占比及变动情况：截至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rPr>
        <w:t>6</w:t>
      </w:r>
      <w:r>
        <w:rPr>
          <w:color w:val="000000"/>
          <w:spacing w:val="0"/>
          <w:w w:val="100"/>
          <w:position w:val="0"/>
        </w:rPr>
        <w:t>人， 占全体员工人数的</w:t>
      </w:r>
      <w:r>
        <w:rPr>
          <w:rFonts w:ascii="Times New Roman" w:eastAsia="Times New Roman" w:hAnsi="Times New Roman" w:cs="Times New Roman"/>
          <w:color w:val="000000"/>
          <w:spacing w:val="0"/>
          <w:w w:val="100"/>
          <w:position w:val="0"/>
        </w:rPr>
        <w:t>0.12%</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8</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0.22%</w:t>
      </w:r>
      <w:r>
        <w:rPr>
          <w:color w:val="000000"/>
          <w:spacing w:val="0"/>
          <w:w w:val="100"/>
          <w:position w:val="0"/>
        </w:rPr>
        <w:t>；报告期内，核心技术人员薪 酬占全体员工薪酬的</w:t>
      </w:r>
      <w:r>
        <w:rPr>
          <w:rFonts w:ascii="Times New Roman" w:eastAsia="Times New Roman" w:hAnsi="Times New Roman" w:cs="Times New Roman"/>
          <w:color w:val="000000"/>
          <w:spacing w:val="0"/>
          <w:w w:val="100"/>
          <w:position w:val="0"/>
        </w:rPr>
        <w:t>0.48%</w:t>
      </w:r>
      <w:r>
        <w:rPr>
          <w:color w:val="000000"/>
          <w:spacing w:val="0"/>
          <w:w w:val="100"/>
          <w:position w:val="0"/>
        </w:rPr>
        <w:t>，上年同期为</w:t>
      </w:r>
      <w:r>
        <w:rPr>
          <w:rFonts w:ascii="Times New Roman" w:eastAsia="Times New Roman" w:hAnsi="Times New Roman" w:cs="Times New Roman"/>
          <w:color w:val="000000"/>
          <w:spacing w:val="0"/>
          <w:w w:val="100"/>
          <w:position w:val="0"/>
        </w:rPr>
        <w:t>0.71%</w:t>
      </w:r>
      <w:r>
        <w:rPr>
          <w:color w:val="000000"/>
          <w:spacing w:val="0"/>
          <w:w w:val="100"/>
          <w:position w:val="0"/>
        </w:rPr>
        <w:t>。</w:t>
      </w:r>
    </w:p>
    <w:p>
      <w:pPr>
        <w:pStyle w:val="Style33"/>
        <w:keepNext/>
        <w:keepLines/>
        <w:widowControl w:val="0"/>
        <w:shd w:val="clear" w:color="auto" w:fill="auto"/>
        <w:tabs>
          <w:tab w:pos="342" w:val="left"/>
        </w:tabs>
        <w:bidi w:val="0"/>
        <w:spacing w:before="0" w:after="26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培训计划</w:t>
      </w:r>
      <w:bookmarkEnd w:id="357"/>
      <w:bookmarkEnd w:id="358"/>
      <w:bookmarkEnd w:id="360"/>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公司坚持培训是对员工的投资，是对公司未来的投资。基于公司的发展战略，结合公司的人才发展体系，立足于各岗位 实践工作中的典型任务，提炼出相应的能力要求。整合内部与外部的资源，通过公司内部学习平台、公司线下培训及部门内 部培训相结合的方式，形成一套岗位学习地图，为员工的发展提供明确的学习支持，为公司培养需要的人才。同时，公司结 合各业务单元的业务及员工特点，量身定制具体的学习方案，支持业务的快速拓展。并且，公司制定了专门的支持员工继续 学习相关制度，用以鼓励员工自我提升，培养主动学习的良好习惯，也为公司持续发展提供有力保障。</w:t>
      </w:r>
    </w:p>
    <w:p>
      <w:pPr>
        <w:pStyle w:val="Style33"/>
        <w:keepNext/>
        <w:keepLines/>
        <w:widowControl w:val="0"/>
        <w:shd w:val="clear" w:color="auto" w:fill="auto"/>
        <w:tabs>
          <w:tab w:pos="342" w:val="left"/>
        </w:tabs>
        <w:bidi w:val="0"/>
        <w:spacing w:before="0" w:after="26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劳务外包情况</w:t>
      </w:r>
      <w:bookmarkEnd w:id="361"/>
      <w:bookmarkEnd w:id="362"/>
      <w:bookmarkEnd w:id="364"/>
    </w:p>
    <w:p>
      <w:pPr>
        <w:pStyle w:val="Style22"/>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十二、公司利润分配及资本公积金转增股本情况</w:t>
      </w:r>
      <w:bookmarkEnd w:id="365"/>
      <w:bookmarkEnd w:id="366"/>
      <w:bookmarkEnd w:id="367"/>
    </w:p>
    <w:p>
      <w:pPr>
        <w:pStyle w:val="Style22"/>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为进一步健全和完善公司的利润分配决策和监督机制，强化回报股东的意识，保持利润分配政策的连续性和稳定性，为 股东提供持续、稳定、合理的投资回报，在充分考虑本公司实际经营情况及未来发展需要的基础上，公司制定了《未来三年 </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年）股东回报规划》（以下简称</w:t>
      </w:r>
      <w:r>
        <w:rPr>
          <w:rFonts w:ascii="Times New Roman" w:eastAsia="Times New Roman" w:hAnsi="Times New Roman" w:cs="Times New Roman"/>
          <w:color w:val="000000"/>
          <w:spacing w:val="0"/>
          <w:w w:val="100"/>
          <w:position w:val="0"/>
        </w:rPr>
        <w:t>“</w:t>
      </w:r>
      <w:r>
        <w:rPr>
          <w:color w:val="000000"/>
          <w:spacing w:val="0"/>
          <w:w w:val="100"/>
          <w:position w:val="0"/>
        </w:rPr>
        <w:t>本规划</w:t>
      </w:r>
      <w:r>
        <w:rPr>
          <w:rFonts w:ascii="Times New Roman" w:eastAsia="Times New Roman" w:hAnsi="Times New Roman" w:cs="Times New Roman"/>
          <w:color w:val="000000"/>
          <w:spacing w:val="0"/>
          <w:w w:val="100"/>
          <w:position w:val="0"/>
        </w:rPr>
        <w:t>”</w:t>
      </w:r>
      <w:r>
        <w:rPr>
          <w:color w:val="000000"/>
          <w:spacing w:val="0"/>
          <w:w w:val="100"/>
          <w:position w:val="0"/>
        </w:rPr>
        <w:t>）。本规划已经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日召开的第四届董事会第七次会议、第 四届监事会第七次会议审议通过，独立董事出具了同意的独立意见，并已经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 会审议通过。</w:t>
      </w:r>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公司严格按照《公司章程》及《未来三年</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年）股东回报规划》相关利润分配政策和审议程序实施利润分配 方案，分红标准和分红比例明确清晰，相关的决策程序和机制完备，相关的议案经董事会、监事会审议过后提交股东大会审 议，并由独立董事发表独立意见，审议通过后在规定时间内进行实施，切实保证了全体股东的利益。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否得到了充分保护：</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396,563,342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31,725,067.36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79,896,150.05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111,621,217.41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500,778,643.28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年度利润分配预案为：以公司实施利润分配方案时股权登记日的应分配股数（总股本剔除公司回购专用证券账户中的 股份）为基数，每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w:t>
            </w:r>
            <w:r>
              <w:rPr>
                <w:color w:val="000000"/>
                <w:spacing w:val="0"/>
                <w:w w:val="100"/>
                <w:position w:val="0"/>
              </w:rPr>
              <w:t>元（含税），同时以资本公积每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股，剩余未分配利润结转至下 一年度。上述利润分配预案已经公司第四届董事会第九次会议、第四届监事会第九次会议审议通过，独立董事出具同意的 独立意见，尚需提交</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年年度股东大会审议，符合公司章程及相关利润分配的规定。</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368" w:name="bookmark368"/>
      <w:bookmarkStart w:id="369" w:name="bookmark369"/>
      <w:bookmarkStart w:id="370" w:name="bookmark370"/>
      <w:r>
        <w:rPr>
          <w:color w:val="000000"/>
          <w:spacing w:val="0"/>
          <w:w w:val="100"/>
          <w:position w:val="0"/>
          <w:sz w:val="24"/>
          <w:szCs w:val="24"/>
        </w:rPr>
        <w:t>十三、公司股权激励计划、员工持股计划或其他员工激励措施的实施情况</w:t>
      </w:r>
      <w:bookmarkEnd w:id="368"/>
      <w:bookmarkEnd w:id="369"/>
      <w:bookmarkEnd w:id="370"/>
    </w:p>
    <w:p>
      <w:pPr>
        <w:pStyle w:val="Style22"/>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、股权激励</w:t>
      </w:r>
      <w:bookmarkEnd w:id="371"/>
      <w:bookmarkEnd w:id="372"/>
      <w:bookmarkEnd w:id="374"/>
    </w:p>
    <w:p>
      <w:pPr>
        <w:pStyle w:val="Style22"/>
        <w:keepNext w:val="0"/>
        <w:keepLines w:val="0"/>
        <w:widowControl w:val="0"/>
        <w:shd w:val="clear" w:color="auto" w:fill="auto"/>
        <w:bidi w:val="0"/>
        <w:spacing w:before="0" w:after="60" w:line="317" w:lineRule="exact"/>
        <w:ind w:left="0" w:right="0" w:firstLine="360"/>
        <w:jc w:val="both"/>
      </w:pPr>
      <w:bookmarkStart w:id="375" w:name="bookmark375"/>
      <w:r>
        <w:rPr>
          <w:b/>
          <w:bCs/>
          <w:color w:val="000000"/>
          <w:spacing w:val="0"/>
          <w:w w:val="100"/>
          <w:position w:val="0"/>
        </w:rPr>
        <w:t>一</w:t>
      </w:r>
      <w:bookmarkEnd w:id="375"/>
      <w:r>
        <w:rPr>
          <w:b/>
          <w:bCs/>
          <w:color w:val="000000"/>
          <w:spacing w:val="0"/>
          <w:w w:val="100"/>
          <w:position w:val="0"/>
        </w:rPr>
        <w:t>、</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年股票期权激励计划</w:t>
      </w:r>
    </w:p>
    <w:p>
      <w:pPr>
        <w:pStyle w:val="Style22"/>
        <w:keepNext w:val="0"/>
        <w:keepLines w:val="0"/>
        <w:widowControl w:val="0"/>
        <w:shd w:val="clear" w:color="auto" w:fill="auto"/>
        <w:bidi w:val="0"/>
        <w:spacing w:before="0" w:after="140" w:line="317"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日，公司召开第三届董事会第三十五次会议审议通过《关于调整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年股票期权激励计划行权价格及行权 数量的议案》，因公司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年年度权益分派方案实施完毕，故而对公司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年股票期权激励计划的行权价格和行权数量进行 相应调整，行权价格由</w:t>
      </w:r>
      <w:r>
        <w:rPr>
          <w:rFonts w:ascii="Times New Roman" w:eastAsia="Times New Roman" w:hAnsi="Times New Roman" w:cs="Times New Roman"/>
          <w:color w:val="000000"/>
          <w:spacing w:val="0"/>
          <w:w w:val="100"/>
          <w:position w:val="0"/>
        </w:rPr>
        <w:t>10.613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7.495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股；行权数量由</w:t>
      </w:r>
      <w:r>
        <w:rPr>
          <w:rFonts w:ascii="Times New Roman" w:eastAsia="Times New Roman" w:hAnsi="Times New Roman" w:cs="Times New Roman"/>
          <w:color w:val="000000"/>
          <w:spacing w:val="0"/>
          <w:w w:val="100"/>
          <w:position w:val="0"/>
        </w:rPr>
        <w:t>4,978,370</w:t>
      </w:r>
      <w:r>
        <w:rPr>
          <w:color w:val="000000"/>
          <w:spacing w:val="0"/>
          <w:w w:val="100"/>
          <w:position w:val="0"/>
        </w:rPr>
        <w:t>份调整为</w:t>
      </w:r>
      <w:r>
        <w:rPr>
          <w:rFonts w:ascii="Times New Roman" w:eastAsia="Times New Roman" w:hAnsi="Times New Roman" w:cs="Times New Roman"/>
          <w:color w:val="000000"/>
          <w:spacing w:val="0"/>
          <w:w w:val="100"/>
          <w:position w:val="0"/>
        </w:rPr>
        <w:t>6,969,718</w:t>
      </w:r>
      <w:r>
        <w:rPr>
          <w:color w:val="000000"/>
          <w:spacing w:val="0"/>
          <w:w w:val="100"/>
          <w:position w:val="0"/>
        </w:rPr>
        <w:t>份。报告期内，</w:t>
      </w:r>
      <w:r>
        <w:rPr>
          <w:rFonts w:ascii="Times New Roman" w:eastAsia="Times New Roman" w:hAnsi="Times New Roman" w:cs="Times New Roman"/>
          <w:color w:val="000000"/>
          <w:spacing w:val="0"/>
          <w:w w:val="100"/>
          <w:position w:val="0"/>
        </w:rPr>
        <w:t>2018</w:t>
      </w:r>
      <w:r>
        <w:rPr>
          <w:color w:val="000000"/>
          <w:spacing w:val="0"/>
          <w:w w:val="100"/>
          <w:position w:val="0"/>
        </w:rPr>
        <w:t>年股票期 权激励计划第二个行权期行权新增股份</w:t>
      </w:r>
      <w:r>
        <w:rPr>
          <w:rFonts w:ascii="Times New Roman" w:eastAsia="Times New Roman" w:hAnsi="Times New Roman" w:cs="Times New Roman"/>
          <w:color w:val="000000"/>
          <w:spacing w:val="0"/>
          <w:w w:val="100"/>
          <w:position w:val="0"/>
        </w:rPr>
        <w:t>2,503,012</w:t>
      </w:r>
      <w:r>
        <w:rPr>
          <w:color w:val="000000"/>
          <w:spacing w:val="0"/>
          <w:w w:val="100"/>
          <w:position w:val="0"/>
        </w:rPr>
        <w:t>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年股票期权激励计划第二个行权期已全部行权完 毕。</w:t>
      </w:r>
    </w:p>
    <w:p>
      <w:pPr>
        <w:pStyle w:val="Style22"/>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日，公司召开第四届董事会第五次会议审议通过《关于注销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年股票期权激励计划部分股票期权的议案》 和《关于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年股票期权激励计划第三个行权期可行权的议案》，同意对</w:t>
      </w:r>
      <w:r>
        <w:rPr>
          <w:rFonts w:ascii="Times New Roman" w:eastAsia="Times New Roman" w:hAnsi="Times New Roman" w:cs="Times New Roman"/>
          <w:color w:val="000000"/>
          <w:spacing w:val="0"/>
          <w:w w:val="100"/>
          <w:position w:val="0"/>
        </w:rPr>
        <w:t>20</w:t>
      </w:r>
      <w:r>
        <w:rPr>
          <w:color w:val="000000"/>
          <w:spacing w:val="0"/>
          <w:w w:val="100"/>
          <w:position w:val="0"/>
        </w:rPr>
        <w:t>名不符合激励条件的激励对象已获授但尚未行权 的股票期权合计</w:t>
      </w:r>
      <w:r>
        <w:rPr>
          <w:rFonts w:ascii="Times New Roman" w:eastAsia="Times New Roman" w:hAnsi="Times New Roman" w:cs="Times New Roman"/>
          <w:color w:val="000000"/>
          <w:spacing w:val="0"/>
          <w:w w:val="100"/>
          <w:position w:val="0"/>
        </w:rPr>
        <w:t>233,972</w:t>
      </w:r>
      <w:r>
        <w:rPr>
          <w:color w:val="000000"/>
          <w:spacing w:val="0"/>
          <w:w w:val="100"/>
          <w:position w:val="0"/>
        </w:rPr>
        <w:t>份予以注销。同时，公司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年股票期权激励计划第三个行权期的行权条件已成就，本次可行权的 股票期权数量为</w:t>
      </w:r>
      <w:r>
        <w:rPr>
          <w:rFonts w:ascii="Times New Roman" w:eastAsia="Times New Roman" w:hAnsi="Times New Roman" w:cs="Times New Roman"/>
          <w:color w:val="000000"/>
          <w:spacing w:val="0"/>
          <w:w w:val="100"/>
          <w:position w:val="0"/>
        </w:rPr>
        <w:t>5,942,992</w:t>
      </w:r>
      <w:r>
        <w:rPr>
          <w:color w:val="000000"/>
          <w:spacing w:val="0"/>
          <w:w w:val="100"/>
          <w:position w:val="0"/>
        </w:rPr>
        <w:t>份，可行权激励对象为</w:t>
      </w:r>
      <w:r>
        <w:rPr>
          <w:rFonts w:ascii="Times New Roman" w:eastAsia="Times New Roman" w:hAnsi="Times New Roman" w:cs="Times New Roman"/>
          <w:color w:val="000000"/>
          <w:spacing w:val="0"/>
          <w:w w:val="100"/>
          <w:position w:val="0"/>
        </w:rPr>
        <w:t>359</w:t>
      </w:r>
      <w:r>
        <w:rPr>
          <w:color w:val="000000"/>
          <w:spacing w:val="0"/>
          <w:w w:val="100"/>
          <w:position w:val="0"/>
        </w:rPr>
        <w:t>人。本次行权采用自主行权模式，行权期限为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日。报告期内，</w:t>
      </w:r>
      <w:r>
        <w:rPr>
          <w:rFonts w:ascii="Times New Roman" w:eastAsia="Times New Roman" w:hAnsi="Times New Roman" w:cs="Times New Roman"/>
          <w:color w:val="000000"/>
          <w:spacing w:val="0"/>
          <w:w w:val="100"/>
          <w:position w:val="0"/>
        </w:rPr>
        <w:t>2018</w:t>
      </w:r>
      <w:r>
        <w:rPr>
          <w:color w:val="000000"/>
          <w:spacing w:val="0"/>
          <w:w w:val="100"/>
          <w:position w:val="0"/>
        </w:rPr>
        <w:t>年股票期权第三个行权期行权新增股份</w:t>
      </w:r>
      <w:r>
        <w:rPr>
          <w:rFonts w:ascii="Times New Roman" w:eastAsia="Times New Roman" w:hAnsi="Times New Roman" w:cs="Times New Roman"/>
          <w:color w:val="000000"/>
          <w:spacing w:val="0"/>
          <w:w w:val="100"/>
          <w:position w:val="0"/>
        </w:rPr>
        <w:t>3,623,073</w:t>
      </w:r>
      <w:r>
        <w:rPr>
          <w:color w:val="000000"/>
          <w:spacing w:val="0"/>
          <w:w w:val="100"/>
          <w:position w:val="0"/>
        </w:rPr>
        <w:t>股。</w:t>
      </w:r>
    </w:p>
    <w:p>
      <w:pPr>
        <w:pStyle w:val="Style22"/>
        <w:keepNext w:val="0"/>
        <w:keepLines w:val="0"/>
        <w:widowControl w:val="0"/>
        <w:shd w:val="clear" w:color="auto" w:fill="auto"/>
        <w:tabs>
          <w:tab w:pos="755" w:val="left"/>
        </w:tabs>
        <w:bidi w:val="0"/>
        <w:spacing w:before="0" w:after="40" w:line="312" w:lineRule="exact"/>
        <w:ind w:left="0" w:right="0"/>
        <w:jc w:val="both"/>
      </w:pPr>
      <w:bookmarkStart w:id="376" w:name="bookmark376"/>
      <w:r>
        <w:rPr>
          <w:b/>
          <w:bCs/>
          <w:color w:val="000000"/>
          <w:spacing w:val="0"/>
          <w:w w:val="100"/>
          <w:position w:val="0"/>
        </w:rPr>
        <w:t>二</w:t>
      </w:r>
      <w:bookmarkEnd w:id="376"/>
      <w:r>
        <w:rPr>
          <w:b/>
          <w:bCs/>
          <w:color w:val="000000"/>
          <w:spacing w:val="0"/>
          <w:w w:val="100"/>
          <w:position w:val="0"/>
        </w:rPr>
        <w:t>、</w:t>
        <w:tab/>
      </w:r>
      <w:r>
        <w:rPr>
          <w:rFonts w:ascii="Times New Roman" w:eastAsia="Times New Roman" w:hAnsi="Times New Roman" w:cs="Times New Roman"/>
          <w:b/>
          <w:bCs/>
          <w:color w:val="000000"/>
          <w:spacing w:val="0"/>
          <w:w w:val="100"/>
          <w:position w:val="0"/>
        </w:rPr>
        <w:t>2020</w:t>
      </w:r>
      <w:r>
        <w:rPr>
          <w:b/>
          <w:bCs/>
          <w:color w:val="000000"/>
          <w:spacing w:val="0"/>
          <w:w w:val="100"/>
          <w:position w:val="0"/>
        </w:rPr>
        <w:t>年限制性股票激励计划</w:t>
      </w:r>
    </w:p>
    <w:p>
      <w:pPr>
        <w:pStyle w:val="Style22"/>
        <w:keepNext w:val="0"/>
        <w:keepLines w:val="0"/>
        <w:widowControl w:val="0"/>
        <w:shd w:val="clear" w:color="auto" w:fill="auto"/>
        <w:bidi w:val="0"/>
        <w:spacing w:before="0" w:after="4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日召开第三届董事会第三十一次会议，审议通过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年限制性股票激励计划首次授予事项，共向</w:t>
      </w:r>
      <w:r>
        <w:rPr>
          <w:rFonts w:ascii="Times New Roman" w:eastAsia="Times New Roman" w:hAnsi="Times New Roman" w:cs="Times New Roman"/>
          <w:color w:val="000000"/>
          <w:spacing w:val="0"/>
          <w:w w:val="100"/>
          <w:position w:val="0"/>
        </w:rPr>
        <w:t xml:space="preserve">770 </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1,298.8</w:t>
      </w:r>
      <w:r>
        <w:rPr>
          <w:rFonts w:ascii="Times New Roman" w:eastAsia="Times New Roman" w:hAnsi="Times New Roman" w:cs="Times New Roman"/>
          <w:color w:val="000000"/>
          <w:spacing w:val="0"/>
          <w:w w:val="100"/>
          <w:position w:val="0"/>
        </w:rPr>
        <w:t>0</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rPr>
        <w:t>25.56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日召开第三届董事会第三十四次会议，审 议通过</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年限制性股票激励计划预留授予事项，共向</w:t>
      </w:r>
      <w:r>
        <w:rPr>
          <w:rFonts w:ascii="Times New Roman" w:eastAsia="Times New Roman" w:hAnsi="Times New Roman" w:cs="Times New Roman"/>
          <w:color w:val="000000"/>
          <w:spacing w:val="0"/>
          <w:w w:val="100"/>
          <w:position w:val="0"/>
        </w:rPr>
        <w:t>84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150</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rPr>
        <w:t>25.56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 xml:space="preserve">元，同时以资本公积金向全体股东每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股。上述授予价格及数量尚未根据</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年度权益分派方案调整）。</w:t>
      </w:r>
    </w:p>
    <w:p>
      <w:pPr>
        <w:pStyle w:val="Style22"/>
        <w:keepNext w:val="0"/>
        <w:keepLines w:val="0"/>
        <w:widowControl w:val="0"/>
        <w:shd w:val="clear" w:color="auto" w:fill="auto"/>
        <w:tabs>
          <w:tab w:pos="760" w:val="left"/>
        </w:tabs>
        <w:bidi w:val="0"/>
        <w:spacing w:before="0" w:after="40" w:line="312" w:lineRule="exact"/>
        <w:ind w:left="0" w:right="0"/>
        <w:jc w:val="both"/>
      </w:pPr>
      <w:bookmarkStart w:id="377" w:name="bookmark377"/>
      <w:r>
        <w:rPr>
          <w:b/>
          <w:bCs/>
          <w:color w:val="000000"/>
          <w:spacing w:val="0"/>
          <w:w w:val="100"/>
          <w:position w:val="0"/>
        </w:rPr>
        <w:t>三</w:t>
      </w:r>
      <w:bookmarkEnd w:id="377"/>
      <w:r>
        <w:rPr>
          <w:b/>
          <w:bCs/>
          <w:color w:val="000000"/>
          <w:spacing w:val="0"/>
          <w:w w:val="100"/>
          <w:position w:val="0"/>
        </w:rPr>
        <w:t>、</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年股票期权激励计划</w:t>
      </w:r>
    </w:p>
    <w:p>
      <w:pPr>
        <w:pStyle w:val="Style22"/>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日，公司披露《关于筹划</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年股票期权激励计划的提示性公告》，拟实施股票期权激励计划。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日，公司召开第四届董事会第二次会议审议通过《关于审议公司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 等股票期权激励计划相关议案，公司拟授予</w:t>
      </w:r>
      <w:r>
        <w:rPr>
          <w:rFonts w:ascii="Times New Roman" w:eastAsia="Times New Roman" w:hAnsi="Times New Roman" w:cs="Times New Roman"/>
          <w:color w:val="000000"/>
          <w:spacing w:val="0"/>
          <w:w w:val="100"/>
          <w:position w:val="0"/>
        </w:rPr>
        <w:t>415</w:t>
      </w:r>
      <w:r>
        <w:rPr>
          <w:color w:val="000000"/>
          <w:spacing w:val="0"/>
          <w:w w:val="100"/>
          <w:position w:val="0"/>
        </w:rPr>
        <w:t>名激励对象</w:t>
      </w:r>
      <w:r>
        <w:rPr>
          <w:rFonts w:ascii="Times New Roman" w:eastAsia="Times New Roman" w:hAnsi="Times New Roman" w:cs="Times New Roman"/>
          <w:color w:val="000000"/>
          <w:spacing w:val="0"/>
          <w:w w:val="100"/>
          <w:position w:val="0"/>
        </w:rPr>
        <w:t>450</w:t>
      </w:r>
      <w:r>
        <w:rPr>
          <w:color w:val="000000"/>
          <w:spacing w:val="0"/>
          <w:w w:val="100"/>
          <w:position w:val="0"/>
        </w:rPr>
        <w:t>万股股票期权。</w:t>
      </w:r>
    </w:p>
    <w:p>
      <w:pPr>
        <w:pStyle w:val="Style22"/>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年第二次临时股东大会审议通过《关于审议公司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 其摘要的议案》、《关于审议公司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的议案》、《关于提请公司股东大会授权 董事会办理股权激励相关事宜的议案》等与本次股权激励计划相关议案。同日，公司召开第四届董事会第四次会议审议通过 《关于调整公司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年股票期权激励计划相关事项的议案》、《关于向</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年股票期权激励计划激励对象授予股票期权的议 案》，鉴于</w:t>
      </w:r>
      <w:r>
        <w:rPr>
          <w:rFonts w:ascii="Times New Roman" w:eastAsia="Times New Roman" w:hAnsi="Times New Roman" w:cs="Times New Roman"/>
          <w:color w:val="000000"/>
          <w:spacing w:val="0"/>
          <w:w w:val="100"/>
          <w:position w:val="0"/>
        </w:rPr>
        <w:t>1</w:t>
      </w:r>
      <w:r>
        <w:rPr>
          <w:color w:val="000000"/>
          <w:spacing w:val="0"/>
          <w:w w:val="100"/>
          <w:position w:val="0"/>
        </w:rPr>
        <w:t>名激励对象因离职失去激励资格、</w:t>
      </w:r>
      <w:r>
        <w:rPr>
          <w:rFonts w:ascii="Times New Roman" w:eastAsia="Times New Roman" w:hAnsi="Times New Roman" w:cs="Times New Roman"/>
          <w:color w:val="000000"/>
          <w:spacing w:val="0"/>
          <w:w w:val="100"/>
          <w:position w:val="0"/>
        </w:rPr>
        <w:t>1</w:t>
      </w:r>
      <w:r>
        <w:rPr>
          <w:color w:val="000000"/>
          <w:spacing w:val="0"/>
          <w:w w:val="100"/>
          <w:position w:val="0"/>
        </w:rPr>
        <w:t>名激励对象因个人原因自愿放弃参与本次激励计划，同意取消拟向上述</w:t>
      </w:r>
      <w:r>
        <w:rPr>
          <w:rFonts w:ascii="Times New Roman" w:eastAsia="Times New Roman" w:hAnsi="Times New Roman" w:cs="Times New Roman"/>
          <w:color w:val="000000"/>
          <w:spacing w:val="0"/>
          <w:w w:val="100"/>
          <w:position w:val="0"/>
        </w:rPr>
        <w:t>2</w:t>
      </w:r>
      <w:r>
        <w:rPr>
          <w:color w:val="000000"/>
          <w:spacing w:val="0"/>
          <w:w w:val="100"/>
          <w:position w:val="0"/>
        </w:rPr>
        <w:t>名 激励对象授予的股票期权共计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.74</w:t>
      </w:r>
      <w:r>
        <w:rPr>
          <w:color w:val="000000"/>
          <w:spacing w:val="0"/>
          <w:w w:val="100"/>
          <w:position w:val="0"/>
        </w:rPr>
        <w:t>万份。本次调整后，公司激励对象人数由</w:t>
      </w:r>
      <w:r>
        <w:rPr>
          <w:rFonts w:ascii="Times New Roman" w:eastAsia="Times New Roman" w:hAnsi="Times New Roman" w:cs="Times New Roman"/>
          <w:color w:val="000000"/>
          <w:spacing w:val="0"/>
          <w:w w:val="100"/>
          <w:position w:val="0"/>
        </w:rPr>
        <w:t>415</w:t>
      </w:r>
      <w:r>
        <w:rPr>
          <w:color w:val="000000"/>
          <w:spacing w:val="0"/>
          <w:w w:val="100"/>
          <w:position w:val="0"/>
        </w:rPr>
        <w:t>名调整为</w:t>
      </w:r>
      <w:r>
        <w:rPr>
          <w:rFonts w:ascii="Times New Roman" w:eastAsia="Times New Roman" w:hAnsi="Times New Roman" w:cs="Times New Roman"/>
          <w:color w:val="000000"/>
          <w:spacing w:val="0"/>
          <w:w w:val="100"/>
          <w:position w:val="0"/>
        </w:rPr>
        <w:t>413</w:t>
      </w:r>
      <w:r>
        <w:rPr>
          <w:color w:val="000000"/>
          <w:spacing w:val="0"/>
          <w:w w:val="100"/>
          <w:position w:val="0"/>
        </w:rPr>
        <w:t>名，授予的股票期权数量由</w:t>
      </w:r>
      <w:r>
        <w:rPr>
          <w:rFonts w:ascii="Times New Roman" w:eastAsia="Times New Roman" w:hAnsi="Times New Roman" w:cs="Times New Roman"/>
          <w:color w:val="000000"/>
          <w:spacing w:val="0"/>
          <w:w w:val="100"/>
          <w:position w:val="0"/>
        </w:rPr>
        <w:t xml:space="preserve">450.00 </w:t>
      </w:r>
      <w:r>
        <w:rPr>
          <w:color w:val="000000"/>
          <w:spacing w:val="0"/>
          <w:w w:val="100"/>
          <w:position w:val="0"/>
        </w:rPr>
        <w:t>万份调整为</w:t>
      </w:r>
      <w:r>
        <w:rPr>
          <w:rFonts w:ascii="Times New Roman" w:eastAsia="Times New Roman" w:hAnsi="Times New Roman" w:cs="Times New Roman"/>
          <w:color w:val="000000"/>
          <w:spacing w:val="0"/>
          <w:w w:val="100"/>
          <w:position w:val="0"/>
        </w:rPr>
        <w:t>449.26</w:t>
      </w:r>
      <w:r>
        <w:rPr>
          <w:color w:val="000000"/>
          <w:spacing w:val="0"/>
          <w:w w:val="100"/>
          <w:position w:val="0"/>
        </w:rPr>
        <w:t>万份，并同意以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日作为授权日。</w:t>
      </w:r>
    </w:p>
    <w:p>
      <w:pPr>
        <w:pStyle w:val="Style22"/>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日，公司召开第四届董事会第六次会议审议通过《关于调整公司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年股票期权激励计划相关事项的议案》， 鉴于公司董事会确定本激励计划的授权日后，</w:t>
      </w:r>
      <w:r>
        <w:rPr>
          <w:rFonts w:ascii="Times New Roman" w:eastAsia="Times New Roman" w:hAnsi="Times New Roman" w:cs="Times New Roman"/>
          <w:color w:val="000000"/>
          <w:spacing w:val="0"/>
          <w:w w:val="100"/>
          <w:position w:val="0"/>
        </w:rPr>
        <w:t>6</w:t>
      </w:r>
      <w:r>
        <w:rPr>
          <w:color w:val="000000"/>
          <w:spacing w:val="0"/>
          <w:w w:val="100"/>
          <w:position w:val="0"/>
        </w:rPr>
        <w:t>名激励对象因离职失去激励资格、</w:t>
      </w:r>
      <w:r>
        <w:rPr>
          <w:rFonts w:ascii="Times New Roman" w:eastAsia="Times New Roman" w:hAnsi="Times New Roman" w:cs="Times New Roman"/>
          <w:color w:val="000000"/>
          <w:spacing w:val="0"/>
          <w:w w:val="100"/>
          <w:position w:val="0"/>
        </w:rPr>
        <w:t>2</w:t>
      </w:r>
      <w:r>
        <w:rPr>
          <w:color w:val="000000"/>
          <w:spacing w:val="0"/>
          <w:w w:val="100"/>
          <w:position w:val="0"/>
        </w:rPr>
        <w:t>名激励对象因个人原因自愿放弃参与本次 激励计划，同意取消向上述</w:t>
      </w:r>
      <w:r>
        <w:rPr>
          <w:rFonts w:ascii="Times New Roman" w:eastAsia="Times New Roman" w:hAnsi="Times New Roman" w:cs="Times New Roman"/>
          <w:color w:val="000000"/>
          <w:spacing w:val="0"/>
          <w:w w:val="100"/>
          <w:position w:val="0"/>
        </w:rPr>
        <w:t>8</w:t>
      </w:r>
      <w:r>
        <w:rPr>
          <w:color w:val="000000"/>
          <w:spacing w:val="0"/>
          <w:w w:val="100"/>
          <w:position w:val="0"/>
        </w:rPr>
        <w:t>名激励对象授予的股票期权共计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万份，激励对象人数由</w:t>
      </w:r>
      <w:r>
        <w:rPr>
          <w:rFonts w:ascii="Times New Roman" w:eastAsia="Times New Roman" w:hAnsi="Times New Roman" w:cs="Times New Roman"/>
          <w:color w:val="000000"/>
          <w:spacing w:val="0"/>
          <w:w w:val="100"/>
          <w:position w:val="0"/>
        </w:rPr>
        <w:t>413</w:t>
      </w:r>
      <w:r>
        <w:rPr>
          <w:color w:val="000000"/>
          <w:spacing w:val="0"/>
          <w:w w:val="100"/>
          <w:position w:val="0"/>
        </w:rPr>
        <w:t>名调整为</w:t>
      </w:r>
      <w:r>
        <w:rPr>
          <w:rFonts w:ascii="Times New Roman" w:eastAsia="Times New Roman" w:hAnsi="Times New Roman" w:cs="Times New Roman"/>
          <w:color w:val="000000"/>
          <w:spacing w:val="0"/>
          <w:w w:val="100"/>
          <w:position w:val="0"/>
        </w:rPr>
        <w:t>405</w:t>
      </w:r>
      <w:r>
        <w:rPr>
          <w:color w:val="000000"/>
          <w:spacing w:val="0"/>
          <w:w w:val="100"/>
          <w:position w:val="0"/>
        </w:rPr>
        <w:t>，授予的股票期权 数量由</w:t>
      </w:r>
      <w:r>
        <w:rPr>
          <w:rFonts w:ascii="Times New Roman" w:eastAsia="Times New Roman" w:hAnsi="Times New Roman" w:cs="Times New Roman"/>
          <w:color w:val="000000"/>
          <w:spacing w:val="0"/>
          <w:w w:val="100"/>
          <w:position w:val="0"/>
        </w:rPr>
        <w:t>449.26</w:t>
      </w:r>
      <w:r>
        <w:rPr>
          <w:color w:val="000000"/>
          <w:spacing w:val="0"/>
          <w:w w:val="100"/>
          <w:position w:val="0"/>
        </w:rPr>
        <w:t>万份调整为</w:t>
      </w:r>
      <w:r>
        <w:rPr>
          <w:rFonts w:ascii="Times New Roman" w:eastAsia="Times New Roman" w:hAnsi="Times New Roman" w:cs="Times New Roman"/>
          <w:color w:val="000000"/>
          <w:spacing w:val="0"/>
          <w:w w:val="100"/>
          <w:position w:val="0"/>
        </w:rPr>
        <w:t>447.46</w:t>
      </w:r>
      <w:r>
        <w:rPr>
          <w:color w:val="000000"/>
          <w:spacing w:val="0"/>
          <w:w w:val="100"/>
          <w:position w:val="0"/>
        </w:rPr>
        <w:t>万份。</w:t>
      </w:r>
    </w:p>
    <w:p>
      <w:pPr>
        <w:pStyle w:val="Style22"/>
        <w:keepNext w:val="0"/>
        <w:keepLines w:val="0"/>
        <w:widowControl w:val="0"/>
        <w:shd w:val="clear" w:color="auto" w:fill="auto"/>
        <w:bidi w:val="0"/>
        <w:spacing w:before="0" w:after="4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年股票期权激励计划股票期权的授予登记工作。本次股票期权实际授予激励对象为</w:t>
      </w:r>
      <w:r>
        <w:rPr>
          <w:rFonts w:ascii="Times New Roman" w:eastAsia="Times New Roman" w:hAnsi="Times New Roman" w:cs="Times New Roman"/>
          <w:color w:val="000000"/>
          <w:spacing w:val="0"/>
          <w:w w:val="100"/>
          <w:position w:val="0"/>
        </w:rPr>
        <w:t xml:space="preserve">405 </w:t>
      </w:r>
      <w:r>
        <w:rPr>
          <w:color w:val="000000"/>
          <w:spacing w:val="0"/>
          <w:w w:val="100"/>
          <w:position w:val="0"/>
        </w:rPr>
        <w:t>人，授予数量为</w:t>
      </w:r>
      <w:r>
        <w:rPr>
          <w:rFonts w:ascii="Times New Roman" w:eastAsia="Times New Roman" w:hAnsi="Times New Roman" w:cs="Times New Roman"/>
          <w:color w:val="000000"/>
          <w:spacing w:val="0"/>
          <w:w w:val="100"/>
          <w:position w:val="0"/>
        </w:rPr>
        <w:t>447.46</w:t>
      </w:r>
      <w:r>
        <w:rPr>
          <w:color w:val="000000"/>
          <w:spacing w:val="0"/>
          <w:w w:val="100"/>
          <w:position w:val="0"/>
        </w:rPr>
        <w:t>万份，授予价格为</w:t>
      </w:r>
      <w:r>
        <w:rPr>
          <w:rFonts w:ascii="Times New Roman" w:eastAsia="Times New Roman" w:hAnsi="Times New Roman" w:cs="Times New Roman"/>
          <w:color w:val="000000"/>
          <w:spacing w:val="0"/>
          <w:w w:val="100"/>
          <w:position w:val="0"/>
        </w:rPr>
        <w:t>17.84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董事、高级管理人员获得的股权激励情况</w:t>
      </w:r>
    </w:p>
    <w:p>
      <w:pPr>
        <w:pStyle w:val="Style22"/>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159,600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252,000</w:t>
            </w:r>
          </w:p>
        </w:tc>
      </w:tr>
    </w:tbl>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1,034,8 88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122,850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817,600</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1.20</w:t>
            </w:r>
            <w:r>
              <w:rPr>
                <w:color w:val="000000"/>
                <w:spacing w:val="0"/>
                <w:w w:val="100"/>
                <w:position w:val="0"/>
              </w:rPr>
              <w:t>元，同 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股。上述股份数均为转增后的数量。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公司已建立健全了高级管理人员的选聘、考评、激励与约束机制，遵循公开、公平、公正的流程聘任高级管理人员，并 持续和及时完善考核机制。董事会下设的提名委员会、薪酬与考核委员会负责对高级管理人员的工作能力、履职情况、责任 目标完成情况等进行考评，建立起了符合公司发展需求和行业实际情况的薪酬体系，高级管理人员薪酬与其职责、贡献挂钩， 实行季度总结、年度考核的薪酬制度，即基本年薪与绩效年薪相结合的薪酬结构，公司在每年年初明确高级管理人员业绩考 核的财务指标和非财务指标，有效激发了高级管理人员的工作主动性和责任意识。</w:t>
      </w:r>
    </w:p>
    <w:p>
      <w:pPr>
        <w:pStyle w:val="Style33"/>
        <w:keepNext/>
        <w:keepLines/>
        <w:widowControl w:val="0"/>
        <w:shd w:val="clear" w:color="auto" w:fill="auto"/>
        <w:tabs>
          <w:tab w:pos="369" w:val="left"/>
        </w:tabs>
        <w:bidi w:val="0"/>
        <w:spacing w:before="0" w:after="3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员工持股计划的实施情况</w:t>
      </w:r>
      <w:bookmarkEnd w:id="378"/>
      <w:bookmarkEnd w:id="379"/>
      <w:bookmarkEnd w:id="381"/>
    </w:p>
    <w:p>
      <w:pPr>
        <w:pStyle w:val="Style22"/>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69" w:val="left"/>
        </w:tabs>
        <w:bidi w:val="0"/>
        <w:spacing w:before="0" w:after="38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其他员工激励措施</w:t>
      </w:r>
      <w:bookmarkEnd w:id="382"/>
      <w:bookmarkEnd w:id="383"/>
      <w:bookmarkEnd w:id="385"/>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报告期内实施股权激励计划计提费用为</w:t>
      </w:r>
      <w:r>
        <w:rPr>
          <w:rFonts w:ascii="Times New Roman" w:eastAsia="Times New Roman" w:hAnsi="Times New Roman" w:cs="Times New Roman"/>
          <w:color w:val="000000"/>
          <w:spacing w:val="0"/>
          <w:w w:val="100"/>
          <w:position w:val="0"/>
        </w:rPr>
        <w:t>4,891.08</w:t>
      </w:r>
      <w:r>
        <w:rPr>
          <w:color w:val="000000"/>
          <w:spacing w:val="0"/>
          <w:w w:val="100"/>
          <w:position w:val="0"/>
        </w:rPr>
        <w:t>万元，占上市公司净利润的</w:t>
      </w:r>
      <w:r>
        <w:rPr>
          <w:rFonts w:ascii="Times New Roman" w:eastAsia="Times New Roman" w:hAnsi="Times New Roman" w:cs="Times New Roman"/>
          <w:color w:val="000000"/>
          <w:spacing w:val="0"/>
          <w:w w:val="100"/>
          <w:position w:val="0"/>
        </w:rPr>
        <w:t>21.34%</w:t>
      </w:r>
      <w:r>
        <w:rPr>
          <w:color w:val="000000"/>
          <w:spacing w:val="0"/>
          <w:w w:val="100"/>
          <w:position w:val="0"/>
        </w:rPr>
        <w:t>；报告期内，核心技术人员的股权激 励费用合计为</w:t>
      </w:r>
      <w:r>
        <w:rPr>
          <w:rFonts w:ascii="Times New Roman" w:eastAsia="Times New Roman" w:hAnsi="Times New Roman" w:cs="Times New Roman"/>
          <w:color w:val="000000"/>
          <w:spacing w:val="0"/>
          <w:w w:val="100"/>
          <w:position w:val="0"/>
        </w:rPr>
        <w:t>214.54</w:t>
      </w:r>
      <w:r>
        <w:rPr>
          <w:color w:val="000000"/>
          <w:spacing w:val="0"/>
          <w:w w:val="100"/>
          <w:position w:val="0"/>
        </w:rPr>
        <w:t>万元，占公司当期股权激励费用的</w:t>
      </w:r>
      <w:r>
        <w:rPr>
          <w:rFonts w:ascii="Times New Roman" w:eastAsia="Times New Roman" w:hAnsi="Times New Roman" w:cs="Times New Roman"/>
          <w:color w:val="000000"/>
          <w:spacing w:val="0"/>
          <w:w w:val="100"/>
          <w:position w:val="0"/>
        </w:rPr>
        <w:t>4.39%</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十四、报告期内的内部控制制度建设及实施情况</w:t>
      </w:r>
      <w:bookmarkEnd w:id="386"/>
      <w:bookmarkEnd w:id="387"/>
      <w:bookmarkEnd w:id="388"/>
    </w:p>
    <w:p>
      <w:pPr>
        <w:pStyle w:val="Style33"/>
        <w:keepNext/>
        <w:keepLines/>
        <w:widowControl w:val="0"/>
        <w:shd w:val="clear" w:color="auto" w:fill="auto"/>
        <w:tabs>
          <w:tab w:pos="360"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内部控制建设及实施情况</w:t>
      </w:r>
      <w:bookmarkEnd w:id="389"/>
      <w:bookmarkEnd w:id="390"/>
      <w:bookmarkEnd w:id="392"/>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报告期内，公司根据《企业内部控制基本规范》及其配套指引的规定和其他内部控制监管要求，结合公司实际情况，继 续完善内部控制制度建设，强化内部审计监督，不断提升公司治理和内部控制水平，以适应不断变化的外部环境及内部管理 的要求。公司董事会按照企业内部控制规范体系的规定，建立健全和有效实施内部控制，评价其有效性，并如实披露内部控 制评价报告，监事会对董事会建立和实施内部控制进行监督。</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公司持续强化董事会及关键岗位的内控意识和责任，充分认识完备的内部控制制度在改善公司治理、增强风险防控、促 进公司持续健康发展中的重要性，强化合规经营意识，确保内部控制制度得到有效执行，切实提升公司规范运作水平。公司 已按照企业内部控制规范体系和相关规定的要求在所有重大方面保持了有效的财务报告内部控制。于内部控制评价报告基准 日，公司不存在内部控制重大缺陷。</w:t>
      </w:r>
    </w:p>
    <w:p>
      <w:pPr>
        <w:pStyle w:val="Style33"/>
        <w:keepNext/>
        <w:keepLines/>
        <w:widowControl w:val="0"/>
        <w:shd w:val="clear" w:color="auto" w:fill="auto"/>
        <w:tabs>
          <w:tab w:pos="369" w:val="left"/>
        </w:tabs>
        <w:bidi w:val="0"/>
        <w:spacing w:before="0" w:after="260" w:line="240" w:lineRule="auto"/>
        <w:ind w:left="0" w:right="0" w:firstLine="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报告期内发现的内部控制重大缺陷的具体情况</w:t>
      </w:r>
      <w:bookmarkEnd w:id="393"/>
      <w:bookmarkEnd w:id="394"/>
      <w:bookmarkEnd w:id="396"/>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7"/>
        <w:keepNext/>
        <w:keepLines/>
        <w:widowControl w:val="0"/>
        <w:shd w:val="clear" w:color="auto" w:fill="auto"/>
        <w:bidi w:val="0"/>
        <w:spacing w:before="0" w:after="32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十五、公司报告期内对子公司的管理控制情况</w:t>
      </w:r>
      <w:bookmarkEnd w:id="397"/>
      <w:bookmarkEnd w:id="398"/>
      <w:bookmarkEnd w:id="399"/>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107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黑龙江华颂信息 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在完成收购后， 公司根据中国证 监会、深交所相 关法规、公司章 程对黑龙江华颂 的机构设置、人 员调整、内部控 制、财务体系等 进行指导和规 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改选执行董 事，委派业务方 面的管理人员任 公司执行董事；</w:t>
            </w:r>
          </w:p>
          <w:p>
            <w:pPr>
              <w:pStyle w:val="Style24"/>
              <w:keepNext w:val="0"/>
              <w:keepLines w:val="0"/>
              <w:widowControl w:val="0"/>
              <w:shd w:val="clear" w:color="auto" w:fill="auto"/>
              <w:tabs>
                <w:tab w:pos="24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委派财务负责 人，并重新外聘 会计人员，并对 相关人员进行培 训；</w:t>
            </w:r>
            <w:r>
              <w:rPr>
                <w:rFonts w:ascii="Times New Roman" w:eastAsia="Times New Roman" w:hAnsi="Times New Roman" w:cs="Times New Roman"/>
                <w:color w:val="000000"/>
                <w:spacing w:val="0"/>
                <w:w w:val="100"/>
                <w:position w:val="0"/>
              </w:rPr>
              <w:t>3</w:t>
            </w:r>
            <w:r>
              <w:rPr>
                <w:color w:val="000000"/>
                <w:spacing w:val="0"/>
                <w:w w:val="100"/>
                <w:position w:val="0"/>
              </w:rPr>
              <w:t>、建立与母 公司统一的财务 管理制度体系， 并定期上报财务 报表</w:t>
            </w:r>
            <w:r>
              <w:rPr>
                <w:color w:val="000000"/>
                <w:spacing w:val="0"/>
                <w:w w:val="100"/>
                <w:position w:val="0"/>
              </w:rPr>
              <w:t>，</w:t>
            </w:r>
            <w:r>
              <w:rPr>
                <w:color w:val="000000"/>
                <w:spacing w:val="0"/>
                <w:w w:val="100"/>
                <w:position w:val="0"/>
              </w:rPr>
              <w:t>公司定期对 其经营状况和财 务状况进行分析 检查；</w:t>
            </w:r>
            <w:r>
              <w:rPr>
                <w:rFonts w:ascii="Times New Roman" w:eastAsia="Times New Roman" w:hAnsi="Times New Roman" w:cs="Times New Roman"/>
                <w:color w:val="000000"/>
                <w:spacing w:val="0"/>
                <w:w w:val="100"/>
                <w:position w:val="0"/>
              </w:rPr>
              <w:t>4</w:t>
            </w:r>
            <w:r>
              <w:rPr>
                <w:color w:val="000000"/>
                <w:spacing w:val="0"/>
                <w:w w:val="100"/>
                <w:position w:val="0"/>
              </w:rPr>
              <w:t>、将黑龙 江华颂纳入集团 财务核算系统， 利用信息化手段 对其的运营管理 进行管控；</w:t>
            </w:r>
            <w:r>
              <w:rPr>
                <w:rFonts w:ascii="Times New Roman" w:eastAsia="Times New Roman" w:hAnsi="Times New Roman" w:cs="Times New Roman"/>
                <w:color w:val="000000"/>
                <w:spacing w:val="0"/>
                <w:w w:val="100"/>
                <w:position w:val="0"/>
              </w:rPr>
              <w:t>5</w:t>
            </w:r>
            <w:r>
              <w:rPr>
                <w:color w:val="000000"/>
                <w:spacing w:val="0"/>
                <w:w w:val="100"/>
                <w:position w:val="0"/>
              </w:rPr>
              <w:t>、督 促和监管黑龙江 华颂执行对关联 交易、对外担保、 对外投资、资金</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占用等重大事项 事前向公司报告 机制；</w:t>
            </w:r>
            <w:r>
              <w:rPr>
                <w:rFonts w:ascii="Times New Roman" w:eastAsia="Times New Roman" w:hAnsi="Times New Roman" w:cs="Times New Roman"/>
                <w:color w:val="000000"/>
                <w:spacing w:val="0"/>
                <w:w w:val="100"/>
                <w:position w:val="0"/>
              </w:rPr>
              <w:t>6</w:t>
            </w:r>
            <w:r>
              <w:rPr>
                <w:color w:val="000000"/>
                <w:spacing w:val="0"/>
                <w:w w:val="100"/>
                <w:position w:val="0"/>
              </w:rPr>
              <w:t>、在人事 管理方面，委派 的执行董事管理 条线上直接领导 总经理，并对公 司相关人员制定 考核标准。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十六、内部控制自我评价报告或内部控制审计报告</w:t>
      </w:r>
      <w:bookmarkEnd w:id="400"/>
      <w:bookmarkEnd w:id="401"/>
      <w:bookmarkEnd w:id="402"/>
    </w:p>
    <w:p>
      <w:pPr>
        <w:pStyle w:val="Style33"/>
        <w:keepNext/>
        <w:keepLines/>
        <w:widowControl w:val="0"/>
        <w:shd w:val="clear" w:color="auto" w:fill="auto"/>
        <w:bidi w:val="0"/>
        <w:spacing w:before="0" w:after="34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、内控自我评价报告</w:t>
      </w:r>
      <w:bookmarkEnd w:id="403"/>
      <w:bookmarkEnd w:id="404"/>
      <w:bookmarkEnd w:id="40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 告》。</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、财务报告内部控制存在重大缺陷的迹象 包括：（</w:t>
            </w:r>
            <w:r>
              <w:rPr>
                <w:rFonts w:ascii="Times New Roman" w:eastAsia="Times New Roman" w:hAnsi="Times New Roman" w:cs="Times New Roman"/>
                <w:color w:val="000000"/>
                <w:spacing w:val="0"/>
                <w:w w:val="100"/>
                <w:position w:val="0"/>
              </w:rPr>
              <w:t>1</w:t>
            </w:r>
            <w:r>
              <w:rPr>
                <w:color w:val="000000"/>
                <w:spacing w:val="0"/>
                <w:w w:val="100"/>
                <w:position w:val="0"/>
              </w:rPr>
              <w:t>）当期财务报告存在重大错报， 而对应的控制活动未能识别该错报，或需 要更正已公布的财务报告；（</w:t>
            </w:r>
            <w:r>
              <w:rPr>
                <w:rFonts w:ascii="Times New Roman" w:eastAsia="Times New Roman" w:hAnsi="Times New Roman" w:cs="Times New Roman"/>
                <w:color w:val="000000"/>
                <w:spacing w:val="0"/>
                <w:w w:val="100"/>
                <w:position w:val="0"/>
              </w:rPr>
              <w:t>2</w:t>
            </w:r>
            <w:r>
              <w:rPr>
                <w:color w:val="000000"/>
                <w:spacing w:val="0"/>
                <w:w w:val="100"/>
                <w:position w:val="0"/>
              </w:rPr>
              <w:t>）公司董事、 监事和高级管理人员舞弊并给公司造成重 大损失和不利影响；（</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 当期财务报告存在重大错报，而内部控制 在运行过程中未能发现该错报；（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）已经 发现并报告给管理层的重要缺陷在合理的 时间内未加以改正；（</w:t>
            </w:r>
            <w:r>
              <w:rPr>
                <w:rFonts w:ascii="Times New Roman" w:eastAsia="Times New Roman" w:hAnsi="Times New Roman" w:cs="Times New Roman"/>
                <w:color w:val="000000"/>
                <w:spacing w:val="0"/>
                <w:w w:val="100"/>
                <w:position w:val="0"/>
              </w:rPr>
              <w:t>5</w:t>
            </w:r>
            <w:r>
              <w:rPr>
                <w:color w:val="000000"/>
                <w:spacing w:val="0"/>
                <w:w w:val="100"/>
                <w:position w:val="0"/>
              </w:rPr>
              <w:t>）审计委员会和内 部审计部对公司的内部控制监督无效。</w:t>
            </w:r>
            <w:r>
              <w:rPr>
                <w:rFonts w:ascii="Times New Roman" w:eastAsia="Times New Roman" w:hAnsi="Times New Roman" w:cs="Times New Roman"/>
                <w:color w:val="000000"/>
                <w:spacing w:val="0"/>
                <w:w w:val="100"/>
                <w:position w:val="0"/>
              </w:rPr>
              <w:t>2</w:t>
            </w:r>
            <w:r>
              <w:rPr>
                <w:color w:val="000000"/>
                <w:spacing w:val="0"/>
                <w:w w:val="100"/>
                <w:position w:val="0"/>
              </w:rPr>
              <w:t>、 财务报告内部控制存在重要缺陷的迹象包 括：（</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rPr>
              <w:t>3</w:t>
            </w:r>
            <w:r>
              <w:rPr>
                <w:color w:val="000000"/>
                <w:spacing w:val="0"/>
                <w:w w:val="100"/>
                <w:position w:val="0"/>
              </w:rPr>
              <w:t>）财务报告过程中出现单独或多 项缺陷，虽然未达到重大缺陷认定标准， 但影响到财务报告达到真实、准确的目标;</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rPr>
              <w:t>3</w:t>
            </w:r>
            <w:r>
              <w:rPr>
                <w:color w:val="000000"/>
                <w:spacing w:val="0"/>
                <w:w w:val="100"/>
                <w:position w:val="0"/>
              </w:rPr>
              <w:t>、一般缺陷是指除上 述重大缺陷、重要缺陷之外的其他控制缺 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）公司重 大事项决策违反国家法律法规，决策程 序缺乏集体民主程序，或集体民主决策 程序不规范；（</w:t>
            </w:r>
            <w:r>
              <w:rPr>
                <w:rFonts w:ascii="Times New Roman" w:eastAsia="Times New Roman" w:hAnsi="Times New Roman" w:cs="Times New Roman"/>
                <w:color w:val="000000"/>
                <w:spacing w:val="0"/>
                <w:w w:val="100"/>
                <w:position w:val="0"/>
              </w:rPr>
              <w:t>2</w:t>
            </w:r>
            <w:r>
              <w:rPr>
                <w:color w:val="000000"/>
                <w:spacing w:val="0"/>
                <w:w w:val="100"/>
                <w:position w:val="0"/>
              </w:rPr>
              <w:t>）公司决策程序不科学， 或决策出现重大失误；（</w:t>
            </w:r>
            <w:r>
              <w:rPr>
                <w:rFonts w:ascii="Times New Roman" w:eastAsia="Times New Roman" w:hAnsi="Times New Roman" w:cs="Times New Roman"/>
                <w:color w:val="000000"/>
                <w:spacing w:val="0"/>
                <w:w w:val="100"/>
                <w:position w:val="0"/>
              </w:rPr>
              <w:t>3</w:t>
            </w:r>
            <w:r>
              <w:rPr>
                <w:color w:val="000000"/>
                <w:spacing w:val="0"/>
                <w:w w:val="100"/>
                <w:position w:val="0"/>
              </w:rPr>
              <w:t>）重要业务缺 乏制度控制或制度系统性失效；（</w:t>
            </w:r>
            <w:r>
              <w:rPr>
                <w:rFonts w:ascii="Times New Roman" w:eastAsia="Times New Roman" w:hAnsi="Times New Roman" w:cs="Times New Roman"/>
                <w:color w:val="000000"/>
                <w:spacing w:val="0"/>
                <w:w w:val="100"/>
                <w:position w:val="0"/>
              </w:rPr>
              <w:t>4</w:t>
            </w:r>
            <w:r>
              <w:rPr>
                <w:color w:val="000000"/>
                <w:spacing w:val="0"/>
                <w:w w:val="100"/>
                <w:position w:val="0"/>
              </w:rPr>
              <w:t>）关 键管理人员或重要人才严重流失；（</w:t>
            </w:r>
            <w:r>
              <w:rPr>
                <w:rFonts w:ascii="Times New Roman" w:eastAsia="Times New Roman" w:hAnsi="Times New Roman" w:cs="Times New Roman"/>
                <w:color w:val="000000"/>
                <w:spacing w:val="0"/>
                <w:w w:val="100"/>
                <w:position w:val="0"/>
              </w:rPr>
              <w:t>5</w:t>
            </w:r>
            <w:r>
              <w:rPr>
                <w:color w:val="000000"/>
                <w:spacing w:val="0"/>
                <w:w w:val="100"/>
                <w:position w:val="0"/>
              </w:rPr>
              <w:t>） 媒体负面新闻频频曝光，对公司声誉造 成重大损害，或发生严重影响社会公共 利益的事件；（</w:t>
            </w:r>
            <w:r>
              <w:rPr>
                <w:rFonts w:ascii="Times New Roman" w:eastAsia="Times New Roman" w:hAnsi="Times New Roman" w:cs="Times New Roman"/>
                <w:color w:val="000000"/>
                <w:spacing w:val="0"/>
                <w:w w:val="100"/>
                <w:position w:val="0"/>
              </w:rPr>
              <w:t>6</w:t>
            </w:r>
            <w:r>
              <w:rPr>
                <w:color w:val="000000"/>
                <w:spacing w:val="0"/>
                <w:w w:val="100"/>
                <w:position w:val="0"/>
              </w:rPr>
              <w:t>）内部控制评价的结果 特别是重大缺陷或重要缺陷未得到整 改。</w:t>
            </w:r>
            <w:r>
              <w:rPr>
                <w:rFonts w:ascii="Times New Roman" w:eastAsia="Times New Roman" w:hAnsi="Times New Roman" w:cs="Times New Roman"/>
                <w:color w:val="000000"/>
                <w:spacing w:val="0"/>
                <w:w w:val="100"/>
                <w:position w:val="0"/>
              </w:rPr>
              <w:t>2</w:t>
            </w:r>
            <w:r>
              <w:rPr>
                <w:color w:val="000000"/>
                <w:spacing w:val="0"/>
                <w:w w:val="100"/>
                <w:position w:val="0"/>
              </w:rPr>
              <w:t>、重要缺陷的认定标准：（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）重 要业务制度控制或系统存在缺陷；（</w:t>
            </w:r>
            <w:r>
              <w:rPr>
                <w:rFonts w:ascii="Times New Roman" w:eastAsia="Times New Roman" w:hAnsi="Times New Roman" w:cs="Times New Roman"/>
                <w:color w:val="000000"/>
                <w:spacing w:val="0"/>
                <w:w w:val="100"/>
                <w:position w:val="0"/>
              </w:rPr>
              <w:t>2</w:t>
            </w:r>
            <w:r>
              <w:rPr>
                <w:color w:val="000000"/>
                <w:spacing w:val="0"/>
                <w:w w:val="100"/>
                <w:position w:val="0"/>
              </w:rPr>
              <w:t>） 公司违反国家法律、法规、规章、政府 政策等，导致政府或监管机构的调查， 并被处以罚款或罚金；（</w:t>
            </w:r>
            <w:r>
              <w:rPr>
                <w:rFonts w:ascii="Times New Roman" w:eastAsia="Times New Roman" w:hAnsi="Times New Roman" w:cs="Times New Roman"/>
                <w:color w:val="000000"/>
                <w:spacing w:val="0"/>
                <w:w w:val="100"/>
                <w:position w:val="0"/>
              </w:rPr>
              <w:t>3</w:t>
            </w:r>
            <w:r>
              <w:rPr>
                <w:color w:val="000000"/>
                <w:spacing w:val="0"/>
                <w:w w:val="100"/>
                <w:position w:val="0"/>
              </w:rPr>
              <w:t>）关键岗位业 务人员流失严重；（</w:t>
            </w:r>
            <w:r>
              <w:rPr>
                <w:rFonts w:ascii="Times New Roman" w:eastAsia="Times New Roman" w:hAnsi="Times New Roman" w:cs="Times New Roman"/>
                <w:color w:val="000000"/>
                <w:spacing w:val="0"/>
                <w:w w:val="100"/>
                <w:position w:val="0"/>
              </w:rPr>
              <w:t>4</w:t>
            </w:r>
            <w:r>
              <w:rPr>
                <w:color w:val="000000"/>
                <w:spacing w:val="0"/>
                <w:w w:val="100"/>
                <w:position w:val="0"/>
              </w:rPr>
              <w:t>）媒体出现负面新 闻，波及局部区域。</w:t>
            </w:r>
            <w:r>
              <w:rPr>
                <w:rFonts w:ascii="Times New Roman" w:eastAsia="Times New Roman" w:hAnsi="Times New Roman" w:cs="Times New Roman"/>
                <w:color w:val="000000"/>
                <w:spacing w:val="0"/>
                <w:w w:val="100"/>
                <w:position w:val="0"/>
              </w:rPr>
              <w:t>3</w:t>
            </w:r>
            <w:r>
              <w:rPr>
                <w:color w:val="000000"/>
                <w:spacing w:val="0"/>
                <w:w w:val="100"/>
                <w:position w:val="0"/>
              </w:rPr>
              <w:t>、一般缺陷的认 定标准：（</w:t>
            </w:r>
            <w:r>
              <w:rPr>
                <w:rFonts w:ascii="Times New Roman" w:eastAsia="Times New Roman" w:hAnsi="Times New Roman" w:cs="Times New Roman"/>
                <w:color w:val="000000"/>
                <w:spacing w:val="0"/>
                <w:w w:val="100"/>
                <w:position w:val="0"/>
              </w:rPr>
              <w:t>1</w:t>
            </w:r>
            <w:r>
              <w:rPr>
                <w:color w:val="000000"/>
                <w:spacing w:val="0"/>
                <w:w w:val="100"/>
                <w:position w:val="0"/>
              </w:rPr>
              <w:t>）违反企业内部规章，但未 形成损失；（</w:t>
            </w:r>
            <w:r>
              <w:rPr>
                <w:rFonts w:ascii="Times New Roman" w:eastAsia="Times New Roman" w:hAnsi="Times New Roman" w:cs="Times New Roman"/>
                <w:color w:val="000000"/>
                <w:spacing w:val="0"/>
                <w:w w:val="100"/>
                <w:position w:val="0"/>
              </w:rPr>
              <w:t>2</w:t>
            </w:r>
            <w:r>
              <w:rPr>
                <w:color w:val="000000"/>
                <w:spacing w:val="0"/>
                <w:w w:val="100"/>
                <w:position w:val="0"/>
              </w:rPr>
              <w:t>） 一般业务制度或系统存 在缺陷；（</w:t>
            </w:r>
            <w:r>
              <w:rPr>
                <w:rFonts w:ascii="Times New Roman" w:eastAsia="Times New Roman" w:hAnsi="Times New Roman" w:cs="Times New Roman"/>
                <w:color w:val="000000"/>
                <w:spacing w:val="0"/>
                <w:w w:val="100"/>
                <w:position w:val="0"/>
              </w:rPr>
              <w:t>3</w:t>
            </w:r>
            <w:r>
              <w:rPr>
                <w:color w:val="000000"/>
                <w:spacing w:val="0"/>
                <w:w w:val="100"/>
                <w:position w:val="0"/>
              </w:rPr>
              <w:t>）公司一般缺陷未得到整改。</w:t>
            </w:r>
          </w:p>
        </w:tc>
      </w:tr>
      <w:tr>
        <w:trPr>
          <w:trHeight w:val="22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公司本着是否直接影响财务报告的原则， 以最近一个会计年度合并报告数据为基 数，确定的财务报告错报重要程度的定量 标准：</w:t>
            </w:r>
            <w:r>
              <w:rPr>
                <w:rFonts w:ascii="Times New Roman" w:eastAsia="Times New Roman" w:hAnsi="Times New Roman" w:cs="Times New Roman"/>
                <w:color w:val="000000"/>
                <w:spacing w:val="0"/>
                <w:w w:val="100"/>
                <w:position w:val="0"/>
              </w:rPr>
              <w:t>1</w:t>
            </w:r>
            <w:r>
              <w:rPr>
                <w:color w:val="000000"/>
                <w:spacing w:val="0"/>
                <w:w w:val="100"/>
                <w:position w:val="0"/>
              </w:rPr>
              <w:t>、资产总额错报额。（</w:t>
            </w:r>
            <w:r>
              <w:rPr>
                <w:rFonts w:ascii="Times New Roman" w:eastAsia="Times New Roman" w:hAnsi="Times New Roman" w:cs="Times New Roman"/>
                <w:color w:val="000000"/>
                <w:spacing w:val="0"/>
                <w:w w:val="100"/>
                <w:position w:val="0"/>
              </w:rPr>
              <w:t>1</w:t>
            </w:r>
            <w:r>
              <w:rPr>
                <w:color w:val="000000"/>
                <w:spacing w:val="0"/>
                <w:w w:val="100"/>
                <w:position w:val="0"/>
              </w:rPr>
              <w:t xml:space="preserve">）重大缺陷： </w:t>
            </w:r>
            <w:r>
              <w:rPr>
                <w:rFonts w:ascii="Times New Roman" w:eastAsia="Times New Roman" w:hAnsi="Times New Roman" w:cs="Times New Roman"/>
                <w:color w:val="000000"/>
                <w:spacing w:val="0"/>
                <w:w w:val="100"/>
                <w:position w:val="0"/>
              </w:rPr>
              <w:t>＞1%</w:t>
            </w:r>
            <w:r>
              <w:rPr>
                <w:color w:val="000000"/>
                <w:spacing w:val="0"/>
                <w:w w:val="100"/>
                <w:position w:val="0"/>
              </w:rPr>
              <w:t>资产总额；（</w:t>
            </w:r>
            <w:r>
              <w:rPr>
                <w:rFonts w:ascii="Times New Roman" w:eastAsia="Times New Roman" w:hAnsi="Times New Roman" w:cs="Times New Roman"/>
                <w:color w:val="000000"/>
                <w:spacing w:val="0"/>
                <w:w w:val="100"/>
                <w:position w:val="0"/>
              </w:rPr>
              <w:t>2</w:t>
            </w:r>
            <w:r>
              <w:rPr>
                <w:color w:val="000000"/>
                <w:spacing w:val="0"/>
                <w:w w:val="100"/>
                <w:position w:val="0"/>
              </w:rPr>
              <w:t>）重要缺陷：</w:t>
            </w:r>
            <w:r>
              <w:rPr>
                <w:rFonts w:ascii="Times New Roman" w:eastAsia="Times New Roman" w:hAnsi="Times New Roman" w:cs="Times New Roman"/>
                <w:color w:val="000000"/>
                <w:spacing w:val="0"/>
                <w:w w:val="100"/>
                <w:position w:val="0"/>
              </w:rPr>
              <w:t>0.5%</w:t>
            </w:r>
            <w:r>
              <w:rPr>
                <w:color w:val="000000"/>
                <w:spacing w:val="0"/>
                <w:w w:val="100"/>
                <w:position w:val="0"/>
              </w:rPr>
              <w:t>资产 总额</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1%</w:t>
            </w:r>
            <w:r>
              <w:rPr>
                <w:color w:val="000000"/>
                <w:spacing w:val="0"/>
                <w:w w:val="100"/>
                <w:position w:val="0"/>
              </w:rPr>
              <w:t>资产总额；（</w:t>
            </w:r>
            <w:r>
              <w:rPr>
                <w:rFonts w:ascii="Times New Roman" w:eastAsia="Times New Roman" w:hAnsi="Times New Roman" w:cs="Times New Roman"/>
                <w:color w:val="000000"/>
                <w:spacing w:val="0"/>
                <w:w w:val="100"/>
                <w:position w:val="0"/>
              </w:rPr>
              <w:t>3</w:t>
            </w:r>
            <w:r>
              <w:rPr>
                <w:color w:val="000000"/>
                <w:spacing w:val="0"/>
                <w:w w:val="100"/>
                <w:position w:val="0"/>
              </w:rPr>
              <w:t>） 一般缺陷： ＜</w:t>
            </w:r>
            <w:r>
              <w:rPr>
                <w:rFonts w:ascii="Times New Roman" w:eastAsia="Times New Roman" w:hAnsi="Times New Roman" w:cs="Times New Roman"/>
                <w:color w:val="000000"/>
                <w:spacing w:val="0"/>
                <w:w w:val="100"/>
                <w:position w:val="0"/>
              </w:rPr>
              <w:t>0.5%</w:t>
            </w:r>
            <w:r>
              <w:rPr>
                <w:color w:val="000000"/>
                <w:spacing w:val="0"/>
                <w:w w:val="100"/>
                <w:position w:val="0"/>
              </w:rPr>
              <w:t>资产总额。</w:t>
            </w:r>
            <w:r>
              <w:rPr>
                <w:rFonts w:ascii="Times New Roman" w:eastAsia="Times New Roman" w:hAnsi="Times New Roman" w:cs="Times New Roman"/>
                <w:color w:val="000000"/>
                <w:spacing w:val="0"/>
                <w:w w:val="100"/>
                <w:position w:val="0"/>
              </w:rPr>
              <w:t>2</w:t>
            </w:r>
            <w:r>
              <w:rPr>
                <w:color w:val="000000"/>
                <w:spacing w:val="0"/>
                <w:w w:val="100"/>
                <w:position w:val="0"/>
              </w:rPr>
              <w:t>、营业收入错报额。（</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1450" w:val="left"/>
              </w:tabs>
              <w:bidi w:val="0"/>
              <w:spacing w:before="0" w:after="0" w:line="309" w:lineRule="exact"/>
              <w:ind w:left="0" w:right="0" w:firstLine="0"/>
              <w:jc w:val="both"/>
            </w:pPr>
            <w:r>
              <w:rPr>
                <w:color w:val="000000"/>
                <w:spacing w:val="0"/>
                <w:w w:val="100"/>
                <w:position w:val="0"/>
              </w:rPr>
              <w:t>主要根据缺陷可能造成直接财产损失 的绝对金额确定：</w:t>
            </w:r>
            <w:r>
              <w:rPr>
                <w:rFonts w:ascii="Times New Roman" w:eastAsia="Times New Roman" w:hAnsi="Times New Roman" w:cs="Times New Roman"/>
                <w:color w:val="000000"/>
                <w:spacing w:val="0"/>
                <w:w w:val="100"/>
                <w:position w:val="0"/>
              </w:rPr>
              <w:t>1</w:t>
            </w:r>
            <w:r>
              <w:rPr>
                <w:color w:val="000000"/>
                <w:spacing w:val="0"/>
                <w:w w:val="100"/>
                <w:position w:val="0"/>
              </w:rPr>
              <w:t>、重大缺陷：损失 金额</w:t>
            </w:r>
            <w:r>
              <w:rPr>
                <w:rFonts w:ascii="Times New Roman" w:eastAsia="Times New Roman" w:hAnsi="Times New Roman" w:cs="Times New Roman"/>
                <w:color w:val="000000"/>
                <w:spacing w:val="0"/>
                <w:w w:val="100"/>
                <w:position w:val="0"/>
              </w:rPr>
              <w:t>＞</w:t>
            </w:r>
            <w:r>
              <w:rPr>
                <w:color w:val="000000"/>
                <w:spacing w:val="0"/>
                <w:w w:val="100"/>
                <w:position w:val="0"/>
              </w:rPr>
              <w:t>净资产</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、重要缺陷：净资</w:t>
            </w:r>
          </w:p>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产</w:t>
            </w:r>
            <w:r>
              <w:rPr>
                <w:rFonts w:ascii="Times New Roman" w:eastAsia="Times New Roman" w:hAnsi="Times New Roman" w:cs="Times New Roman"/>
                <w:color w:val="000000"/>
                <w:spacing w:val="0"/>
                <w:w w:val="100"/>
                <w:position w:val="0"/>
              </w:rPr>
              <w:t>0.5%^</w:t>
            </w:r>
            <w:r>
              <w:rPr>
                <w:color w:val="000000"/>
                <w:spacing w:val="0"/>
                <w:w w:val="100"/>
                <w:position w:val="0"/>
              </w:rPr>
              <w:t>损失金额＜净资产</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、一 般缺陷：损失金额＜净资产</w:t>
            </w:r>
            <w:r>
              <w:rPr>
                <w:rFonts w:ascii="Times New Roman" w:eastAsia="Times New Roman" w:hAnsi="Times New Roman" w:cs="Times New Roman"/>
                <w:color w:val="000000"/>
                <w:spacing w:val="0"/>
                <w:w w:val="100"/>
                <w:position w:val="0"/>
              </w:rPr>
              <w:t>0.5%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＞3%</w:t>
            </w:r>
            <w:r>
              <w:rPr>
                <w:color w:val="000000"/>
                <w:spacing w:val="0"/>
                <w:w w:val="100"/>
                <w:position w:val="0"/>
              </w:rPr>
              <w:t>营业收入；（</w:t>
            </w:r>
            <w:r>
              <w:rPr>
                <w:rFonts w:ascii="Times New Roman" w:eastAsia="Times New Roman" w:hAnsi="Times New Roman" w:cs="Times New Roman"/>
                <w:color w:val="000000"/>
                <w:spacing w:val="0"/>
                <w:w w:val="100"/>
                <w:position w:val="0"/>
              </w:rPr>
              <w:t>2</w:t>
            </w:r>
            <w:r>
              <w:rPr>
                <w:color w:val="000000"/>
                <w:spacing w:val="0"/>
                <w:w w:val="100"/>
                <w:position w:val="0"/>
              </w:rPr>
              <w:t xml:space="preserve">）重要缺陷： </w:t>
            </w: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3%</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 一 般缺陷：＜</w:t>
            </w: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、利润总额错 报额。（</w:t>
            </w: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＞10%</w:t>
            </w:r>
            <w:r>
              <w:rPr>
                <w:color w:val="000000"/>
                <w:spacing w:val="0"/>
                <w:w w:val="100"/>
                <w:position w:val="0"/>
              </w:rPr>
              <w:t>利润总额；（</w:t>
            </w:r>
            <w:r>
              <w:rPr>
                <w:rFonts w:ascii="Times New Roman" w:eastAsia="Times New Roman" w:hAnsi="Times New Roman" w:cs="Times New Roman"/>
                <w:color w:val="000000"/>
                <w:spacing w:val="0"/>
                <w:w w:val="100"/>
                <w:position w:val="0"/>
              </w:rPr>
              <w:t>2</w:t>
            </w:r>
            <w:r>
              <w:rPr>
                <w:color w:val="000000"/>
                <w:spacing w:val="0"/>
                <w:w w:val="100"/>
                <w:position w:val="0"/>
              </w:rPr>
              <w:t>） 重要缺陷：</w:t>
            </w:r>
            <w:r>
              <w:rPr>
                <w:rFonts w:ascii="Times New Roman" w:eastAsia="Times New Roman" w:hAnsi="Times New Roman" w:cs="Times New Roman"/>
                <w:color w:val="000000"/>
                <w:spacing w:val="0"/>
                <w:w w:val="100"/>
                <w:position w:val="0"/>
              </w:rPr>
              <w:t>5%</w:t>
            </w:r>
            <w:r>
              <w:rPr>
                <w:color w:val="000000"/>
                <w:spacing w:val="0"/>
                <w:w w:val="100"/>
                <w:position w:val="0"/>
              </w:rPr>
              <w:t>利润总额</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10%</w:t>
            </w:r>
            <w:r>
              <w:rPr>
                <w:color w:val="000000"/>
                <w:spacing w:val="0"/>
                <w:w w:val="100"/>
                <w:position w:val="0"/>
              </w:rPr>
              <w:t>利润 总额；（</w:t>
            </w:r>
            <w:r>
              <w:rPr>
                <w:rFonts w:ascii="Times New Roman" w:eastAsia="Times New Roman" w:hAnsi="Times New Roman" w:cs="Times New Roman"/>
                <w:color w:val="000000"/>
                <w:spacing w:val="0"/>
                <w:w w:val="100"/>
                <w:position w:val="0"/>
              </w:rPr>
              <w:t>3</w:t>
            </w:r>
            <w:r>
              <w:rPr>
                <w:color w:val="000000"/>
                <w:spacing w:val="0"/>
                <w:w w:val="100"/>
                <w:position w:val="0"/>
              </w:rPr>
              <w:t>） 一般缺陷：＜</w:t>
            </w:r>
            <w:r>
              <w:rPr>
                <w:rFonts w:ascii="Times New Roman" w:eastAsia="Times New Roman" w:hAnsi="Times New Roman" w:cs="Times New Roman"/>
                <w:color w:val="000000"/>
                <w:spacing w:val="0"/>
                <w:w w:val="100"/>
                <w:position w:val="0"/>
              </w:rPr>
              <w:t>5%</w:t>
            </w:r>
            <w:r>
              <w:rPr>
                <w:color w:val="000000"/>
                <w:spacing w:val="0"/>
                <w:w w:val="100"/>
                <w:position w:val="0"/>
              </w:rPr>
              <w:t>利润总额。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、内部控制审计报告或鉴证报告</w:t>
      </w:r>
      <w:bookmarkEnd w:id="407"/>
      <w:bookmarkEnd w:id="408"/>
      <w:bookmarkEnd w:id="410"/>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我们认为，博思软件公司按照《企业内部控制基本规范》和相关规定于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 报表相关的有效的内部控制。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公司于巨潮资讯网（</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）披露的《内部控制鉴证报告》。</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会计师事务所是否出具非标准意见的内部控制鉴证报告</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会计师事务所出具的内部控制鉴证报告与董事会的自我评价报告意见是否一致</w:t>
      </w:r>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十七、上市公司治理专项行动自查问题整改情况</w:t>
      </w:r>
      <w:bookmarkEnd w:id="411"/>
      <w:bookmarkEnd w:id="412"/>
      <w:bookmarkEnd w:id="413"/>
    </w:p>
    <w:p>
      <w:pPr>
        <w:pStyle w:val="Style2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根据国务院《关于进一步提高上市公司质量的意见》（国发〔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号）、《关于开展福建辖区上市公司治理专项行 动的通知》的要求，结合相关法律法规及规章制度，公司对上市公司基本情况、组织机构的运行和决策、控股股东、实际控 制人及关联方、内部控制规范体系建设、信息披露与透明度、机构</w:t>
      </w:r>
      <w:r>
        <w:rPr>
          <w:rFonts w:ascii="Times New Roman" w:eastAsia="Times New Roman" w:hAnsi="Times New Roman" w:cs="Times New Roman"/>
          <w:color w:val="000000"/>
          <w:spacing w:val="0"/>
          <w:w w:val="100"/>
          <w:position w:val="0"/>
        </w:rPr>
        <w:t>/</w:t>
      </w:r>
      <w:r>
        <w:rPr>
          <w:color w:val="000000"/>
          <w:spacing w:val="0"/>
          <w:w w:val="100"/>
          <w:position w:val="0"/>
        </w:rPr>
        <w:t>境外投资者、其他问题等七个重点模块进行逐个梳理， 深入自查。</w:t>
      </w:r>
    </w:p>
    <w:p>
      <w:pPr>
        <w:pStyle w:val="Style22"/>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经公司自查，公司不存在影响公司治理水平的重大违规事项，不存在损害公司及全体股东利益的重大违规情形。公司已 经按照《公司法》、《证券法》、《上市公司治理准则》等相关法律法规建立健全了较为完整、合理的法人治理结构及内部 控制体系，公司一直高度重视并不断完善治理结构、提高治理水平、健全内控规范体系，确保公司科学决策，稳健经营，规 范发展，进一步提高上市公司质量。</w:t>
      </w:r>
    </w:p>
    <w:p>
      <w:pPr>
        <w:pStyle w:val="Style12"/>
        <w:keepNext/>
        <w:keepLines/>
        <w:widowControl w:val="0"/>
        <w:shd w:val="clear" w:color="auto" w:fill="auto"/>
        <w:bidi w:val="0"/>
        <w:spacing w:before="0" w:after="520" w:line="240" w:lineRule="auto"/>
        <w:ind w:left="0" w:right="0" w:firstLine="0"/>
        <w:jc w:val="center"/>
      </w:pPr>
      <w:bookmarkStart w:id="414" w:name="bookmark414"/>
      <w:bookmarkStart w:id="415" w:name="bookmark415"/>
      <w:bookmarkStart w:id="416" w:name="bookmark416"/>
      <w:r>
        <w:rPr>
          <w:color w:val="000000"/>
          <w:spacing w:val="0"/>
          <w:w w:val="100"/>
          <w:position w:val="0"/>
        </w:rPr>
        <w:t>第五节环境和社会责任</w:t>
      </w:r>
      <w:bookmarkEnd w:id="414"/>
      <w:bookmarkEnd w:id="415"/>
      <w:bookmarkEnd w:id="416"/>
    </w:p>
    <w:p>
      <w:pPr>
        <w:pStyle w:val="Style27"/>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bookmarkStart w:id="421" w:name="bookmark421"/>
      <w:r>
        <w:rPr>
          <w:color w:val="000000"/>
          <w:spacing w:val="0"/>
          <w:w w:val="100"/>
          <w:position w:val="0"/>
          <w:sz w:val="24"/>
          <w:szCs w:val="24"/>
        </w:rPr>
        <w:t>一</w:t>
      </w:r>
      <w:bookmarkEnd w:id="420"/>
      <w:r>
        <w:rPr>
          <w:color w:val="000000"/>
          <w:spacing w:val="0"/>
          <w:w w:val="100"/>
          <w:position w:val="0"/>
          <w:sz w:val="24"/>
          <w:szCs w:val="24"/>
        </w:rPr>
        <w:t>、重大环保问题</w:t>
      </w:r>
      <w:bookmarkEnd w:id="418"/>
      <w:bookmarkEnd w:id="419"/>
      <w:bookmarkEnd w:id="421"/>
      <w:bookmarkEnd w:id="41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公司及子公司不属于环境保护部门公布的重点排污单位。</w:t>
      </w:r>
    </w:p>
    <w:p>
      <w:pPr>
        <w:pStyle w:val="Style22"/>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2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公司及子公司均不属于环境保护部门公布的重点排污单位。</w:t>
      </w:r>
    </w:p>
    <w:p>
      <w:pPr>
        <w:pStyle w:val="Style27"/>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二</w:t>
      </w:r>
      <w:bookmarkEnd w:id="424"/>
      <w:r>
        <w:rPr>
          <w:color w:val="000000"/>
          <w:spacing w:val="0"/>
          <w:w w:val="100"/>
          <w:position w:val="0"/>
          <w:sz w:val="24"/>
          <w:szCs w:val="24"/>
        </w:rPr>
        <w:t>、社会责任情况</w:t>
      </w:r>
      <w:bookmarkEnd w:id="422"/>
      <w:bookmarkEnd w:id="423"/>
      <w:bookmarkEnd w:id="425"/>
    </w:p>
    <w:p>
      <w:pPr>
        <w:pStyle w:val="Style22"/>
        <w:keepNext w:val="0"/>
        <w:keepLines w:val="0"/>
        <w:widowControl w:val="0"/>
        <w:shd w:val="clear" w:color="auto" w:fill="auto"/>
        <w:tabs>
          <w:tab w:pos="825" w:val="left"/>
        </w:tabs>
        <w:bidi w:val="0"/>
        <w:spacing w:before="0" w:after="0" w:line="313" w:lineRule="exact"/>
        <w:ind w:left="0" w:right="0"/>
        <w:jc w:val="left"/>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w:t>
        <w:tab/>
        <w:t>公司履行社会责任的宗旨和理念</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公司始终坚持以</w:t>
      </w:r>
      <w:r>
        <w:rPr>
          <w:rFonts w:ascii="Times New Roman" w:eastAsia="Times New Roman" w:hAnsi="Times New Roman" w:cs="Times New Roman"/>
          <w:color w:val="000000"/>
          <w:spacing w:val="0"/>
          <w:w w:val="100"/>
          <w:position w:val="0"/>
        </w:rPr>
        <w:t>“</w:t>
      </w:r>
      <w:r>
        <w:rPr>
          <w:color w:val="000000"/>
          <w:spacing w:val="0"/>
          <w:w w:val="100"/>
          <w:position w:val="0"/>
        </w:rPr>
        <w:t>客户第一、利他思维、持续进取、同创共享</w:t>
      </w:r>
      <w:r>
        <w:rPr>
          <w:rFonts w:ascii="Times New Roman" w:eastAsia="Times New Roman" w:hAnsi="Times New Roman" w:cs="Times New Roman"/>
          <w:color w:val="000000"/>
          <w:spacing w:val="0"/>
          <w:w w:val="100"/>
          <w:position w:val="0"/>
        </w:rPr>
        <w:t>”</w:t>
      </w:r>
      <w:r>
        <w:rPr>
          <w:color w:val="000000"/>
          <w:spacing w:val="0"/>
          <w:w w:val="100"/>
          <w:position w:val="0"/>
        </w:rPr>
        <w:t>为企业宗旨。公司在经营过程中对履行社会责任高度重视， 并且全面贯彻落实</w:t>
      </w:r>
      <w:r>
        <w:rPr>
          <w:rFonts w:ascii="Times New Roman" w:eastAsia="Times New Roman" w:hAnsi="Times New Roman" w:cs="Times New Roman"/>
          <w:color w:val="000000"/>
          <w:spacing w:val="0"/>
          <w:w w:val="100"/>
          <w:position w:val="0"/>
        </w:rPr>
        <w:t>“</w:t>
      </w:r>
      <w:r>
        <w:rPr>
          <w:color w:val="000000"/>
          <w:spacing w:val="0"/>
          <w:w w:val="100"/>
          <w:position w:val="0"/>
        </w:rPr>
        <w:t>履行社会责任</w:t>
      </w:r>
      <w:r>
        <w:rPr>
          <w:rFonts w:ascii="Times New Roman" w:eastAsia="Times New Roman" w:hAnsi="Times New Roman" w:cs="Times New Roman"/>
          <w:color w:val="000000"/>
          <w:spacing w:val="0"/>
          <w:w w:val="100"/>
          <w:position w:val="0"/>
        </w:rPr>
        <w:t>”</w:t>
      </w:r>
      <w:r>
        <w:rPr>
          <w:color w:val="000000"/>
          <w:spacing w:val="0"/>
          <w:w w:val="100"/>
          <w:position w:val="0"/>
        </w:rPr>
        <w:t>的根本思想，时刻关注股东和债权人权益保护、员工权益保护、供应商、客户和消费者权 益保护、公共关系、社会公益事业等社会责任的履行情况。</w:t>
      </w:r>
    </w:p>
    <w:p>
      <w:pPr>
        <w:pStyle w:val="Style22"/>
        <w:keepNext w:val="0"/>
        <w:keepLines w:val="0"/>
        <w:widowControl w:val="0"/>
        <w:shd w:val="clear" w:color="auto" w:fill="auto"/>
        <w:tabs>
          <w:tab w:pos="825" w:val="left"/>
        </w:tabs>
        <w:bidi w:val="0"/>
        <w:spacing w:before="0" w:after="0" w:line="313" w:lineRule="exact"/>
        <w:ind w:left="0" w:right="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股东和债权人权益保护</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公司严格按照《公司法》《证券法》《上市公司治理准则》和《深圳证券交易所股票上市规则》等法律法规以及《公司 章程》的要求，建立健全公司内部控制体系，优化公司治理结构，不断提升公司治理水平。公司一直致力于追求信息披露的 真实性、全面性、及时性和充分性；公司通过深交所互动易等互动平台、接待调研、派专人高质量回复投资者热线电话等方 式与广大投资者进行互动、交流，加深投资者对公司的了解和认同，促进公司与投资者之间长期、健康、稳定的关系，提升 公司形象，实现公司价值和股东利益最大化。公司严格依照法律法规关于上市公司利润分配的规定，在兼顾公司可持续发展 的情况下，制定并实施了合理的利润分配方案，坚持与股东共同分享公司的生产经营成果。在践行股东权益保护的同时，公 司严格控制经营过程中的财务风险，保障债权人权益。</w:t>
      </w:r>
    </w:p>
    <w:p>
      <w:pPr>
        <w:pStyle w:val="Style22"/>
        <w:keepNext w:val="0"/>
        <w:keepLines w:val="0"/>
        <w:widowControl w:val="0"/>
        <w:shd w:val="clear" w:color="auto" w:fill="auto"/>
        <w:tabs>
          <w:tab w:pos="825" w:val="left"/>
        </w:tabs>
        <w:bidi w:val="0"/>
        <w:spacing w:before="0" w:after="0" w:line="313" w:lineRule="exact"/>
        <w:ind w:left="0" w:right="0"/>
        <w:jc w:val="left"/>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rPr>
        <w:t>3</w:t>
      </w:r>
      <w:r>
        <w:rPr>
          <w:color w:val="000000"/>
          <w:spacing w:val="0"/>
          <w:w w:val="100"/>
          <w:position w:val="0"/>
        </w:rPr>
        <w:t>）</w:t>
        <w:tab/>
        <w:t>职工权益保护</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公司认真贯彻执行《劳动法》《劳动合同法》等相关法律法规，尊重员工，维护和保障员工的各项合法权益。公司把员 工发展放在重要位置，以鼓励员工在公司长期发展。公司将人才作为推动企业发展的第一要素，同时公司制定了多项股权激 励计划，将</w:t>
      </w:r>
      <w:r>
        <w:rPr>
          <w:rFonts w:ascii="Times New Roman" w:eastAsia="Times New Roman" w:hAnsi="Times New Roman" w:cs="Times New Roman"/>
          <w:color w:val="000000"/>
          <w:spacing w:val="0"/>
          <w:w w:val="100"/>
          <w:position w:val="0"/>
        </w:rPr>
        <w:t>“</w:t>
      </w:r>
      <w:r>
        <w:rPr>
          <w:color w:val="000000"/>
          <w:spacing w:val="0"/>
          <w:w w:val="100"/>
          <w:position w:val="0"/>
        </w:rPr>
        <w:t>同创共享</w:t>
      </w:r>
      <w:r>
        <w:rPr>
          <w:rFonts w:ascii="Times New Roman" w:eastAsia="Times New Roman" w:hAnsi="Times New Roman" w:cs="Times New Roman"/>
          <w:color w:val="000000"/>
          <w:spacing w:val="0"/>
          <w:w w:val="100"/>
          <w:position w:val="0"/>
        </w:rPr>
        <w:t>”</w:t>
      </w:r>
      <w:r>
        <w:rPr>
          <w:color w:val="000000"/>
          <w:spacing w:val="0"/>
          <w:w w:val="100"/>
          <w:position w:val="0"/>
        </w:rPr>
        <w:t>的企业宗旨贯彻到职工权益保护中，与公司员工共享公司生产经营成果，并将企业发展战略与员工职 业生涯规划有机结合，最大限度保护员工的权益，构建和谐的劳动关系。</w:t>
      </w:r>
    </w:p>
    <w:p>
      <w:pPr>
        <w:pStyle w:val="Style22"/>
        <w:keepNext w:val="0"/>
        <w:keepLines w:val="0"/>
        <w:widowControl w:val="0"/>
        <w:shd w:val="clear" w:color="auto" w:fill="auto"/>
        <w:tabs>
          <w:tab w:pos="825" w:val="left"/>
        </w:tabs>
        <w:bidi w:val="0"/>
        <w:spacing w:before="0" w:after="0" w:line="313" w:lineRule="exact"/>
        <w:ind w:left="0" w:right="0"/>
        <w:jc w:val="both"/>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rPr>
        <w:t>4</w:t>
      </w:r>
      <w:r>
        <w:rPr>
          <w:color w:val="000000"/>
          <w:spacing w:val="0"/>
          <w:w w:val="100"/>
          <w:position w:val="0"/>
        </w:rPr>
        <w:t>）</w:t>
        <w:tab/>
        <w:t>供应商、客户权益保护</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公司一直秉承</w:t>
      </w:r>
      <w:r>
        <w:rPr>
          <w:rFonts w:ascii="Times New Roman" w:eastAsia="Times New Roman" w:hAnsi="Times New Roman" w:cs="Times New Roman"/>
          <w:color w:val="000000"/>
          <w:spacing w:val="0"/>
          <w:w w:val="100"/>
          <w:position w:val="0"/>
        </w:rPr>
        <w:t>“</w:t>
      </w:r>
      <w:r>
        <w:rPr>
          <w:color w:val="000000"/>
          <w:spacing w:val="0"/>
          <w:w w:val="100"/>
          <w:position w:val="0"/>
        </w:rPr>
        <w:t>客户第一</w:t>
      </w:r>
      <w:r>
        <w:rPr>
          <w:rFonts w:ascii="Times New Roman" w:eastAsia="Times New Roman" w:hAnsi="Times New Roman" w:cs="Times New Roman"/>
          <w:color w:val="000000"/>
          <w:spacing w:val="0"/>
          <w:w w:val="100"/>
          <w:position w:val="0"/>
        </w:rPr>
        <w:t>”</w:t>
      </w:r>
      <w:r>
        <w:rPr>
          <w:color w:val="000000"/>
          <w:spacing w:val="0"/>
          <w:w w:val="100"/>
          <w:position w:val="0"/>
        </w:rPr>
        <w:t xml:space="preserve">的原则，在经营管理过程中不断加强与客户的沟通与合作，充分了解客户需求，将客户需求融 入产品开发过程中，致力于为客户创造出高价值的产品。同时，公司形成了完善的售后服务制度，第一时间解决客户问题。 公司尊重并保护供应商的合法权益，从而建立良好的合作伙伴关系。公司积极构建与供应商、客户的互利共赢关系并严格履 </w:t>
      </w:r>
      <w:r>
        <w:rPr>
          <w:color w:val="000000"/>
          <w:spacing w:val="0"/>
          <w:w w:val="100"/>
          <w:position w:val="0"/>
        </w:rPr>
        <w:t>行与供应商、客户间签订的协议。</w:t>
      </w:r>
    </w:p>
    <w:p>
      <w:pPr>
        <w:pStyle w:val="Style22"/>
        <w:keepNext w:val="0"/>
        <w:keepLines w:val="0"/>
        <w:widowControl w:val="0"/>
        <w:shd w:val="clear" w:color="auto" w:fill="auto"/>
        <w:bidi w:val="0"/>
        <w:spacing w:before="0" w:after="0" w:line="312" w:lineRule="exact"/>
        <w:ind w:left="0" w:right="0"/>
        <w:jc w:val="left"/>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rPr>
        <w:t>5</w:t>
      </w:r>
      <w:r>
        <w:rPr>
          <w:color w:val="000000"/>
          <w:spacing w:val="0"/>
          <w:w w:val="100"/>
          <w:position w:val="0"/>
        </w:rPr>
        <w:t>）其他社会责任</w:t>
      </w:r>
    </w:p>
    <w:p>
      <w:pPr>
        <w:pStyle w:val="Style22"/>
        <w:keepNext w:val="0"/>
        <w:keepLines w:val="0"/>
        <w:widowControl w:val="0"/>
        <w:shd w:val="clear" w:color="auto" w:fill="auto"/>
        <w:bidi w:val="0"/>
        <w:spacing w:before="0" w:after="360" w:line="312" w:lineRule="exact"/>
        <w:ind w:left="0" w:right="0"/>
        <w:jc w:val="left"/>
      </w:pPr>
      <w:r>
        <w:rPr>
          <w:color w:val="000000"/>
          <w:spacing w:val="0"/>
          <w:w w:val="100"/>
          <w:position w:val="0"/>
        </w:rPr>
        <w:t>公司诚信经营，遵纪守法，积极履行纳税义务，增加国家财政收入；公司根据自身需求，面向社会公开招聘员工，促进 就业；公司创新服务于公众的软件产品，涉及财政票据领域、医疗电子票据领域、智慧城市领域等，积极为公众创造价值。</w:t>
      </w:r>
    </w:p>
    <w:p>
      <w:pPr>
        <w:pStyle w:val="Style27"/>
        <w:keepNext/>
        <w:keepLines/>
        <w:widowControl w:val="0"/>
        <w:shd w:val="clear" w:color="auto" w:fill="auto"/>
        <w:bidi w:val="0"/>
        <w:spacing w:before="0" w:after="2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三</w:t>
      </w:r>
      <w:bookmarkEnd w:id="433"/>
      <w:r>
        <w:rPr>
          <w:color w:val="000000"/>
          <w:spacing w:val="0"/>
          <w:w w:val="100"/>
          <w:position w:val="0"/>
          <w:sz w:val="24"/>
          <w:szCs w:val="24"/>
        </w:rPr>
        <w:t>、巩固拓展脱贫攻坚成果、乡村振兴的情况</w:t>
      </w:r>
      <w:bookmarkEnd w:id="431"/>
      <w:bookmarkEnd w:id="432"/>
      <w:bookmarkEnd w:id="434"/>
    </w:p>
    <w:p>
      <w:pPr>
        <w:pStyle w:val="Style22"/>
        <w:keepNext w:val="0"/>
        <w:keepLines w:val="0"/>
        <w:widowControl w:val="0"/>
        <w:shd w:val="clear" w:color="auto" w:fill="auto"/>
        <w:bidi w:val="0"/>
        <w:spacing w:before="0" w:after="260" w:line="312" w:lineRule="exact"/>
        <w:ind w:left="0" w:right="0" w:firstLine="0"/>
        <w:jc w:val="left"/>
      </w:pPr>
      <w:r>
        <w:rPr>
          <w:color w:val="000000"/>
          <w:spacing w:val="0"/>
          <w:w w:val="100"/>
          <w:position w:val="0"/>
        </w:rPr>
        <w:t>不适用</w:t>
      </w:r>
      <w:r>
        <w:br w:type="page"/>
      </w:r>
    </w:p>
    <w:p>
      <w:pPr>
        <w:pStyle w:val="Style12"/>
        <w:keepNext/>
        <w:keepLines/>
        <w:widowControl w:val="0"/>
        <w:shd w:val="clear" w:color="auto" w:fill="auto"/>
        <w:bidi w:val="0"/>
        <w:spacing w:before="0" w:after="520" w:line="240" w:lineRule="auto"/>
        <w:ind w:left="0" w:right="0" w:firstLine="0"/>
        <w:jc w:val="center"/>
      </w:pPr>
      <w:bookmarkStart w:id="435" w:name="bookmark435"/>
      <w:bookmarkStart w:id="436" w:name="bookmark436"/>
      <w:bookmarkStart w:id="437" w:name="bookmark437"/>
      <w:r>
        <w:rPr>
          <w:color w:val="000000"/>
          <w:spacing w:val="0"/>
          <w:w w:val="100"/>
          <w:position w:val="0"/>
        </w:rPr>
        <w:t>第六节重要事项</w:t>
      </w:r>
      <w:bookmarkEnd w:id="435"/>
      <w:bookmarkEnd w:id="436"/>
      <w:bookmarkEnd w:id="437"/>
    </w:p>
    <w:p>
      <w:pPr>
        <w:pStyle w:val="Style27"/>
        <w:keepNext/>
        <w:keepLines/>
        <w:widowControl w:val="0"/>
        <w:shd w:val="clear" w:color="auto" w:fill="auto"/>
        <w:bidi w:val="0"/>
        <w:spacing w:before="0" w:after="280" w:line="240" w:lineRule="auto"/>
        <w:ind w:left="0" w:right="0" w:firstLine="0"/>
        <w:jc w:val="both"/>
      </w:pPr>
      <w:bookmarkStart w:id="438" w:name="bookmark438"/>
      <w:bookmarkStart w:id="439" w:name="bookmark439"/>
      <w:bookmarkStart w:id="440" w:name="bookmark440"/>
      <w:bookmarkStart w:id="441" w:name="bookmark441"/>
      <w:bookmarkStart w:id="442" w:name="bookmark442"/>
      <w:r>
        <w:rPr>
          <w:color w:val="000000"/>
          <w:spacing w:val="0"/>
          <w:w w:val="100"/>
          <w:position w:val="0"/>
          <w:sz w:val="24"/>
          <w:szCs w:val="24"/>
        </w:rPr>
        <w:t>一</w:t>
      </w:r>
      <w:bookmarkEnd w:id="441"/>
      <w:r>
        <w:rPr>
          <w:color w:val="000000"/>
          <w:spacing w:val="0"/>
          <w:w w:val="100"/>
          <w:position w:val="0"/>
          <w:sz w:val="24"/>
          <w:szCs w:val="24"/>
        </w:rPr>
        <w:t>、承诺事项履行情况</w:t>
      </w:r>
      <w:bookmarkEnd w:id="439"/>
      <w:bookmarkEnd w:id="440"/>
      <w:bookmarkEnd w:id="442"/>
      <w:bookmarkEnd w:id="438"/>
    </w:p>
    <w:p>
      <w:pPr>
        <w:pStyle w:val="Style33"/>
        <w:keepNext/>
        <w:keepLines/>
        <w:widowControl w:val="0"/>
        <w:shd w:val="clear" w:color="auto" w:fill="auto"/>
        <w:bidi w:val="0"/>
        <w:spacing w:before="0" w:line="317" w:lineRule="exact"/>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、公司实际控制人、股东、关联方、收购人以及公司等承诺相关方在报告期内履行完毕及截至报告期末 尚未履行完毕的承诺事项</w:t>
      </w:r>
      <w:bookmarkEnd w:id="443"/>
      <w:bookmarkEnd w:id="444"/>
      <w:bookmarkEnd w:id="44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710"/>
        <w:gridCol w:w="850"/>
        <w:gridCol w:w="4675"/>
        <w:gridCol w:w="854"/>
        <w:gridCol w:w="850"/>
        <w:gridCol w:w="7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资产重组</w:t>
            </w:r>
          </w:p>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时所作承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钟伟锋</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）。作为广东瑞联的股东，本人与博思软件就本次 重组进行可行性研究时，采取了必要的保密措施。本人在参 与制订、论证本次重组等相关环节严格遵守了保密义务。本 人就本次重组相关内幕信息承诺如下：本人在与博思软件的 初步磋商阶段及本次重组过程中，不存在泄露本次重组内幕 信息以及利用本次重组信息进行内幕交易的情形，如本人违 反上述承诺，将承担因此给博思软件及其股东造成的损失。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477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）。作为广东瑞联的股东，本企业与博思软件就本 次重组进行可行性研究时，采取了必要的保密措施。本企业 相关人员在参与制订、论证本次重组等相关环节严格遵守了 保密义务。本企业就本次重组相关内幕信息承诺如下：本企 业在与博思软件的初步磋商阶段及本次重组过程中，不存在 泄露本次重组内幕信息以及利用本次重组信息进行内幕交 易的情形，如本企业违反上述承诺，将承担因此给博思软件 及其股东造成的损失。本企业不存在依据《关于加强与上市 公司重大资产重组相关股票异常交易监管的暂行规定》第十 三条不得参与任何上述公司重大资产重组的以下情形：</w:t>
            </w:r>
            <w:r>
              <w:rPr>
                <w:rFonts w:ascii="Times New Roman" w:eastAsia="Times New Roman" w:hAnsi="Times New Roman" w:cs="Times New Roman"/>
                <w:color w:val="000000"/>
                <w:spacing w:val="0"/>
                <w:w w:val="100"/>
                <w:position w:val="0"/>
              </w:rPr>
              <w:t>1</w:t>
            </w:r>
            <w:r>
              <w:rPr>
                <w:color w:val="000000"/>
                <w:spacing w:val="0"/>
                <w:w w:val="100"/>
                <w:position w:val="0"/>
              </w:rPr>
              <w:t xml:space="preserve">、 因涉嫌本次重组相关的内幕交易被立案调查或者立案侦查； </w:t>
            </w:r>
            <w:r>
              <w:rPr>
                <w:rFonts w:ascii="Times New Roman" w:eastAsia="Times New Roman" w:hAnsi="Times New Roman" w:cs="Times New Roman"/>
                <w:color w:val="000000"/>
                <w:spacing w:val="0"/>
                <w:w w:val="100"/>
                <w:position w:val="0"/>
              </w:rPr>
              <w:t>2</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个月被中国证券监督管理委员会作出行政处罚或 者司法机关依法追究刑事责任。如因违反上述承诺给博思软 件或投资者造成损失的，本单位将依法承担全部赔偿责任。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钟伟锋</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）。针对本次重组，本人现承诺如下：本人最近五 年的诚信情况良好，不存在未按期偿还大额债务、未履行承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诺、被中国证监会采取行政监管措施或受到证券交易所纪律 处分，或者因涉嫌犯罪被司法机关立案侦查或者涉嫌违法违 规被中国证监会立案调查、尚未有明确结论意见等情况。如 因违反上述承诺给博思软件或投资者造成损失的，本人将依 法承担全部赔偿责任。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本公司及主要管理人员最近五年不存在未按期偿还大额债 务、未履行承诺、被中国证监会采取行政监管措施或收到证 券交易所纪律处分的情况。本公司最近五年未受到工商、税 务等政府部门的行政处罚，且不存在其他不良记录。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针对本次重组，本人</w:t>
            </w:r>
            <w:r>
              <w:rPr>
                <w:rFonts w:ascii="Times New Roman" w:eastAsia="Times New Roman" w:hAnsi="Times New Roman" w:cs="Times New Roman"/>
                <w:color w:val="000000"/>
                <w:spacing w:val="0"/>
                <w:w w:val="100"/>
                <w:position w:val="0"/>
              </w:rPr>
              <w:t>/</w:t>
            </w:r>
            <w:r>
              <w:rPr>
                <w:color w:val="000000"/>
                <w:spacing w:val="0"/>
                <w:w w:val="100"/>
                <w:position w:val="0"/>
              </w:rPr>
              <w:t>本单位作为广东瑞联的股 东现声明如下：本人</w:t>
            </w:r>
            <w:r>
              <w:rPr>
                <w:rFonts w:ascii="Times New Roman" w:eastAsia="Times New Roman" w:hAnsi="Times New Roman" w:cs="Times New Roman"/>
                <w:color w:val="000000"/>
                <w:spacing w:val="0"/>
                <w:w w:val="100"/>
                <w:position w:val="0"/>
              </w:rPr>
              <w:t>/</w:t>
            </w:r>
            <w:r>
              <w:rPr>
                <w:color w:val="000000"/>
                <w:spacing w:val="0"/>
                <w:w w:val="100"/>
                <w:position w:val="0"/>
              </w:rPr>
              <w:t>本单位不存在依据《关于加强与上市 公司重大资产重组相关股票异常交易监管的暂行规定》第十 三条不得参与任何上市公司重大资产重组的以下情形：</w:t>
            </w:r>
            <w:r>
              <w:rPr>
                <w:rFonts w:ascii="Times New Roman" w:eastAsia="Times New Roman" w:hAnsi="Times New Roman" w:cs="Times New Roman"/>
                <w:color w:val="000000"/>
                <w:spacing w:val="0"/>
                <w:w w:val="100"/>
                <w:position w:val="0"/>
              </w:rPr>
              <w:t>1</w:t>
            </w:r>
            <w:r>
              <w:rPr>
                <w:color w:val="000000"/>
                <w:spacing w:val="0"/>
                <w:w w:val="100"/>
                <w:position w:val="0"/>
              </w:rPr>
              <w:t xml:space="preserve">、 因涉嫌本次重组相关的内幕交易被立案调查或者立案侦查； </w:t>
            </w:r>
            <w:r>
              <w:rPr>
                <w:rFonts w:ascii="Times New Roman" w:eastAsia="Times New Roman" w:hAnsi="Times New Roman" w:cs="Times New Roman"/>
                <w:color w:val="000000"/>
                <w:spacing w:val="0"/>
                <w:w w:val="100"/>
                <w:position w:val="0"/>
              </w:rPr>
              <w:t>2</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个月被中国证券监督管理委员会作出行政处罚或 者司法机关依法追究刑事责任。如因违反上述承诺给博思软 件或投资者造成损失的，本人</w:t>
            </w:r>
            <w:r>
              <w:rPr>
                <w:rFonts w:ascii="Times New Roman" w:eastAsia="Times New Roman" w:hAnsi="Times New Roman" w:cs="Times New Roman"/>
                <w:color w:val="000000"/>
                <w:spacing w:val="0"/>
                <w:w w:val="100"/>
                <w:position w:val="0"/>
              </w:rPr>
              <w:t>/</w:t>
            </w:r>
            <w:r>
              <w:rPr>
                <w:color w:val="000000"/>
                <w:spacing w:val="0"/>
                <w:w w:val="100"/>
                <w:position w:val="0"/>
              </w:rPr>
              <w:t>本单位将依法承担全部赔偿 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）。针对本次重组，本单位作为广东瑞联的股东现 承诺如下：截至本承诺函出具之日，本单位及主要管理人员 自设立之日起未受过行政处罚、刑事处罚，或者与经济纠纷 有关的重大民事诉讼或者仲裁事项。如因违反上述承诺给博 思软件或投资者造成损失的，本单位将依法承担全部赔偿责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钟伟锋</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 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，本人作为本次交易的交易对方，特出具 承诺如下：截至本承诺出具之日，本人未直接、间接或委托 他人代为持有博思软件股权，本人与博思软件持股</w:t>
            </w:r>
            <w:r>
              <w:rPr>
                <w:rFonts w:ascii="Times New Roman" w:eastAsia="Times New Roman" w:hAnsi="Times New Roman" w:cs="Times New Roman"/>
                <w:color w:val="000000"/>
                <w:spacing w:val="0"/>
                <w:w w:val="100"/>
                <w:position w:val="0"/>
              </w:rPr>
              <w:t>5%</w:t>
            </w:r>
            <w:r>
              <w:rPr>
                <w:color w:val="000000"/>
                <w:spacing w:val="0"/>
                <w:w w:val="100"/>
                <w:position w:val="0"/>
              </w:rPr>
              <w:t>及以 上的股东不存在关联关系，本人未担任博思软件的董事、监 事或高级管理人员，亦未向博思软件推荐董事、监事或高级 管理人员。本人与博思软件不存在关联关系如违反上述承 诺，本人将赔偿因此给博思软件及其投资人、中介机构造成 的损失。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钟伟锋</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）。针对本次重组，本人作为广东瑞联的股东现承 诺如下：</w:t>
            </w:r>
            <w:r>
              <w:rPr>
                <w:rFonts w:ascii="Times New Roman" w:eastAsia="Times New Roman" w:hAnsi="Times New Roman" w:cs="Times New Roman"/>
                <w:color w:val="000000"/>
                <w:spacing w:val="0"/>
                <w:w w:val="100"/>
                <w:position w:val="0"/>
              </w:rPr>
              <w:t>1</w:t>
            </w:r>
            <w:r>
              <w:rPr>
                <w:color w:val="000000"/>
                <w:spacing w:val="0"/>
                <w:w w:val="100"/>
                <w:position w:val="0"/>
              </w:rPr>
              <w:t>、本人最近五年内不存在受到行政处罚、刑事处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罚、或者涉及与经济纠纷有关的重大民事诉讼或者仲裁的情 况。</w:t>
            </w:r>
            <w:r>
              <w:rPr>
                <w:rFonts w:ascii="Times New Roman" w:eastAsia="Times New Roman" w:hAnsi="Times New Roman" w:cs="Times New Roman"/>
                <w:color w:val="000000"/>
                <w:spacing w:val="0"/>
                <w:w w:val="100"/>
                <w:position w:val="0"/>
              </w:rPr>
              <w:t>2</w:t>
            </w:r>
            <w:r>
              <w:rPr>
                <w:color w:val="000000"/>
                <w:spacing w:val="0"/>
                <w:w w:val="100"/>
                <w:position w:val="0"/>
              </w:rPr>
              <w:t>、本人最近五年的诚信情况良好，不存在未按期偿还 大额债务、未履行承诺、被中国证监会采取行政监管措施或 受到证券交易所纪律处分，或者因涉嫌犯罪被司法机关立案 侦查或者涉嫌违法违规被中国证监会立案调查、尚未有明确 结论意见等情况。如因违反上述承诺给博思软件或投资者造 成损失的，本人将依法承担全部赔偿责任。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本次重组前，上市公司独立于本人，本次重组完成后，本人 将继续保持上市公司的独立性，在业务、资产、人员、财务、 机构上遵循五分开原则，遵守中国证监会有关规定，不利用 上市公司违规提供担保，不占用上市公司资金，不与上市公 司形成同业竞争。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福建博 思软件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本公司已向中介机构提供了出具本次重组相关的披露文件 所需的全部事实材料、批准文件、证书和其他有关文件，本 公司提供的所有文件均真实、合法、有效、完整，并无任何 虚假记载、误导性陈述或重大遗漏，文件上所有的签名、印 鉴均为真实，所有的复印件或副本均与原件或正本完全一 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刘洋</w:t>
            </w:r>
            <w:r>
              <w:rPr>
                <w:rFonts w:ascii="Times New Roman" w:eastAsia="Times New Roman" w:hAnsi="Times New Roman" w:cs="Times New Roman"/>
                <w:color w:val="000000"/>
                <w:spacing w:val="0"/>
                <w:w w:val="100"/>
                <w:position w:val="0"/>
              </w:rPr>
              <w:t>;</w:t>
            </w:r>
            <w:r>
              <w:rPr>
                <w:color w:val="000000"/>
                <w:spacing w:val="0"/>
                <w:w w:val="100"/>
                <w:position w:val="0"/>
              </w:rPr>
              <w:t>同 致信德</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 资产评 估有限 公司涨 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同致信德（北京）资产评估有限公司作为博思软件本次重大 资产购买的资产评估机构，本公司及经办资产评估师承诺： 本公司（本人）出具的《福建博思软件股份有限公司拟股权 收购涉及的广东瑞联科技有限公司的股东全部权益价值资 产评估报告》和其他有关文件不存在虚假记载、误导性陈述 或重大遗漏，并对其真实性、准确性和完整性承担相应的法 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福建华 兴会计 师事务 所（特殊 普通合 伙）</w:t>
            </w:r>
            <w:r>
              <w:rPr>
                <w:color w:val="000000"/>
                <w:spacing w:val="0"/>
                <w:w w:val="100"/>
                <w:position w:val="0"/>
              </w:rPr>
              <w:t>；</w:t>
            </w:r>
            <w:r>
              <w:rPr>
                <w:color w:val="000000"/>
                <w:spacing w:val="0"/>
                <w:w w:val="100"/>
                <w:position w:val="0"/>
              </w:rPr>
              <w:t>桂 后圆</w:t>
            </w:r>
            <w:r>
              <w:rPr>
                <w:rFonts w:ascii="Times New Roman" w:eastAsia="Times New Roman" w:hAnsi="Times New Roman" w:cs="Times New Roman"/>
                <w:color w:val="000000"/>
                <w:spacing w:val="0"/>
                <w:w w:val="100"/>
                <w:position w:val="0"/>
              </w:rPr>
              <w:t>;</w:t>
            </w:r>
            <w:r>
              <w:rPr>
                <w:color w:val="000000"/>
                <w:spacing w:val="0"/>
                <w:w w:val="100"/>
                <w:position w:val="0"/>
              </w:rPr>
              <w:t>郑 丽惠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福建华兴会计师事务所（特殊普通合伙）作为博思软件本次 重大资产购买的审计机构，本所及经办注册会计师承诺：本 所（本人）出具的审计报告和其他有关文件不存在虚假记载、 误导性陈述或重大遗漏，并对其真实性、准确性和完整性承 担相应的法律责任。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北京市 中伦律 师事务 所</w:t>
            </w:r>
            <w:r>
              <w:rPr>
                <w:rFonts w:ascii="Times New Roman" w:eastAsia="Times New Roman" w:hAnsi="Times New Roman" w:cs="Times New Roman"/>
                <w:color w:val="000000"/>
                <w:spacing w:val="0"/>
                <w:w w:val="100"/>
                <w:position w:val="0"/>
              </w:rPr>
              <w:t>;</w:t>
            </w:r>
            <w:r>
              <w:rPr>
                <w:color w:val="000000"/>
                <w:spacing w:val="0"/>
                <w:w w:val="100"/>
                <w:position w:val="0"/>
              </w:rPr>
              <w:t>都伟</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刘佳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北京市中伦律师事务所作为博思软件本次重大资产购买的 法律顾问，本所及经办律师承诺：本所（本人）出具的《关 于福建博思软件股份有限公司重大资产购买之法律意见书》 和其他有关文件不存在虚假记载、误导性陈述或重大遗漏， 并对其真实性、准确性和完整性承担相应的法律责任。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国金证 券股份 有限公 司</w:t>
            </w:r>
            <w:r>
              <w:rPr>
                <w:rFonts w:ascii="Times New Roman" w:eastAsia="Times New Roman" w:hAnsi="Times New Roman" w:cs="Times New Roman"/>
                <w:color w:val="000000"/>
                <w:spacing w:val="0"/>
                <w:w w:val="100"/>
                <w:position w:val="0"/>
              </w:rPr>
              <w:t>;</w:t>
            </w:r>
            <w:r>
              <w:rPr>
                <w:color w:val="000000"/>
                <w:spacing w:val="0"/>
                <w:w w:val="100"/>
                <w:position w:val="0"/>
              </w:rPr>
              <w:t>洪燕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国金证券股份有限公司作为博思软件本次重大资产购买的 独立财务顾问，本公司及经办人员承诺：本公司（本人</w:t>
            </w:r>
            <w:r>
              <w:rPr>
                <w:rFonts w:ascii="Times New Roman" w:eastAsia="Times New Roman" w:hAnsi="Times New Roman" w:cs="Times New Roman"/>
                <w:color w:val="000000"/>
                <w:spacing w:val="0"/>
                <w:w w:val="100"/>
                <w:position w:val="0"/>
              </w:rPr>
              <w:t>）</w:t>
            </w:r>
            <w:r>
              <w:rPr>
                <w:color w:val="000000"/>
                <w:spacing w:val="0"/>
                <w:w w:val="100"/>
                <w:position w:val="0"/>
              </w:rPr>
              <w:t>出 具的《国金证券股份有限公司关于福建博思软件股份有限公 司重大资产购买之独立财务顾问报告》和其他有关文件不存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秋</w:t>
            </w:r>
            <w:r>
              <w:rPr>
                <w:rFonts w:ascii="Times New Roman" w:eastAsia="Times New Roman" w:hAnsi="Times New Roman" w:cs="Times New Roman"/>
                <w:color w:val="000000"/>
                <w:spacing w:val="0"/>
                <w:w w:val="100"/>
                <w:position w:val="0"/>
              </w:rPr>
              <w:t>;</w:t>
            </w:r>
            <w:r>
              <w:rPr>
                <w:color w:val="000000"/>
                <w:spacing w:val="0"/>
                <w:w w:val="100"/>
                <w:position w:val="0"/>
              </w:rPr>
              <w:t>严雷</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郑珺文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在虚假记载、误导性陈述或重大遗漏，并对其真实性、准确 性和完整性承担相应的法律责任。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钟勇锋、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钟伟锋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 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本企业作为本次重组的交易对方， 声明如下：本人</w:t>
            </w:r>
            <w:r>
              <w:rPr>
                <w:rFonts w:ascii="Times New Roman" w:eastAsia="Times New Roman" w:hAnsi="Times New Roman" w:cs="Times New Roman"/>
                <w:color w:val="000000"/>
                <w:spacing w:val="0"/>
                <w:w w:val="100"/>
                <w:position w:val="0"/>
              </w:rPr>
              <w:t>/</w:t>
            </w:r>
            <w:r>
              <w:rPr>
                <w:color w:val="000000"/>
                <w:spacing w:val="0"/>
                <w:w w:val="100"/>
                <w:position w:val="0"/>
              </w:rPr>
              <w:t>本企业放弃本次重组广东瑞联其他股东出 售广东瑞联股权的优先购买权。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 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本企业作为本次重组的交易对方， 声明如下：本人</w:t>
            </w:r>
            <w:r>
              <w:rPr>
                <w:rFonts w:ascii="Times New Roman" w:eastAsia="Times New Roman" w:hAnsi="Times New Roman" w:cs="Times New Roman"/>
                <w:color w:val="000000"/>
                <w:spacing w:val="0"/>
                <w:w w:val="100"/>
                <w:position w:val="0"/>
              </w:rPr>
              <w:t>/</w:t>
            </w:r>
            <w:r>
              <w:rPr>
                <w:color w:val="000000"/>
                <w:spacing w:val="0"/>
                <w:w w:val="100"/>
                <w:position w:val="0"/>
              </w:rPr>
              <w:t>本企业放弃本次重组广东瑞联其他股东出 售广东瑞联股权的优先购买权。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本人向中介机构提供了出具本次重组相关的披露文件所需 的全部事实材料、批准文件、证书和其他有关文件，本人提 供的所有文件均真实、合法、有效、完整，并无任何虚假记 载、误导性陈述或重大遗漏，文件上所有的签名、印鉴均为 真实，所有的复印件或副本均与原件或正本完全一致。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 晶</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林宏</w:t>
            </w:r>
            <w:r>
              <w:rPr>
                <w:rFonts w:ascii="Times New Roman" w:eastAsia="Times New Roman" w:hAnsi="Times New Roman" w:cs="Times New Roman"/>
                <w:color w:val="000000"/>
                <w:spacing w:val="0"/>
                <w:w w:val="100"/>
                <w:position w:val="0"/>
              </w:rPr>
              <w:t xml:space="preserve">; </w:t>
            </w:r>
            <w:r>
              <w:rPr>
                <w:color w:val="000000"/>
                <w:spacing w:val="0"/>
                <w:w w:val="100"/>
                <w:position w:val="0"/>
              </w:rPr>
              <w:t>刘少华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罗妙成</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毛时敏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王敏</w:t>
            </w:r>
            <w:r>
              <w:rPr>
                <w:rFonts w:ascii="Times New Roman" w:eastAsia="Times New Roman" w:hAnsi="Times New Roman" w:cs="Times New Roman"/>
                <w:color w:val="000000"/>
                <w:spacing w:val="0"/>
                <w:w w:val="100"/>
                <w:position w:val="0"/>
              </w:rPr>
              <w:t>;</w:t>
            </w:r>
            <w:r>
              <w:rPr>
                <w:color w:val="000000"/>
                <w:spacing w:val="0"/>
                <w:w w:val="100"/>
                <w:position w:val="0"/>
              </w:rPr>
              <w:t>王 素珍</w:t>
            </w:r>
            <w:r>
              <w:rPr>
                <w:rFonts w:ascii="Times New Roman" w:eastAsia="Times New Roman" w:hAnsi="Times New Roman" w:cs="Times New Roman"/>
                <w:color w:val="000000"/>
                <w:spacing w:val="0"/>
                <w:w w:val="100"/>
                <w:position w:val="0"/>
              </w:rPr>
              <w:t>;</w:t>
            </w:r>
            <w:r>
              <w:rPr>
                <w:color w:val="000000"/>
                <w:spacing w:val="0"/>
                <w:w w:val="100"/>
                <w:position w:val="0"/>
              </w:rPr>
              <w:t>温 长煌</w:t>
            </w:r>
            <w:r>
              <w:rPr>
                <w:rFonts w:ascii="Times New Roman" w:eastAsia="Times New Roman" w:hAnsi="Times New Roman" w:cs="Times New Roman"/>
                <w:color w:val="000000"/>
                <w:spacing w:val="0"/>
                <w:w w:val="100"/>
                <w:position w:val="0"/>
              </w:rPr>
              <w:t>;</w:t>
            </w:r>
            <w:r>
              <w:rPr>
                <w:color w:val="000000"/>
                <w:spacing w:val="0"/>
                <w:w w:val="100"/>
                <w:position w:val="0"/>
              </w:rPr>
              <w:t>肖 勇</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张梅</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张奇</w:t>
            </w:r>
            <w:r>
              <w:rPr>
                <w:rFonts w:ascii="Times New Roman" w:eastAsia="Times New Roman" w:hAnsi="Times New Roman" w:cs="Times New Roman"/>
                <w:color w:val="000000"/>
                <w:spacing w:val="0"/>
                <w:w w:val="100"/>
                <w:position w:val="0"/>
              </w:rPr>
              <w:t>;</w:t>
            </w:r>
            <w:r>
              <w:rPr>
                <w:color w:val="000000"/>
                <w:spacing w:val="0"/>
                <w:w w:val="100"/>
                <w:position w:val="0"/>
              </w:rPr>
              <w:t>郑 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博思软件董事、监事和高级管理人员承诺，保证博思软件本 次重大资产重组的信息披露和相关申请文件不存在虚假记 载、误导性陈述或重大遗漏，并对其真实性、准确性和完整 性承担相应的法律责任。如本次交易因涉嫌所提供或者披露 的信息存在虚假记载、误导性陈述或者重大遗漏，被司法机 关立案侦查或者被中国证监会立案调查的，在案件调查结论 明确之前，将暂停转让其在该上市公司拥有权益的股份。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股权（以下简称</w:t>
            </w:r>
            <w:r>
              <w:rPr>
                <w:rFonts w:ascii="Times New Roman" w:eastAsia="Times New Roman" w:hAnsi="Times New Roman" w:cs="Times New Roman"/>
                <w:color w:val="000000"/>
                <w:spacing w:val="0"/>
                <w:w w:val="100"/>
                <w:position w:val="0"/>
              </w:rPr>
              <w:t>"</w:t>
            </w:r>
            <w:r>
              <w:rPr>
                <w:color w:val="000000"/>
                <w:spacing w:val="0"/>
                <w:w w:val="100"/>
                <w:position w:val="0"/>
              </w:rPr>
              <w:t>本 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）。针对本次重组，本单位克拉玛依昆仑嘉能创业投 资基金合伙企业（有限合伙）持有广东瑞联</w:t>
            </w:r>
            <w:r>
              <w:rPr>
                <w:rFonts w:ascii="Times New Roman" w:eastAsia="Times New Roman" w:hAnsi="Times New Roman" w:cs="Times New Roman"/>
                <w:color w:val="000000"/>
                <w:spacing w:val="0"/>
                <w:w w:val="100"/>
                <w:position w:val="0"/>
              </w:rPr>
              <w:t>35.00%</w:t>
            </w:r>
            <w:r>
              <w:rPr>
                <w:color w:val="000000"/>
                <w:spacing w:val="0"/>
                <w:w w:val="100"/>
                <w:position w:val="0"/>
              </w:rPr>
              <w:t>的股权 （以下简称''标的股权</w:t>
            </w:r>
            <w:r>
              <w:rPr>
                <w:rFonts w:ascii="Times New Roman" w:eastAsia="Times New Roman" w:hAnsi="Times New Roman" w:cs="Times New Roman"/>
                <w:color w:val="000000"/>
                <w:spacing w:val="0"/>
                <w:w w:val="100"/>
                <w:position w:val="0"/>
              </w:rPr>
              <w:t>"</w:t>
            </w:r>
            <w:r>
              <w:rPr>
                <w:color w:val="000000"/>
                <w:spacing w:val="0"/>
                <w:w w:val="100"/>
                <w:position w:val="0"/>
              </w:rPr>
              <w:t>），现作为本次交易的交易对方承诺 如下：</w:t>
            </w:r>
            <w:r>
              <w:rPr>
                <w:rFonts w:ascii="Times New Roman" w:eastAsia="Times New Roman" w:hAnsi="Times New Roman" w:cs="Times New Roman"/>
                <w:color w:val="000000"/>
                <w:spacing w:val="0"/>
                <w:w w:val="100"/>
                <w:position w:val="0"/>
              </w:rPr>
              <w:t>1</w:t>
            </w:r>
            <w:r>
              <w:rPr>
                <w:color w:val="000000"/>
                <w:spacing w:val="0"/>
                <w:w w:val="100"/>
                <w:position w:val="0"/>
              </w:rPr>
              <w:t>、本单位历次对广东瑞联的现金出资或受让股权均 为真实行为，且出资或受让的资金均为本单位自有资金，资 金来源合法，不存在利用广东瑞联资金或者从第三方借款、 占款进行出资、受让的情形；本单位对标的股权享有的权益 具有合法性和完整性，该标的股权不存在被限制或者被禁止 转让的情形。</w:t>
            </w:r>
            <w:r>
              <w:rPr>
                <w:rFonts w:ascii="Times New Roman" w:eastAsia="Times New Roman" w:hAnsi="Times New Roman" w:cs="Times New Roman"/>
                <w:color w:val="000000"/>
                <w:spacing w:val="0"/>
                <w:w w:val="100"/>
                <w:position w:val="0"/>
              </w:rPr>
              <w:t>2</w:t>
            </w:r>
            <w:r>
              <w:rPr>
                <w:color w:val="000000"/>
                <w:spacing w:val="0"/>
                <w:w w:val="100"/>
                <w:position w:val="0"/>
              </w:rPr>
              <w:t>、本单位持有的广东瑞联股权归本单位所有，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权属清晰；不存在通过协议、信托或任何其他方式代他人持 有广东瑞联股权的情形，所持有的广东瑞联股权不涉及任何 争议、仲裁或诉讼；不存在因任何担保、判决、裁决或其他 原因而限制股东权利行使之情形；</w:t>
            </w:r>
            <w:r>
              <w:rPr>
                <w:rFonts w:ascii="Times New Roman" w:eastAsia="Times New Roman" w:hAnsi="Times New Roman" w:cs="Times New Roman"/>
                <w:color w:val="000000"/>
                <w:spacing w:val="0"/>
                <w:w w:val="100"/>
                <w:position w:val="0"/>
              </w:rPr>
              <w:t>3</w:t>
            </w:r>
            <w:r>
              <w:rPr>
                <w:color w:val="000000"/>
                <w:spacing w:val="0"/>
                <w:w w:val="100"/>
                <w:position w:val="0"/>
              </w:rPr>
              <w:t>、本单位与本次交易的 其他交易对方不存在关联关系，亦不存在通过协议、其他安 排与广东瑞联其他股东存在一致行动的情况，能独立行使股 东权利，承担股东义务，本单位持有的广东瑞联股权均不存 在被质押、冻结等限制性情形；</w:t>
            </w:r>
            <w:r>
              <w:rPr>
                <w:rFonts w:ascii="Times New Roman" w:eastAsia="Times New Roman" w:hAnsi="Times New Roman" w:cs="Times New Roman"/>
                <w:color w:val="000000"/>
                <w:spacing w:val="0"/>
                <w:w w:val="100"/>
                <w:position w:val="0"/>
              </w:rPr>
              <w:t>4</w:t>
            </w:r>
            <w:r>
              <w:rPr>
                <w:color w:val="000000"/>
                <w:spacing w:val="0"/>
                <w:w w:val="100"/>
                <w:position w:val="0"/>
              </w:rPr>
              <w:t>、本承诺自签署之日起生 效，生效后即构成对本单位有约束力的法律文件。如违反本 承诺，本单位愿意承担法律责任。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钟伟锋、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本人历次对广东瑞联的现金出资或受让股权均为真实行 为，且出资或受让的资金均为本人自有资金，资金来源合法， 不存在利用广东瑞联资金或者从第三方借款、占款进行出 资、受让的情形；本人对标的股权享有的权益具有合法性和 完整性。该标的股权不存在被限制或者被禁止转让的情形。</w:t>
            </w:r>
          </w:p>
          <w:p>
            <w:pPr>
              <w:pStyle w:val="Style24"/>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本人持有的广东瑞联股权归本人所有，权属清晰；不存 在通过协议、信托或任何其他方式代他人持有广东瑞联股权 的情形，所持有的广东瑞联股权不涉及任何争议、仲裁或诉 讼；不存在因任何担保、判决、裁决或其他原因而限制股东 权利行使之情形；</w:t>
            </w:r>
            <w:r>
              <w:rPr>
                <w:rFonts w:ascii="Times New Roman" w:eastAsia="Times New Roman" w:hAnsi="Times New Roman" w:cs="Times New Roman"/>
                <w:color w:val="000000"/>
                <w:spacing w:val="0"/>
                <w:w w:val="100"/>
                <w:position w:val="0"/>
              </w:rPr>
              <w:t>3</w:t>
            </w:r>
            <w:r>
              <w:rPr>
                <w:color w:val="000000"/>
                <w:spacing w:val="0"/>
                <w:w w:val="100"/>
                <w:position w:val="0"/>
              </w:rPr>
              <w:t>、本人与钟勇锋</w:t>
            </w:r>
            <w:r>
              <w:rPr>
                <w:rFonts w:ascii="Times New Roman" w:eastAsia="Times New Roman" w:hAnsi="Times New Roman" w:cs="Times New Roman"/>
                <w:color w:val="000000"/>
                <w:spacing w:val="0"/>
                <w:w w:val="100"/>
                <w:position w:val="0"/>
              </w:rPr>
              <w:t>/</w:t>
            </w:r>
            <w:r>
              <w:rPr>
                <w:color w:val="000000"/>
                <w:spacing w:val="0"/>
                <w:w w:val="100"/>
                <w:position w:val="0"/>
              </w:rPr>
              <w:t>钟伟锋系堂兄弟关系， 并互为一致行动人。除此之外，本人与本次交易的其他交易 对方不存在关联关系，亦不存在通过协议、其他安排与广东 瑞联其他股东存在一致行动的情况，能独立行使股东权利， 承担股东义务，本人持有的广东瑞联股权均不存在被质押、 冻结等限制性情形；</w:t>
            </w:r>
            <w:r>
              <w:rPr>
                <w:rFonts w:ascii="Times New Roman" w:eastAsia="Times New Roman" w:hAnsi="Times New Roman" w:cs="Times New Roman"/>
                <w:color w:val="000000"/>
                <w:spacing w:val="0"/>
                <w:w w:val="100"/>
                <w:position w:val="0"/>
              </w:rPr>
              <w:t>4</w:t>
            </w:r>
            <w:r>
              <w:rPr>
                <w:color w:val="000000"/>
                <w:spacing w:val="0"/>
                <w:w w:val="100"/>
                <w:position w:val="0"/>
              </w:rPr>
              <w:t>、本承诺自签署之日起生效，生效后 即构成对本人有约束力的法律文件。如违反本承诺，本人愿 意承担法律责任。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钟伟锋、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鉴于本人</w:t>
            </w:r>
            <w:r>
              <w:rPr>
                <w:rFonts w:ascii="Times New Roman" w:eastAsia="Times New Roman" w:hAnsi="Times New Roman" w:cs="Times New Roman"/>
                <w:color w:val="000000"/>
                <w:spacing w:val="0"/>
                <w:w w:val="100"/>
                <w:position w:val="0"/>
              </w:rPr>
              <w:t>/</w:t>
            </w:r>
            <w:r>
              <w:rPr>
                <w:color w:val="000000"/>
                <w:spacing w:val="0"/>
                <w:w w:val="100"/>
                <w:position w:val="0"/>
              </w:rPr>
              <w:t>本单位为博思软件拟以现金收购广东瑞联</w:t>
            </w:r>
            <w:r>
              <w:rPr>
                <w:rFonts w:ascii="Times New Roman" w:eastAsia="Times New Roman" w:hAnsi="Times New Roman" w:cs="Times New Roman"/>
                <w:color w:val="000000"/>
                <w:spacing w:val="0"/>
                <w:w w:val="100"/>
                <w:position w:val="0"/>
              </w:rPr>
              <w:t xml:space="preserve">78.00% </w:t>
            </w:r>
            <w:r>
              <w:rPr>
                <w:color w:val="000000"/>
                <w:spacing w:val="0"/>
                <w:w w:val="100"/>
                <w:position w:val="0"/>
              </w:rPr>
              <w:t>股权（以下简称''本次重组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中的交易对方，本人</w:t>
            </w:r>
            <w:r>
              <w:rPr>
                <w:rFonts w:ascii="Times New Roman" w:eastAsia="Times New Roman" w:hAnsi="Times New Roman" w:cs="Times New Roman"/>
                <w:color w:val="000000"/>
                <w:spacing w:val="0"/>
                <w:w w:val="100"/>
                <w:position w:val="0"/>
              </w:rPr>
              <w:t>/</w:t>
            </w:r>
            <w:r>
              <w:rPr>
                <w:color w:val="000000"/>
                <w:spacing w:val="0"/>
                <w:w w:val="100"/>
                <w:position w:val="0"/>
              </w:rPr>
              <w:t>本单位现 郑重承诺：一、将及时向博思软件提供本次重组相关信息， 并保证所提供的信息真实、准确、完整，如因提供的信息存 在虚假记载、误导性陈述或者重大遗漏，给上市公司或者投 资者造成损失的，将依法承担赔偿责任。二、如本次交易因 涉嫌所提供或者披露的信息存在虚假记载、误导性陈述或者 重大遗漏，被司法机关立案侦查或者被中国证监会立案调查 的，在案件调查结论明确之前，将暂停转让其在该上市公司 拥有权益的股份。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 基金合 伙企业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鉴于本人</w:t>
            </w:r>
            <w:r>
              <w:rPr>
                <w:rFonts w:ascii="Times New Roman" w:eastAsia="Times New Roman" w:hAnsi="Times New Roman" w:cs="Times New Roman"/>
                <w:color w:val="000000"/>
                <w:spacing w:val="0"/>
                <w:w w:val="100"/>
                <w:position w:val="0"/>
              </w:rPr>
              <w:t>/</w:t>
            </w:r>
            <w:r>
              <w:rPr>
                <w:color w:val="000000"/>
                <w:spacing w:val="0"/>
                <w:w w:val="100"/>
                <w:position w:val="0"/>
              </w:rPr>
              <w:t>本单位为博思软件拟以现金收购广东瑞联</w:t>
            </w:r>
            <w:r>
              <w:rPr>
                <w:rFonts w:ascii="Times New Roman" w:eastAsia="Times New Roman" w:hAnsi="Times New Roman" w:cs="Times New Roman"/>
                <w:color w:val="000000"/>
                <w:spacing w:val="0"/>
                <w:w w:val="100"/>
                <w:position w:val="0"/>
              </w:rPr>
              <w:t xml:space="preserve">78.00% </w:t>
            </w:r>
            <w:r>
              <w:rPr>
                <w:color w:val="000000"/>
                <w:spacing w:val="0"/>
                <w:w w:val="100"/>
                <w:position w:val="0"/>
              </w:rPr>
              <w:t>股权（以下简称''本次重组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中的交易对方，本人</w:t>
            </w:r>
            <w:r>
              <w:rPr>
                <w:rFonts w:ascii="Times New Roman" w:eastAsia="Times New Roman" w:hAnsi="Times New Roman" w:cs="Times New Roman"/>
                <w:color w:val="000000"/>
                <w:spacing w:val="0"/>
                <w:w w:val="100"/>
                <w:position w:val="0"/>
              </w:rPr>
              <w:t>/</w:t>
            </w:r>
            <w:r>
              <w:rPr>
                <w:color w:val="000000"/>
                <w:spacing w:val="0"/>
                <w:w w:val="100"/>
                <w:position w:val="0"/>
              </w:rPr>
              <w:t>本单位现 郑重承诺：一、将及时向博思软件提供本次重组相关信息， 并保证所提供的信息真实、准确、完整，如因提供的信息存 在虚假记载、误导性陈述或者重大遗漏，给上市公司或者投 资者造成损失的，将依法承担赔偿责任。二、如本次交易因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涉嫌所提供或者披露的信息存在虚假记载、误导性陈述或者 重大遗漏，被司法机关立案侦查或者被中国证监会立案调查 的，在案件调查结论明确之前，将暂停转让其在该上市公司 拥有权益的股份。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钟勇锋、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钟伟锋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 简称''本次重组</w:t>
            </w:r>
            <w:r>
              <w:rPr>
                <w:rFonts w:ascii="Times New Roman" w:eastAsia="Times New Roman" w:hAnsi="Times New Roman" w:cs="Times New Roman"/>
                <w:color w:val="000000"/>
                <w:spacing w:val="0"/>
                <w:w w:val="100"/>
                <w:position w:val="0"/>
              </w:rPr>
              <w:t>"</w:t>
            </w:r>
            <w:r>
              <w:rPr>
                <w:color w:val="000000"/>
                <w:spacing w:val="0"/>
                <w:w w:val="100"/>
                <w:position w:val="0"/>
              </w:rPr>
              <w:t>），本次重组的中介机构如下：</w:t>
            </w:r>
            <w:r>
              <w:rPr>
                <w:rFonts w:ascii="Times New Roman" w:eastAsia="Times New Roman" w:hAnsi="Times New Roman" w:cs="Times New Roman"/>
                <w:color w:val="000000"/>
                <w:spacing w:val="0"/>
                <w:w w:val="100"/>
                <w:position w:val="0"/>
              </w:rPr>
              <w:t>1</w:t>
            </w:r>
            <w:r>
              <w:rPr>
                <w:color w:val="000000"/>
                <w:spacing w:val="0"/>
                <w:w w:val="100"/>
                <w:position w:val="0"/>
              </w:rPr>
              <w:t>、国金证券 股份有限公司担任独立财务顾问。</w:t>
            </w:r>
            <w:r>
              <w:rPr>
                <w:rFonts w:ascii="Times New Roman" w:eastAsia="Times New Roman" w:hAnsi="Times New Roman" w:cs="Times New Roman"/>
                <w:color w:val="000000"/>
                <w:spacing w:val="0"/>
                <w:w w:val="100"/>
                <w:position w:val="0"/>
              </w:rPr>
              <w:t>2</w:t>
            </w:r>
            <w:r>
              <w:rPr>
                <w:color w:val="000000"/>
                <w:spacing w:val="0"/>
                <w:w w:val="100"/>
                <w:position w:val="0"/>
              </w:rPr>
              <w:t>、福建华兴会计师事务 所（特殊普通合伙）担任审计机构。</w:t>
            </w:r>
            <w:r>
              <w:rPr>
                <w:rFonts w:ascii="Times New Roman" w:eastAsia="Times New Roman" w:hAnsi="Times New Roman" w:cs="Times New Roman"/>
                <w:color w:val="000000"/>
                <w:spacing w:val="0"/>
                <w:w w:val="100"/>
                <w:position w:val="0"/>
              </w:rPr>
              <w:t>3</w:t>
            </w:r>
            <w:r>
              <w:rPr>
                <w:color w:val="000000"/>
                <w:spacing w:val="0"/>
                <w:w w:val="100"/>
                <w:position w:val="0"/>
              </w:rPr>
              <w:t>、北京市中伦律师事 务所担任法律顾问。</w:t>
            </w:r>
            <w:r>
              <w:rPr>
                <w:rFonts w:ascii="Times New Roman" w:eastAsia="Times New Roman" w:hAnsi="Times New Roman" w:cs="Times New Roman"/>
                <w:color w:val="000000"/>
                <w:spacing w:val="0"/>
                <w:w w:val="100"/>
                <w:position w:val="0"/>
              </w:rPr>
              <w:t>4</w:t>
            </w:r>
            <w:r>
              <w:rPr>
                <w:color w:val="000000"/>
                <w:spacing w:val="0"/>
                <w:w w:val="100"/>
                <w:position w:val="0"/>
              </w:rPr>
              <w:t>、同致信德（北京）资产评估有限公 司担任评估机构。本企业作为本次重组的交易对方，承诺如 下：本人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本企业与本次重组的中介机构不存在《公司法》、</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《企业会计准则》、《深圳证券交易所股票上市规则》等相关 法律法规中所述的关联关系。本人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 介机构不存在业务合作关系。如违反上述承诺，本人</w:t>
            </w:r>
            <w:r>
              <w:rPr>
                <w:rFonts w:ascii="Times New Roman" w:eastAsia="Times New Roman" w:hAnsi="Times New Roman" w:cs="Times New Roman"/>
                <w:color w:val="000000"/>
                <w:spacing w:val="0"/>
                <w:w w:val="100"/>
                <w:position w:val="0"/>
              </w:rPr>
              <w:t>/</w:t>
            </w:r>
            <w:r>
              <w:rPr>
                <w:color w:val="000000"/>
                <w:spacing w:val="0"/>
                <w:w w:val="100"/>
                <w:position w:val="0"/>
              </w:rPr>
              <w:t>本企 业将赔偿因此给博思软件及其投资人、中介机构造成的损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 简称''本次重组</w:t>
            </w:r>
            <w:r>
              <w:rPr>
                <w:rFonts w:ascii="Times New Roman" w:eastAsia="Times New Roman" w:hAnsi="Times New Roman" w:cs="Times New Roman"/>
                <w:color w:val="000000"/>
                <w:spacing w:val="0"/>
                <w:w w:val="100"/>
                <w:position w:val="0"/>
              </w:rPr>
              <w:t>"</w:t>
            </w:r>
            <w:r>
              <w:rPr>
                <w:color w:val="000000"/>
                <w:spacing w:val="0"/>
                <w:w w:val="100"/>
                <w:position w:val="0"/>
              </w:rPr>
              <w:t>），本次重组的中介机构如下：</w:t>
            </w:r>
            <w:r>
              <w:rPr>
                <w:rFonts w:ascii="Times New Roman" w:eastAsia="Times New Roman" w:hAnsi="Times New Roman" w:cs="Times New Roman"/>
                <w:color w:val="000000"/>
                <w:spacing w:val="0"/>
                <w:w w:val="100"/>
                <w:position w:val="0"/>
              </w:rPr>
              <w:t>1</w:t>
            </w:r>
            <w:r>
              <w:rPr>
                <w:color w:val="000000"/>
                <w:spacing w:val="0"/>
                <w:w w:val="100"/>
                <w:position w:val="0"/>
              </w:rPr>
              <w:t>、国金证券 股份有限公司担任独立财务顾问。</w:t>
            </w:r>
            <w:r>
              <w:rPr>
                <w:rFonts w:ascii="Times New Roman" w:eastAsia="Times New Roman" w:hAnsi="Times New Roman" w:cs="Times New Roman"/>
                <w:color w:val="000000"/>
                <w:spacing w:val="0"/>
                <w:w w:val="100"/>
                <w:position w:val="0"/>
              </w:rPr>
              <w:t>2</w:t>
            </w:r>
            <w:r>
              <w:rPr>
                <w:color w:val="000000"/>
                <w:spacing w:val="0"/>
                <w:w w:val="100"/>
                <w:position w:val="0"/>
              </w:rPr>
              <w:t>、福建华兴会计师事务 所（特殊普通合伙）担任审计机构。</w:t>
            </w:r>
            <w:r>
              <w:rPr>
                <w:rFonts w:ascii="Times New Roman" w:eastAsia="Times New Roman" w:hAnsi="Times New Roman" w:cs="Times New Roman"/>
                <w:color w:val="000000"/>
                <w:spacing w:val="0"/>
                <w:w w:val="100"/>
                <w:position w:val="0"/>
              </w:rPr>
              <w:t>3</w:t>
            </w:r>
            <w:r>
              <w:rPr>
                <w:color w:val="000000"/>
                <w:spacing w:val="0"/>
                <w:w w:val="100"/>
                <w:position w:val="0"/>
              </w:rPr>
              <w:t>、北京市中伦律师事 务所担任法律顾问。</w:t>
            </w:r>
            <w:r>
              <w:rPr>
                <w:rFonts w:ascii="Times New Roman" w:eastAsia="Times New Roman" w:hAnsi="Times New Roman" w:cs="Times New Roman"/>
                <w:color w:val="000000"/>
                <w:spacing w:val="0"/>
                <w:w w:val="100"/>
                <w:position w:val="0"/>
              </w:rPr>
              <w:t>4</w:t>
            </w:r>
            <w:r>
              <w:rPr>
                <w:color w:val="000000"/>
                <w:spacing w:val="0"/>
                <w:w w:val="100"/>
                <w:position w:val="0"/>
              </w:rPr>
              <w:t>、同致信德（北京）资产评估有限公 司担任评估机构。本企业作为本次重组的交易对方，承诺如 下：本人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本企业与本次重组的中介机构不存在《公司法》、</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《企业会计准则》、《深圳证券交易所股票上市规则》等相关 法律法规中所述的关联关系。本人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 介机构不存在业务合作关系。如违反上述承诺，本人</w:t>
            </w:r>
            <w:r>
              <w:rPr>
                <w:rFonts w:ascii="Times New Roman" w:eastAsia="Times New Roman" w:hAnsi="Times New Roman" w:cs="Times New Roman"/>
                <w:color w:val="000000"/>
                <w:spacing w:val="0"/>
                <w:w w:val="100"/>
                <w:position w:val="0"/>
              </w:rPr>
              <w:t>/</w:t>
            </w:r>
            <w:r>
              <w:rPr>
                <w:color w:val="000000"/>
                <w:spacing w:val="0"/>
                <w:w w:val="100"/>
                <w:position w:val="0"/>
              </w:rPr>
              <w:t>本企 业将赔偿因此给博思软件及其投资人、中介机构造成的损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一、本人将善意履行作为博思软件的股东、实际控制人的义 务，充分尊重博思软件的独立法人地位，保障博思软件独立 经营、自主决策。本人将严格按照中国《公司法》以及博思 软件的公司章程的规定，善意行使股东权利并履行股东义 务，促使由本人提名的博思软件董事依法履行其应尽的诚信 和勤勉义务。二、保证本人以及本人控股或实际控制的公司 或者其他企业或经济组织（以下统称''本人控制的企业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今 后原则上不与博思软件发生关联交易。如果博思软件在今后 的经营活动中必须与本人或本人控制的企业发生不可避免 的关联交易，本人将促使此等交易严格按照国家有关法律法 规、博思软件的章程和有关规定履行有关程序，并按照正常 的商业条件进行，且保证本人及本人控制的企业将不会要求 或接受博思软件给予比在任何一项市场公平交易中第三者 更优惠的条件。并且保证不利用股东地位，就博思软件与本 人或本人控制的企业相关的任何关联交易采取任何行动，故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意促使博思软件的股东大会或董事会作出侵犯其他股东合 法权益的决议。三、保证本人及本人控制的企业将严格和善 意地履行其与博思软件签订的各种关联交易协议。本人及 本人控制的企业将不会向博思软件谋求任何超出该等协议 规定以外的利益或收益。四、如违反上述承诺给博思软件造 成损失，本人将向博思软件作出赔偿。本人未能履行上述赔 偿承诺的，则博思软件有权相应扣减应付本人的税后薪酬和 现金分红。在相应的承诺履行前，本人不转让本人所直接或 间接所持的博思软件的股份，但为履行上述承诺而进行转 让的除外。五、本承诺函所述承诺事项已经本人确认，为本 人的真实意思表示，对本人具有法律约束力。本人自愿接 受监管机关、社会公众及投资者的监督，积极采取合法措施 履行本承诺，并依法承担相应责任。六、本承诺函自签署之 日起生效。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本人承诺不直接或间接地以任何方式（包括但不限于自营、 合资或联营）参与或进行与博思软件及其子公司（包括广东 瑞联，下同）存在直接或间接竞争的任何业务活动；不经营 有损于博思软件及其子公司利益的业务，不生产经营与博思 软件及其子公司的产品相同、相近或在任何方面构成竞争的 产品；如因任何原因引起与博思软件及其子公司发生同业竞 争，将积极采取有效措施，放弃此类同业竞争。若本人违反 上述承诺给博思软件及其中小股东及博思软件子公司造成 损失的，本人将依法承担相应的赔偿责任。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钟伟锋</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）。本人作为本次交易的交易对方，为避免未来与 博思软件可能发生的同业竞争，现承诺如下：本人承诺不直 接或间接地以任何方式（包括但不限于自营、合资或联营） 参与或进行与博思软件及其子公司（包括广东瑞联，下同） 存在直接或间接竞争的任何业务活动；不经营有损于博思软 件及其子公司利益的业务，不生产经营与博思软件及其子公 司的产品相同、相近或在任何方面构成竞争的产品；如因任 何原因引起与博思软件及其子公司发生同业竞争，将积极采 取有效措施，放弃此类同业竞争。若本人违反上述承诺给博 思软件及其中小股东及博思软件子公司造成损失的，本人将 依法承担相应的赔偿责任。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钟伟锋</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）。本次重组完成后，本人现承诺如下：本人及本 人控制的其他机构将尽量避免和减少与博思软件及其子公 司（包括广东瑞联，下同）之间的关联交易；对于无法避免 或有合理理由存在的关联交易，将与博思软件依法签订规范 的关联交易协议，并按照有关法律、法规、规章、其他规范 性文件和公司章程的规定履行批准程序；关联交易价格依照 与无关联关系的独立第三方进行相同或相似交易时的价格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确定，保证关联交易价格具有公允性；保证按照有关法律、 法规和公司章程的规定履行关联交易的信息披露义务；保证 不利用关联交易或其他形式非法占用、转移公司的资金、利 润，不利用关联交易损害公司及非关联股东的利益。若本人 违反上述承诺给上市公司及其中小股东及上市公司子公司 造成损失的，本人将依法承担相应的赔偿责任。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克拉玛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依昆仑</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嘉能创</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业投资</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基金合</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伙企业</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 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，本单位作为本次交易的交易对方，特出 具以下说明：本单位的执行事务合伙人为昆仑万维（福建） 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昆仑万维</w:t>
            </w:r>
            <w:r>
              <w:rPr>
                <w:rFonts w:ascii="Times New Roman" w:eastAsia="Times New Roman" w:hAnsi="Times New Roman" w:cs="Times New Roman"/>
                <w:color w:val="000000"/>
                <w:spacing w:val="0"/>
                <w:w w:val="100"/>
                <w:position w:val="0"/>
              </w:rPr>
              <w:t>"</w:t>
            </w:r>
            <w:r>
              <w:rPr>
                <w:color w:val="000000"/>
                <w:spacing w:val="0"/>
                <w:w w:val="100"/>
                <w:position w:val="0"/>
              </w:rPr>
              <w:t>）， 昆仑万维的执行事务合伙人为北京昆仑星河投资管理有限 公司（以下简称''昆仑星河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）截至本说明出具之日， 昆仑星河管理的基金北京实地创业投资有限公司持有博思 软件</w:t>
            </w:r>
            <w:r>
              <w:rPr>
                <w:rFonts w:ascii="Times New Roman" w:eastAsia="Times New Roman" w:hAnsi="Times New Roman" w:cs="Times New Roman"/>
                <w:color w:val="000000"/>
                <w:spacing w:val="0"/>
                <w:w w:val="100"/>
                <w:position w:val="0"/>
              </w:rPr>
              <w:t>3.54%</w:t>
            </w:r>
            <w:r>
              <w:rPr>
                <w:color w:val="000000"/>
                <w:spacing w:val="0"/>
                <w:w w:val="100"/>
                <w:position w:val="0"/>
              </w:rPr>
              <w:t>股份。（</w:t>
            </w:r>
            <w:r>
              <w:rPr>
                <w:rFonts w:ascii="Times New Roman" w:eastAsia="Times New Roman" w:hAnsi="Times New Roman" w:cs="Times New Roman"/>
                <w:color w:val="000000"/>
                <w:spacing w:val="0"/>
                <w:w w:val="100"/>
                <w:position w:val="0"/>
              </w:rPr>
              <w:t>2</w:t>
            </w:r>
            <w:r>
              <w:rPr>
                <w:color w:val="000000"/>
                <w:spacing w:val="0"/>
                <w:w w:val="100"/>
                <w:position w:val="0"/>
              </w:rPr>
              <w:t>）陶翔宇</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月至今任昆仑星河 董事，截至本说明出具之日，陶翔宇持有昆仑星河</w:t>
            </w:r>
            <w:r>
              <w:rPr>
                <w:rFonts w:ascii="Times New Roman" w:eastAsia="Times New Roman" w:hAnsi="Times New Roman" w:cs="Times New Roman"/>
                <w:color w:val="000000"/>
                <w:spacing w:val="0"/>
                <w:w w:val="100"/>
                <w:position w:val="0"/>
              </w:rPr>
              <w:t>12%</w:t>
            </w:r>
            <w:r>
              <w:rPr>
                <w:color w:val="000000"/>
                <w:spacing w:val="0"/>
                <w:w w:val="100"/>
                <w:position w:val="0"/>
              </w:rPr>
              <w:t>股权， 其自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日任博思软件董事。</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）截至本说明出具之日，博思软件持有福建慧舟信息科 技有限公司</w:t>
            </w:r>
            <w:r>
              <w:rPr>
                <w:rFonts w:ascii="Times New Roman" w:eastAsia="Times New Roman" w:hAnsi="Times New Roman" w:cs="Times New Roman"/>
                <w:color w:val="000000"/>
                <w:spacing w:val="0"/>
                <w:w w:val="100"/>
                <w:position w:val="0"/>
              </w:rPr>
              <w:t>10.00%</w:t>
            </w:r>
            <w:r>
              <w:rPr>
                <w:color w:val="000000"/>
                <w:spacing w:val="0"/>
                <w:w w:val="100"/>
                <w:position w:val="0"/>
              </w:rPr>
              <w:t>股权，并委派余双兴担任董事；昆仑星 河管理的基金克拉玛依昆仑鑫能创业投资基金合伙企业（有 限合伙）持有福建慧舟信息科技有限公司</w:t>
            </w:r>
            <w:r>
              <w:rPr>
                <w:rFonts w:ascii="Times New Roman" w:eastAsia="Times New Roman" w:hAnsi="Times New Roman" w:cs="Times New Roman"/>
                <w:color w:val="000000"/>
                <w:spacing w:val="0"/>
                <w:w w:val="100"/>
                <w:position w:val="0"/>
              </w:rPr>
              <w:t>12.46%</w:t>
            </w:r>
            <w:r>
              <w:rPr>
                <w:color w:val="000000"/>
                <w:spacing w:val="0"/>
                <w:w w:val="100"/>
                <w:position w:val="0"/>
              </w:rPr>
              <w:t>股权，并 委派郭亚辉担任董事，郭亚辉还担任标的公司董事。除此之 外，本单位未直接或委托他人代为持有博思软件股权，本单 位与博思软件持股</w:t>
            </w:r>
            <w:r>
              <w:rPr>
                <w:rFonts w:ascii="Times New Roman" w:eastAsia="Times New Roman" w:hAnsi="Times New Roman" w:cs="Times New Roman"/>
                <w:color w:val="000000"/>
                <w:spacing w:val="0"/>
                <w:w w:val="100"/>
                <w:position w:val="0"/>
              </w:rPr>
              <w:t>5%</w:t>
            </w:r>
            <w:r>
              <w:rPr>
                <w:color w:val="000000"/>
                <w:spacing w:val="0"/>
                <w:w w:val="100"/>
                <w:position w:val="0"/>
              </w:rPr>
              <w:t>及以上的股东不存在关联关系，本单 位未指派人员担任博思软件的董事、监事或高级管理人员， 本单位与博思软件不存在关联关系。如违反上述承诺，本单 位将赔偿因此给博思软件及其投资人、中介机构造成的损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165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北京实</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地创业</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不以任何方式谋求成为发行人的控股股东或实际控制人、不 以控制为目的而直接或间接增持发行人的股份并不与除陈 航之外的发行人的其他股东或该股东的关联方签署与控制 权有关的任何协议（包括但不限于一致行动协议、限制行使 股东权利协议）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福建省 电子信 息（集 团）有限 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不以任何方式谋求成为发行人的控股股东或实际控制人、不 以控制为目的而直接或间接增持发行人的股份并不与除陈 航之外的发行人的其他股东或该股东的关联方签署与控制 权有关的任何协议（包括但不限于一致行动协议、限制行使 股东权利协议）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郭</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其友</w:t>
            </w:r>
            <w:r>
              <w:rPr>
                <w:rFonts w:ascii="Times New Roman" w:eastAsia="Times New Roman" w:hAnsi="Times New Roman" w:cs="Times New Roman"/>
                <w:color w:val="000000"/>
                <w:spacing w:val="0"/>
                <w:w w:val="100"/>
                <w:position w:val="0"/>
              </w:rPr>
              <w:t>;</w:t>
            </w:r>
            <w:r>
              <w:rPr>
                <w:color w:val="000000"/>
                <w:spacing w:val="0"/>
                <w:w w:val="100"/>
                <w:position w:val="0"/>
              </w:rPr>
              <w:t>林</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初可</w:t>
            </w:r>
            <w:r>
              <w:rPr>
                <w:rFonts w:ascii="Times New Roman" w:eastAsia="Times New Roman" w:hAnsi="Times New Roman" w:cs="Times New Roman"/>
                <w:color w:val="000000"/>
                <w:spacing w:val="0"/>
                <w:w w:val="100"/>
                <w:position w:val="0"/>
              </w:rPr>
              <w:t>;</w:t>
            </w:r>
            <w:r>
              <w:rPr>
                <w:color w:val="000000"/>
                <w:spacing w:val="0"/>
                <w:w w:val="100"/>
                <w:position w:val="0"/>
              </w:rPr>
              <w:t>欧</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郁雪</w:t>
            </w:r>
            <w:r>
              <w:rPr>
                <w:rFonts w:ascii="Times New Roman" w:eastAsia="Times New Roman" w:hAnsi="Times New Roman" w:cs="Times New Roman"/>
                <w:color w:val="000000"/>
                <w:spacing w:val="0"/>
                <w:w w:val="100"/>
                <w:position w:val="0"/>
              </w:rPr>
              <w:t>;</w:t>
            </w:r>
            <w:r>
              <w:rPr>
                <w:color w:val="000000"/>
                <w:spacing w:val="0"/>
                <w:w w:val="100"/>
                <w:position w:val="0"/>
              </w:rPr>
              <w:t>陶</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翔宇</w:t>
            </w:r>
            <w:r>
              <w:rPr>
                <w:rFonts w:ascii="Times New Roman" w:eastAsia="Times New Roman" w:hAnsi="Times New Roman" w:cs="Times New Roman"/>
                <w:color w:val="000000"/>
                <w:spacing w:val="0"/>
                <w:w w:val="100"/>
                <w:position w:val="0"/>
              </w:rPr>
              <w:t>;</w:t>
            </w:r>
            <w:r>
              <w:rPr>
                <w:color w:val="000000"/>
                <w:spacing w:val="0"/>
                <w:w w:val="100"/>
                <w:position w:val="0"/>
              </w:rPr>
              <w:t>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根据中国证监会相关规定以及公司章程的约定，公司的董 事、高级管理人员承诺将忠实、勤勉地履行职责，维护公司 和全体股东的合法权益，并就公司填补被摊薄即期回报措施 能够得到切实履行作出承诺如下：</w:t>
            </w: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 平条件向其他单位或者个人输送利益，也不采用其他方式损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敏</w:t>
            </w:r>
            <w:r>
              <w:rPr>
                <w:rFonts w:ascii="Times New Roman" w:eastAsia="Times New Roman" w:hAnsi="Times New Roman" w:cs="Times New Roman"/>
                <w:color w:val="000000"/>
                <w:spacing w:val="0"/>
                <w:w w:val="100"/>
                <w:position w:val="0"/>
              </w:rPr>
              <w:t>;</w:t>
            </w:r>
            <w:r>
              <w:rPr>
                <w:color w:val="000000"/>
                <w:spacing w:val="0"/>
                <w:w w:val="100"/>
                <w:position w:val="0"/>
              </w:rPr>
              <w:t>肖勇</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叶东毅</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叶章明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余双兴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郑升尉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、承诺对董事和高级管理人员的职务消费行 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、承诺不动用公司资产从事与其履行职责无 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 的薪酬制度与公司填补被摊薄即期回报措施的执行情况相 挂钩。</w:t>
            </w:r>
            <w:r>
              <w:rPr>
                <w:rFonts w:ascii="Times New Roman" w:eastAsia="Times New Roman" w:hAnsi="Times New Roman" w:cs="Times New Roman"/>
                <w:color w:val="000000"/>
                <w:spacing w:val="0"/>
                <w:w w:val="100"/>
                <w:position w:val="0"/>
              </w:rPr>
              <w:t>5</w:t>
            </w:r>
            <w:r>
              <w:rPr>
                <w:color w:val="000000"/>
                <w:spacing w:val="0"/>
                <w:w w:val="100"/>
                <w:position w:val="0"/>
              </w:rPr>
              <w:t>、如公司未来推出股权激励计划，承诺拟公布的公 司股权激励计划的行权条件与公司填补被摊薄即期回报措 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 晶</w:t>
            </w:r>
            <w:r>
              <w:rPr>
                <w:rFonts w:ascii="Times New Roman" w:eastAsia="Times New Roman" w:hAnsi="Times New Roman" w:cs="Times New Roman"/>
                <w:color w:val="000000"/>
                <w:spacing w:val="0"/>
                <w:w w:val="100"/>
                <w:position w:val="0"/>
              </w:rPr>
              <w:t>;</w:t>
            </w:r>
            <w:r>
              <w:rPr>
                <w:color w:val="000000"/>
                <w:spacing w:val="0"/>
                <w:w w:val="100"/>
                <w:position w:val="0"/>
              </w:rPr>
              <w:t>郭其 友</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毛时 敏</w:t>
            </w:r>
            <w:r>
              <w:rPr>
                <w:rFonts w:ascii="Times New Roman" w:eastAsia="Times New Roman" w:hAnsi="Times New Roman" w:cs="Times New Roman"/>
                <w:color w:val="000000"/>
                <w:spacing w:val="0"/>
                <w:w w:val="100"/>
                <w:position w:val="0"/>
              </w:rPr>
              <w:t>;</w:t>
            </w:r>
            <w:r>
              <w:rPr>
                <w:color w:val="000000"/>
                <w:spacing w:val="0"/>
                <w:w w:val="100"/>
                <w:position w:val="0"/>
              </w:rPr>
              <w:t>欧郁 雪</w:t>
            </w:r>
            <w:r>
              <w:rPr>
                <w:rFonts w:ascii="Times New Roman" w:eastAsia="Times New Roman" w:hAnsi="Times New Roman" w:cs="Times New Roman"/>
                <w:color w:val="000000"/>
                <w:spacing w:val="0"/>
                <w:w w:val="100"/>
                <w:position w:val="0"/>
              </w:rPr>
              <w:t>;</w:t>
            </w:r>
            <w:r>
              <w:rPr>
                <w:color w:val="000000"/>
                <w:spacing w:val="0"/>
                <w:w w:val="100"/>
                <w:position w:val="0"/>
              </w:rPr>
              <w:t>陶翔 宇</w:t>
            </w:r>
            <w:r>
              <w:rPr>
                <w:rFonts w:ascii="Times New Roman" w:eastAsia="Times New Roman" w:hAnsi="Times New Roman" w:cs="Times New Roman"/>
                <w:color w:val="000000"/>
                <w:spacing w:val="0"/>
                <w:w w:val="100"/>
                <w:position w:val="0"/>
              </w:rPr>
              <w:t>;</w:t>
            </w:r>
            <w:r>
              <w:rPr>
                <w:color w:val="000000"/>
                <w:spacing w:val="0"/>
                <w:w w:val="100"/>
                <w:position w:val="0"/>
              </w:rPr>
              <w:t>王敏</w:t>
            </w:r>
            <w:r>
              <w:rPr>
                <w:rFonts w:ascii="Times New Roman" w:eastAsia="Times New Roman" w:hAnsi="Times New Roman" w:cs="Times New Roman"/>
                <w:color w:val="000000"/>
                <w:spacing w:val="0"/>
                <w:w w:val="100"/>
                <w:position w:val="0"/>
              </w:rPr>
              <w:t xml:space="preserve">; </w:t>
            </w:r>
            <w:r>
              <w:rPr>
                <w:color w:val="000000"/>
                <w:spacing w:val="0"/>
                <w:w w:val="100"/>
                <w:position w:val="0"/>
              </w:rPr>
              <w:t>王素珍</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 东毅</w:t>
            </w:r>
            <w:r>
              <w:rPr>
                <w:rFonts w:ascii="Times New Roman" w:eastAsia="Times New Roman" w:hAnsi="Times New Roman" w:cs="Times New Roman"/>
                <w:color w:val="000000"/>
                <w:spacing w:val="0"/>
                <w:w w:val="100"/>
                <w:position w:val="0"/>
              </w:rPr>
              <w:t>;</w:t>
            </w:r>
            <w:r>
              <w:rPr>
                <w:color w:val="000000"/>
                <w:spacing w:val="0"/>
                <w:w w:val="100"/>
                <w:position w:val="0"/>
              </w:rPr>
              <w:t>叶 章明</w:t>
            </w:r>
            <w:r>
              <w:rPr>
                <w:rFonts w:ascii="Times New Roman" w:eastAsia="Times New Roman" w:hAnsi="Times New Roman" w:cs="Times New Roman"/>
                <w:color w:val="000000"/>
                <w:spacing w:val="0"/>
                <w:w w:val="100"/>
                <w:position w:val="0"/>
              </w:rPr>
              <w:t>;</w:t>
            </w:r>
            <w:r>
              <w:rPr>
                <w:color w:val="000000"/>
                <w:spacing w:val="0"/>
                <w:w w:val="100"/>
                <w:position w:val="0"/>
              </w:rPr>
              <w:t>余 双兴</w:t>
            </w:r>
            <w:r>
              <w:rPr>
                <w:rFonts w:ascii="Times New Roman" w:eastAsia="Times New Roman" w:hAnsi="Times New Roman" w:cs="Times New Roman"/>
                <w:color w:val="000000"/>
                <w:spacing w:val="0"/>
                <w:w w:val="100"/>
                <w:position w:val="0"/>
              </w:rPr>
              <w:t>;</w:t>
            </w:r>
            <w:r>
              <w:rPr>
                <w:color w:val="000000"/>
                <w:spacing w:val="0"/>
                <w:w w:val="100"/>
                <w:position w:val="0"/>
              </w:rPr>
              <w:t>郑 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招股说明书如有虚假记载、误导性陈述或者重大遗漏，致使 投资者在证券交易中遭受损失的，将依法赔偿投资者损失。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公司出具之招股说明书如有虚假记载、误导性陈述或者重大 遗漏，对判断公司是否符合法律规定的发行条件构成重大、 实质影响的，本人将依法购回已转让的原限售股份；致使投 资者在证券交易中遭受损失的，将依法赔偿投资者损失。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福建博 思软件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本公司出具之招股说明书如有虚假记载、误导性陈述或者重 大遗漏，对判断发行人是否符合法律规定的发行条件构成重 大、实质影响的，本公司将依法回购首次公开发行的全部新 股；致使投资者在证券交易中遭受损失的，将依法赔偿投资 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郭 其友</w:t>
            </w:r>
            <w:r>
              <w:rPr>
                <w:rFonts w:ascii="Times New Roman" w:eastAsia="Times New Roman" w:hAnsi="Times New Roman" w:cs="Times New Roman"/>
                <w:color w:val="000000"/>
                <w:spacing w:val="0"/>
                <w:w w:val="100"/>
                <w:position w:val="0"/>
              </w:rPr>
              <w:t>;</w:t>
            </w:r>
            <w:r>
              <w:rPr>
                <w:color w:val="000000"/>
                <w:spacing w:val="0"/>
                <w:w w:val="100"/>
                <w:position w:val="0"/>
              </w:rPr>
              <w:t>林 初可</w:t>
            </w:r>
            <w:r>
              <w:rPr>
                <w:rFonts w:ascii="Times New Roman" w:eastAsia="Times New Roman" w:hAnsi="Times New Roman" w:cs="Times New Roman"/>
                <w:color w:val="000000"/>
                <w:spacing w:val="0"/>
                <w:w w:val="100"/>
                <w:position w:val="0"/>
              </w:rPr>
              <w:t>;</w:t>
            </w:r>
            <w:r>
              <w:rPr>
                <w:color w:val="000000"/>
                <w:spacing w:val="0"/>
                <w:w w:val="100"/>
                <w:position w:val="0"/>
              </w:rPr>
              <w:t>陶 翔宇</w:t>
            </w:r>
            <w:r>
              <w:rPr>
                <w:rFonts w:ascii="Times New Roman" w:eastAsia="Times New Roman" w:hAnsi="Times New Roman" w:cs="Times New Roman"/>
                <w:color w:val="000000"/>
                <w:spacing w:val="0"/>
                <w:w w:val="100"/>
                <w:position w:val="0"/>
              </w:rPr>
              <w:t>;</w:t>
            </w:r>
            <w:r>
              <w:rPr>
                <w:color w:val="000000"/>
                <w:spacing w:val="0"/>
                <w:w w:val="100"/>
                <w:position w:val="0"/>
              </w:rPr>
              <w:t>王 敏</w:t>
            </w:r>
            <w:r>
              <w:rPr>
                <w:rFonts w:ascii="Times New Roman" w:eastAsia="Times New Roman" w:hAnsi="Times New Roman" w:cs="Times New Roman"/>
                <w:color w:val="000000"/>
                <w:spacing w:val="0"/>
                <w:w w:val="100"/>
                <w:position w:val="0"/>
              </w:rPr>
              <w:t>;</w:t>
            </w:r>
            <w:r>
              <w:rPr>
                <w:color w:val="000000"/>
                <w:spacing w:val="0"/>
                <w:w w:val="100"/>
                <w:position w:val="0"/>
              </w:rPr>
              <w:t>肖勇</w:t>
            </w:r>
            <w:r>
              <w:rPr>
                <w:rFonts w:ascii="Times New Roman" w:eastAsia="Times New Roman" w:hAnsi="Times New Roman" w:cs="Times New Roman"/>
                <w:color w:val="000000"/>
                <w:spacing w:val="0"/>
                <w:w w:val="100"/>
                <w:position w:val="0"/>
              </w:rPr>
              <w:t xml:space="preserve">; </w:t>
            </w:r>
            <w:r>
              <w:rPr>
                <w:color w:val="000000"/>
                <w:spacing w:val="0"/>
                <w:w w:val="100"/>
                <w:position w:val="0"/>
              </w:rPr>
              <w:t>叶东毅</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叶章明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余双兴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根据中国证监会相关规定以及公司章程的约定，公司的董 事、高级管理人员承诺将忠实、勤勉地履行职责，维护公司 和全体股东的合法权益，并就公司填补被摊薄即期回报措施 能够得到切实履行作出承诺如下：</w:t>
            </w: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 平条件向其他单位或者个人输送利益，也不采用其他方式损 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、承诺对董事和高级管理人员的职务消费行 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、承诺不动用公司资产从事与其履行职责无 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 的薪酬制度与公司填补被摊薄即期回报措施的执行情况相 挂钩。</w:t>
            </w:r>
            <w:r>
              <w:rPr>
                <w:rFonts w:ascii="Times New Roman" w:eastAsia="Times New Roman" w:hAnsi="Times New Roman" w:cs="Times New Roman"/>
                <w:color w:val="000000"/>
                <w:spacing w:val="0"/>
                <w:w w:val="100"/>
                <w:position w:val="0"/>
              </w:rPr>
              <w:t>5</w:t>
            </w:r>
            <w:r>
              <w:rPr>
                <w:color w:val="000000"/>
                <w:spacing w:val="0"/>
                <w:w w:val="100"/>
                <w:position w:val="0"/>
              </w:rPr>
              <w:t>、如公司未来推出股权激励计划，承诺拟公布的公 司股权激励计划的行权条件与公司填补被摊薄即期回报措 施的执行情况相挂钩。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思软件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为维护广大投资者利益，增强投资者信心，公司承诺，将在 首次公开发行股票并上市后采取如下措施填补被摊薄即期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回报：</w:t>
            </w:r>
            <w:r>
              <w:rPr>
                <w:rFonts w:ascii="Times New Roman" w:eastAsia="Times New Roman" w:hAnsi="Times New Roman" w:cs="Times New Roman"/>
                <w:color w:val="000000"/>
                <w:spacing w:val="0"/>
                <w:w w:val="100"/>
                <w:position w:val="0"/>
              </w:rPr>
              <w:t>1</w:t>
            </w:r>
            <w:r>
              <w:rPr>
                <w:color w:val="000000"/>
                <w:spacing w:val="0"/>
                <w:w w:val="100"/>
                <w:position w:val="0"/>
              </w:rPr>
              <w:t>、公司现有业务板块运营状况，发展态势，面临的 主要风险及改进措施。</w:t>
            </w:r>
            <w:r>
              <w:rPr>
                <w:rFonts w:ascii="Times New Roman" w:eastAsia="Times New Roman" w:hAnsi="Times New Roman" w:cs="Times New Roman"/>
                <w:color w:val="000000"/>
                <w:spacing w:val="0"/>
                <w:w w:val="100"/>
                <w:position w:val="0"/>
              </w:rPr>
              <w:t>2</w:t>
            </w:r>
            <w:r>
              <w:rPr>
                <w:color w:val="000000"/>
                <w:spacing w:val="0"/>
                <w:w w:val="100"/>
                <w:position w:val="0"/>
              </w:rPr>
              <w:t>、提高公司日常运营效率，降低公 司运营成本，提升公司经营业绩的具体措施。（</w:t>
            </w:r>
            <w:r>
              <w:rPr>
                <w:rFonts w:ascii="Times New Roman" w:eastAsia="Times New Roman" w:hAnsi="Times New Roman" w:cs="Times New Roman"/>
                <w:color w:val="000000"/>
                <w:spacing w:val="0"/>
                <w:w w:val="100"/>
                <w:position w:val="0"/>
              </w:rPr>
              <w:t>1</w:t>
            </w:r>
            <w:r>
              <w:rPr>
                <w:color w:val="000000"/>
                <w:spacing w:val="0"/>
                <w:w w:val="100"/>
                <w:position w:val="0"/>
              </w:rPr>
              <w:t>）提高日常 运营效率，降低公司运营成本。（</w:t>
            </w:r>
            <w:r>
              <w:rPr>
                <w:rFonts w:ascii="Times New Roman" w:eastAsia="Times New Roman" w:hAnsi="Times New Roman" w:cs="Times New Roman"/>
                <w:color w:val="000000"/>
                <w:spacing w:val="0"/>
                <w:w w:val="100"/>
                <w:position w:val="0"/>
              </w:rPr>
              <w:t>2</w:t>
            </w:r>
            <w:r>
              <w:rPr>
                <w:color w:val="000000"/>
                <w:spacing w:val="0"/>
                <w:w w:val="100"/>
                <w:position w:val="0"/>
              </w:rPr>
              <w:t>）强化募集资金管理，并 加快募投项目的推进，提高公司的盈利能力。（</w:t>
            </w:r>
            <w:r>
              <w:rPr>
                <w:rFonts w:ascii="Times New Roman" w:eastAsia="Times New Roman" w:hAnsi="Times New Roman" w:cs="Times New Roman"/>
                <w:color w:val="000000"/>
                <w:spacing w:val="0"/>
                <w:w w:val="100"/>
                <w:position w:val="0"/>
              </w:rPr>
              <w:t>3</w:t>
            </w:r>
            <w:r>
              <w:rPr>
                <w:color w:val="000000"/>
                <w:spacing w:val="0"/>
                <w:w w:val="100"/>
                <w:position w:val="0"/>
              </w:rPr>
              <w:t>）稳步实施 市场开拓战略，坚持技术创新，增加公司营业收入。</w:t>
            </w:r>
            <w:r>
              <w:rPr>
                <w:rFonts w:ascii="Times New Roman" w:eastAsia="Times New Roman" w:hAnsi="Times New Roman" w:cs="Times New Roman"/>
                <w:color w:val="000000"/>
                <w:spacing w:val="0"/>
                <w:w w:val="100"/>
                <w:position w:val="0"/>
              </w:rPr>
              <w:t>3</w:t>
            </w:r>
            <w:r>
              <w:rPr>
                <w:color w:val="000000"/>
                <w:spacing w:val="0"/>
                <w:w w:val="100"/>
                <w:position w:val="0"/>
              </w:rPr>
              <w:t>、填 补被摊薄即期回报的其他措施。公司将通过加强公司治理， 优化内部控制机制，提升经营效率，有效控制成本，来填补 被摊薄的及其回报。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一、本人及本人所控制的企业不占用、支配公司的资金或干 预公司对货币资金的经营管理，保证不进行包括但不限于如 下非经营性资金往来的关联交易：（</w:t>
            </w:r>
            <w:r>
              <w:rPr>
                <w:rFonts w:ascii="Times New Roman" w:eastAsia="Times New Roman" w:hAnsi="Times New Roman" w:cs="Times New Roman"/>
                <w:color w:val="000000"/>
                <w:spacing w:val="0"/>
                <w:w w:val="100"/>
                <w:position w:val="0"/>
              </w:rPr>
              <w:t>1</w:t>
            </w:r>
            <w:r>
              <w:rPr>
                <w:color w:val="000000"/>
                <w:spacing w:val="0"/>
                <w:w w:val="100"/>
                <w:position w:val="0"/>
              </w:rPr>
              <w:t>）公司为本人及本人所 控制的企业垫支工资、福利、保险、广告等期间费用及相互 代为承担成本和其他支出；（</w:t>
            </w:r>
            <w:r>
              <w:rPr>
                <w:rFonts w:ascii="Times New Roman" w:eastAsia="Times New Roman" w:hAnsi="Times New Roman" w:cs="Times New Roman"/>
                <w:color w:val="000000"/>
                <w:spacing w:val="0"/>
                <w:w w:val="100"/>
                <w:position w:val="0"/>
              </w:rPr>
              <w:t>2</w:t>
            </w:r>
            <w:r>
              <w:rPr>
                <w:color w:val="000000"/>
                <w:spacing w:val="0"/>
                <w:w w:val="100"/>
                <w:position w:val="0"/>
              </w:rPr>
              <w:t>）公司有偿或无偿地拆借公司 的资金给本人及本人所控制的企业使用；（</w:t>
            </w:r>
            <w:r>
              <w:rPr>
                <w:rFonts w:ascii="Times New Roman" w:eastAsia="Times New Roman" w:hAnsi="Times New Roman" w:cs="Times New Roman"/>
                <w:color w:val="000000"/>
                <w:spacing w:val="0"/>
                <w:w w:val="100"/>
                <w:position w:val="0"/>
              </w:rPr>
              <w:t>3</w:t>
            </w:r>
            <w:r>
              <w:rPr>
                <w:color w:val="000000"/>
                <w:spacing w:val="0"/>
                <w:w w:val="100"/>
                <w:position w:val="0"/>
              </w:rPr>
              <w:t>）公司通过银行 或非银行金融机构向本人及本人所控制的企业提供委托贷 款；（</w:t>
            </w:r>
            <w:r>
              <w:rPr>
                <w:rFonts w:ascii="Times New Roman" w:eastAsia="Times New Roman" w:hAnsi="Times New Roman" w:cs="Times New Roman"/>
                <w:color w:val="000000"/>
                <w:spacing w:val="0"/>
                <w:w w:val="100"/>
                <w:position w:val="0"/>
              </w:rPr>
              <w:t>4</w:t>
            </w:r>
            <w:r>
              <w:rPr>
                <w:color w:val="000000"/>
                <w:spacing w:val="0"/>
                <w:w w:val="100"/>
                <w:position w:val="0"/>
              </w:rPr>
              <w:t>）公司委托本人及本人所控制的企业进行投资活动；</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）公司为本人及本人所控制的企业开具没有真实交易背 景的商业承兑汇票；（</w:t>
            </w:r>
            <w:r>
              <w:rPr>
                <w:rFonts w:ascii="Times New Roman" w:eastAsia="Times New Roman" w:hAnsi="Times New Roman" w:cs="Times New Roman"/>
                <w:color w:val="000000"/>
                <w:spacing w:val="0"/>
                <w:w w:val="100"/>
                <w:position w:val="0"/>
              </w:rPr>
              <w:t>6</w:t>
            </w:r>
            <w:r>
              <w:rPr>
                <w:color w:val="000000"/>
                <w:spacing w:val="0"/>
                <w:w w:val="100"/>
                <w:position w:val="0"/>
              </w:rPr>
              <w:t>）公司代本人及本人所控制的企业偿 还债务。二、本人保证不要求公司为本人及本人所控制的企 业提供担保，也不强制公司为他人提供担保。三、本人及本 人所控制的企业将尽量减少与公司的关联交易。对于无法回 避的任何业务往来或交易均应按照公平、公允和等价有偿的 原则进行，交易价格应按市场公认的合理价格确定，不会要 求公司给予与第三人的条件相比更优惠的条件，并按规定履 行信息披露义务。四、本人保证严格遵守公司章程的规定， 在股东大会对关联交易进行决策时回避表决，与其他股东一 样平等的行使股东权利、履行股东义务，保障公司独立经营、 自主决策。上述承诺自即日起具有法律效力，对本人及本人 所控制的企业具有法律约束力。如有违反并因此给公司造成 损失，本人及本人所控制的企业愿承担法律责任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、截至本承诺函出具日，本人除持有博思软件及其控制企 业股份外，不存在直接或间接持有其他企业权益或控制其他 企业的情况，也不存在从事与博思软件及其控制企业的主营 业务存在任何直接或间接竞争的业务或活动。</w:t>
            </w:r>
            <w:r>
              <w:rPr>
                <w:rFonts w:ascii="Times New Roman" w:eastAsia="Times New Roman" w:hAnsi="Times New Roman" w:cs="Times New Roman"/>
                <w:color w:val="000000"/>
                <w:spacing w:val="0"/>
                <w:w w:val="100"/>
                <w:position w:val="0"/>
              </w:rPr>
              <w:t>2</w:t>
            </w:r>
            <w:r>
              <w:rPr>
                <w:color w:val="000000"/>
                <w:spacing w:val="0"/>
                <w:w w:val="100"/>
                <w:position w:val="0"/>
              </w:rPr>
              <w:t>、博思软件 本次发行及上市完成后，本人将不从事与博思软件及其控制 企业的主营业务有任何直接或间接竞争关系的业务或活动， 也不会以任何方式（包括但不限于单独经营、通过合资经营 或拥有另一公司或企业的股份及其他权益）直接或间接经营 与博思软件及其控制企业的主营业务构成同业竞争的业务 或活动。</w:t>
            </w:r>
            <w:r>
              <w:rPr>
                <w:rFonts w:ascii="Times New Roman" w:eastAsia="Times New Roman" w:hAnsi="Times New Roman" w:cs="Times New Roman"/>
                <w:color w:val="000000"/>
                <w:spacing w:val="0"/>
                <w:w w:val="100"/>
                <w:position w:val="0"/>
              </w:rPr>
              <w:t>3</w:t>
            </w:r>
            <w:r>
              <w:rPr>
                <w:color w:val="000000"/>
                <w:spacing w:val="0"/>
                <w:w w:val="100"/>
                <w:position w:val="0"/>
              </w:rPr>
              <w:t>、如未来本人及所控制或参股的其他企业获得与 博思软件及其控制企业主营业务发生同业竞争或可能发生 同业竞争的商业机会，本人将立即通知博思软件，并尽力将 该商业机会按公开合理的条件优先让予博思软件及</w:t>
            </w:r>
            <w:r>
              <w:rPr>
                <w:rFonts w:ascii="Times New Roman" w:eastAsia="Times New Roman" w:hAnsi="Times New Roman" w:cs="Times New Roman"/>
                <w:color w:val="000000"/>
                <w:spacing w:val="0"/>
                <w:w w:val="100"/>
                <w:position w:val="0"/>
              </w:rPr>
              <w:t>/</w:t>
            </w:r>
            <w:r>
              <w:rPr>
                <w:color w:val="000000"/>
                <w:spacing w:val="0"/>
                <w:w w:val="100"/>
                <w:position w:val="0"/>
              </w:rPr>
              <w:t>或其控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制的企业，以确保博思软件及其全体股东利益不受损害。</w:t>
            </w:r>
            <w:r>
              <w:rPr>
                <w:rFonts w:ascii="Times New Roman" w:eastAsia="Times New Roman" w:hAnsi="Times New Roman" w:cs="Times New Roman"/>
                <w:color w:val="000000"/>
                <w:spacing w:val="0"/>
                <w:w w:val="100"/>
                <w:position w:val="0"/>
              </w:rPr>
              <w:t>4</w:t>
            </w:r>
            <w:r>
              <w:rPr>
                <w:color w:val="000000"/>
                <w:spacing w:val="0"/>
                <w:w w:val="100"/>
                <w:position w:val="0"/>
              </w:rPr>
              <w:t>、 如果违反上述承诺，博思软件依据其董事会所作出的决策</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（关联董事应回避表决），有权要求本人及本人所控制的其 他企业或经济组织停止相应的经济活动或行为，将已经形成 的有关权益、或者合同项下的权利义务转让给独立第三方或 者按照公允价值转让给博思软件或者其指定的第三方，并将 可得利益上交博思软件董事会。本人将促使本人所控制的其 他企业或经济组织（如需）按照博思软件的要求实施相关行 为；造成博思软件经济损失的，本人将赔偿博思软件因此受 到的全部损失。</w:t>
            </w:r>
            <w:r>
              <w:rPr>
                <w:rFonts w:ascii="Times New Roman" w:eastAsia="Times New Roman" w:hAnsi="Times New Roman" w:cs="Times New Roman"/>
                <w:color w:val="000000"/>
                <w:spacing w:val="0"/>
                <w:w w:val="100"/>
                <w:position w:val="0"/>
              </w:rPr>
              <w:t>5</w:t>
            </w:r>
            <w:r>
              <w:rPr>
                <w:color w:val="000000"/>
                <w:spacing w:val="0"/>
                <w:w w:val="100"/>
                <w:position w:val="0"/>
              </w:rPr>
              <w:t>、在触发上述第</w:t>
            </w:r>
            <w:r>
              <w:rPr>
                <w:rFonts w:ascii="Times New Roman" w:eastAsia="Times New Roman" w:hAnsi="Times New Roman" w:cs="Times New Roman"/>
                <w:color w:val="000000"/>
                <w:spacing w:val="0"/>
                <w:w w:val="100"/>
                <w:position w:val="0"/>
              </w:rPr>
              <w:t>4</w:t>
            </w:r>
            <w:r>
              <w:rPr>
                <w:color w:val="000000"/>
                <w:spacing w:val="0"/>
                <w:w w:val="100"/>
                <w:position w:val="0"/>
              </w:rPr>
              <w:t>项承诺情况发生后，本 人未能履行相应承诺的，则博思软件有权相应扣减应付本人 的税后薪酬、现金分红。在相应的承诺履行前，本人亦不转 让本人所直接或间接所持的博思软件的股份，但为履行上述 承诺而进行转让的除外。</w:t>
            </w:r>
            <w:r>
              <w:rPr>
                <w:rFonts w:ascii="Times New Roman" w:eastAsia="Times New Roman" w:hAnsi="Times New Roman" w:cs="Times New Roman"/>
                <w:color w:val="000000"/>
                <w:spacing w:val="0"/>
                <w:w w:val="100"/>
                <w:position w:val="0"/>
              </w:rPr>
              <w:t>6</w:t>
            </w:r>
            <w:r>
              <w:rPr>
                <w:color w:val="000000"/>
                <w:spacing w:val="0"/>
                <w:w w:val="100"/>
                <w:position w:val="0"/>
              </w:rPr>
              <w:t xml:space="preserve">、本声明与承诺函所述声明及承 诺事项已经本人确认，为本人的真实意思表示，对本人具有 法律约束力。本人自愿接受监管机关、社会公众及投资者的 监督，积极采取合法措施履行本承诺，并依法承担相应责任。 </w:t>
            </w:r>
            <w:r>
              <w:rPr>
                <w:rFonts w:ascii="Times New Roman" w:eastAsia="Times New Roman" w:hAnsi="Times New Roman" w:cs="Times New Roman"/>
                <w:color w:val="000000"/>
                <w:spacing w:val="0"/>
                <w:w w:val="100"/>
                <w:position w:val="0"/>
              </w:rPr>
              <w:t>7</w:t>
            </w:r>
            <w:r>
              <w:rPr>
                <w:color w:val="000000"/>
                <w:spacing w:val="0"/>
                <w:w w:val="100"/>
                <w:position w:val="0"/>
              </w:rPr>
              <w:t>、本承诺在本人控制博思软件或担任博思软件的董事、监 事、高级管理人员期间持续有效。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福建博 思软件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 会审议通过《关于调整公司上市后分红回报规划的议案》， 上市后分红回报规划如下：公司采取现金、现金与股票结合 方式分配股利；公司利润分配不得超过累计可分配利润的范 围；如公司当年度实现盈利，在依据本章程提取法定公积金、 任意公积金后进行利润分配的，现金分红金额不少于当年实 现的可分配利润（以合并报表为基础）的百分之三十。公司 在每个会计年度结束后，由公司董事会提出分红议案，并交 付股东大会进行表决。公司接受所有股东、董事（含独立董 事）、监事对公司分红的建议和监督。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本人在锁定期满，遵守相关法律、法规、规章、规范性文件 及证券交易所交易规则，且不违背本人已作出承诺的情况 下，将根据本人的资金需求、投资安排等各方面要素确定是 否减持发行人股份及减持发行人股份的数量，在锁定期（包 括延长锁定期）满两年内，每年转让的股票不超过所持股份 的</w:t>
            </w:r>
            <w:r>
              <w:rPr>
                <w:rFonts w:ascii="Times New Roman" w:eastAsia="Times New Roman" w:hAnsi="Times New Roman" w:cs="Times New Roman"/>
                <w:color w:val="000000"/>
                <w:spacing w:val="0"/>
                <w:w w:val="100"/>
                <w:position w:val="0"/>
              </w:rPr>
              <w:t>25%</w:t>
            </w:r>
            <w:r>
              <w:rPr>
                <w:color w:val="000000"/>
                <w:spacing w:val="0"/>
                <w:w w:val="100"/>
                <w:position w:val="0"/>
              </w:rPr>
              <w:t>。本人拟减持发行人股份的，将采取大宗交易、集中 竞价或协议转让等法律允许的方式减持。如本人确定依法减 持发行人股份的，将提前</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个交易日予以公告，减持价格不 低于首次公开发行时的发行价。本人减持发行人股票后，将 按照相关法律、法规、规章、规范性文件及证券交易所交易 规则的规定履行信息披露义务。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 晶</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林宏</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本次创业板非公开发行股票申请文件不存在虚假记载、误导 性陈述或重大遗漏，并对其真实性、准确性和完整性承担个 别和连带法律责任。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787"/>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刘少华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罗妙成</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毛时敏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王敏</w:t>
            </w:r>
            <w:r>
              <w:rPr>
                <w:rFonts w:ascii="Times New Roman" w:eastAsia="Times New Roman" w:hAnsi="Times New Roman" w:cs="Times New Roman"/>
                <w:color w:val="000000"/>
                <w:spacing w:val="0"/>
                <w:w w:val="100"/>
                <w:position w:val="0"/>
              </w:rPr>
              <w:t>;</w:t>
            </w:r>
            <w:r>
              <w:rPr>
                <w:color w:val="000000"/>
                <w:spacing w:val="0"/>
                <w:w w:val="100"/>
                <w:position w:val="0"/>
              </w:rPr>
              <w:t>王 素珍</w:t>
            </w:r>
            <w:r>
              <w:rPr>
                <w:rFonts w:ascii="Times New Roman" w:eastAsia="Times New Roman" w:hAnsi="Times New Roman" w:cs="Times New Roman"/>
                <w:color w:val="000000"/>
                <w:spacing w:val="0"/>
                <w:w w:val="100"/>
                <w:position w:val="0"/>
              </w:rPr>
              <w:t>;</w:t>
            </w:r>
            <w:r>
              <w:rPr>
                <w:color w:val="000000"/>
                <w:spacing w:val="0"/>
                <w:w w:val="100"/>
                <w:position w:val="0"/>
              </w:rPr>
              <w:t>温 长煌</w:t>
            </w:r>
            <w:r>
              <w:rPr>
                <w:rFonts w:ascii="Times New Roman" w:eastAsia="Times New Roman" w:hAnsi="Times New Roman" w:cs="Times New Roman"/>
                <w:color w:val="000000"/>
                <w:spacing w:val="0"/>
                <w:w w:val="100"/>
                <w:position w:val="0"/>
              </w:rPr>
              <w:t>;</w:t>
            </w:r>
            <w:r>
              <w:rPr>
                <w:color w:val="000000"/>
                <w:spacing w:val="0"/>
                <w:w w:val="100"/>
                <w:position w:val="0"/>
              </w:rPr>
              <w:t>肖 勇</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张梅</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张奇</w:t>
            </w:r>
            <w:r>
              <w:rPr>
                <w:rFonts w:ascii="Times New Roman" w:eastAsia="Times New Roman" w:hAnsi="Times New Roman" w:cs="Times New Roman"/>
                <w:color w:val="000000"/>
                <w:spacing w:val="0"/>
                <w:w w:val="100"/>
                <w:position w:val="0"/>
              </w:rPr>
              <w:t>;</w:t>
            </w:r>
            <w:r>
              <w:rPr>
                <w:color w:val="000000"/>
                <w:spacing w:val="0"/>
                <w:w w:val="100"/>
                <w:position w:val="0"/>
              </w:rPr>
              <w:t>郑 升尉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林 初可</w:t>
            </w:r>
            <w:r>
              <w:rPr>
                <w:rFonts w:ascii="Times New Roman" w:eastAsia="Times New Roman" w:hAnsi="Times New Roman" w:cs="Times New Roman"/>
                <w:color w:val="000000"/>
                <w:spacing w:val="0"/>
                <w:w w:val="100"/>
                <w:position w:val="0"/>
              </w:rPr>
              <w:t>;</w:t>
            </w:r>
            <w:r>
              <w:rPr>
                <w:color w:val="000000"/>
                <w:spacing w:val="0"/>
                <w:w w:val="100"/>
                <w:position w:val="0"/>
              </w:rPr>
              <w:t>林 宏</w:t>
            </w:r>
            <w:r>
              <w:rPr>
                <w:rFonts w:ascii="Times New Roman" w:eastAsia="Times New Roman" w:hAnsi="Times New Roman" w:cs="Times New Roman"/>
                <w:color w:val="000000"/>
                <w:spacing w:val="0"/>
                <w:w w:val="100"/>
                <w:position w:val="0"/>
              </w:rPr>
              <w:t>;</w:t>
            </w:r>
            <w:r>
              <w:rPr>
                <w:color w:val="000000"/>
                <w:spacing w:val="0"/>
                <w:w w:val="100"/>
                <w:position w:val="0"/>
              </w:rPr>
              <w:t>刘少 华</w:t>
            </w:r>
            <w:r>
              <w:rPr>
                <w:rFonts w:ascii="Times New Roman" w:eastAsia="Times New Roman" w:hAnsi="Times New Roman" w:cs="Times New Roman"/>
                <w:color w:val="000000"/>
                <w:spacing w:val="0"/>
                <w:w w:val="100"/>
                <w:position w:val="0"/>
              </w:rPr>
              <w:t>;</w:t>
            </w:r>
            <w:r>
              <w:rPr>
                <w:color w:val="000000"/>
                <w:spacing w:val="0"/>
                <w:w w:val="100"/>
                <w:position w:val="0"/>
              </w:rPr>
              <w:t>罗妙 成</w:t>
            </w:r>
            <w:r>
              <w:rPr>
                <w:rFonts w:ascii="Times New Roman" w:eastAsia="Times New Roman" w:hAnsi="Times New Roman" w:cs="Times New Roman"/>
                <w:color w:val="000000"/>
                <w:spacing w:val="0"/>
                <w:w w:val="100"/>
                <w:position w:val="0"/>
              </w:rPr>
              <w:t>;</w:t>
            </w:r>
            <w:r>
              <w:rPr>
                <w:color w:val="000000"/>
                <w:spacing w:val="0"/>
                <w:w w:val="100"/>
                <w:position w:val="0"/>
              </w:rPr>
              <w:t>王敏</w:t>
            </w:r>
            <w:r>
              <w:rPr>
                <w:rFonts w:ascii="Times New Roman" w:eastAsia="Times New Roman" w:hAnsi="Times New Roman" w:cs="Times New Roman"/>
                <w:color w:val="000000"/>
                <w:spacing w:val="0"/>
                <w:w w:val="100"/>
                <w:position w:val="0"/>
              </w:rPr>
              <w:t xml:space="preserve">; </w:t>
            </w:r>
            <w:r>
              <w:rPr>
                <w:color w:val="000000"/>
                <w:spacing w:val="0"/>
                <w:w w:val="100"/>
                <w:position w:val="0"/>
              </w:rPr>
              <w:t>温长煌</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 章明</w:t>
            </w:r>
            <w:r>
              <w:rPr>
                <w:rFonts w:ascii="Times New Roman" w:eastAsia="Times New Roman" w:hAnsi="Times New Roman" w:cs="Times New Roman"/>
                <w:color w:val="000000"/>
                <w:spacing w:val="0"/>
                <w:w w:val="100"/>
                <w:position w:val="0"/>
              </w:rPr>
              <w:t>;</w:t>
            </w:r>
            <w:r>
              <w:rPr>
                <w:color w:val="000000"/>
                <w:spacing w:val="0"/>
                <w:w w:val="100"/>
                <w:position w:val="0"/>
              </w:rPr>
              <w:t>余 双兴</w:t>
            </w:r>
            <w:r>
              <w:rPr>
                <w:rFonts w:ascii="Times New Roman" w:eastAsia="Times New Roman" w:hAnsi="Times New Roman" w:cs="Times New Roman"/>
                <w:color w:val="000000"/>
                <w:spacing w:val="0"/>
                <w:w w:val="100"/>
                <w:position w:val="0"/>
              </w:rPr>
              <w:t>;</w:t>
            </w:r>
            <w:r>
              <w:rPr>
                <w:color w:val="000000"/>
                <w:spacing w:val="0"/>
                <w:w w:val="100"/>
                <w:position w:val="0"/>
              </w:rPr>
              <w:t>张 梅</w:t>
            </w:r>
            <w:r>
              <w:rPr>
                <w:rFonts w:ascii="Times New Roman" w:eastAsia="Times New Roman" w:hAnsi="Times New Roman" w:cs="Times New Roman"/>
                <w:color w:val="000000"/>
                <w:spacing w:val="0"/>
                <w:w w:val="100"/>
                <w:position w:val="0"/>
              </w:rPr>
              <w:t>;</w:t>
            </w:r>
            <w:r>
              <w:rPr>
                <w:color w:val="000000"/>
                <w:spacing w:val="0"/>
                <w:w w:val="100"/>
                <w:position w:val="0"/>
              </w:rPr>
              <w:t>张奇</w:t>
            </w:r>
            <w:r>
              <w:rPr>
                <w:rFonts w:ascii="Times New Roman" w:eastAsia="Times New Roman" w:hAnsi="Times New Roman" w:cs="Times New Roman"/>
                <w:color w:val="000000"/>
                <w:spacing w:val="0"/>
                <w:w w:val="100"/>
                <w:position w:val="0"/>
              </w:rPr>
              <w:t xml:space="preserve">; </w:t>
            </w: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、本人承诺不无偿或以不公平条件向其他单位或者个人输 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、本人承诺对 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、本人承诺不动用公司资产从事 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、本人承诺由董事 会或薪酬与考核委员会制定的薪酬制度与公司填补回报措 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、若公司后续推出公司股权激励计 划，本人承诺拟公布的公司股权激励的行权条件与公司填补 回报措施的执行情况相挂钩。本承诺函出具日后，如中国证 券监督管理委员会、深圳证券交易所等证券监管机构就填补 回报措施及其承诺作出另行规定或提出其他要求的，本人承 诺届时将按照最新规定出具补充承诺。作为填补回报措施相 关责任主体之一，本人若违反上述承诺或拒不履行上述承 诺，本人同意按照中国证监会和深圳证券交易所等证券监管 机构按照其发布的有关规定、规则，对本人作出相关处罚或 采取相关管理措施。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在持续作为福建博思软件股份有限公司控股股东、实际控制 人期间，本人不会越权干预公司的经营管理活动，不会侵占 公司利益。本承诺函出具日后，如中国证券监督管理委员会、 深圳证券交易所等证券监管机构就填补回报措施及其承诺 作出另行规定或提出其他要求的，陈航承诺届时将按照最新 规定出具补充承诺。作为填补回报措施相关责任主体之一， 本人若违反上述承诺或拒不履行上述承诺，本人同意按照中 国证监会和深圳证券交易所等证券监管机构按照其发布的 有关规定、规则，对本人作出相关处罚或采取相关管理措施。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 司中小股 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883"/>
        <w:gridCol w:w="882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 期未履行 完毕的， 应当详细 说明未完 成履行的 具体原因</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及下一步 的工作计 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3"/>
        <w:keepNext/>
        <w:keepLines/>
        <w:widowControl w:val="0"/>
        <w:shd w:val="clear" w:color="auto" w:fill="auto"/>
        <w:bidi w:val="0"/>
        <w:spacing w:before="0" w:line="322" w:lineRule="exact"/>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、公司资产或项目存在盈利预测，且报告期仍处在盈利预测期间，公司就资产或项目达到原盈利预测及 其原因做出说明</w:t>
      </w:r>
      <w:bookmarkEnd w:id="447"/>
      <w:bookmarkEnd w:id="448"/>
      <w:bookmarkEnd w:id="450"/>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w:t>
        <w:tab/>
        <w:t>控股股东及其他关联方对上市公司的非经营性占用资金情况</w:t>
      </w:r>
      <w:bookmarkEnd w:id="451"/>
      <w:bookmarkEnd w:id="452"/>
      <w:bookmarkEnd w:id="454"/>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22" w:val="left"/>
        </w:tabs>
        <w:bidi w:val="0"/>
        <w:spacing w:before="0" w:line="240" w:lineRule="auto"/>
        <w:ind w:left="0" w:right="0" w:firstLine="0"/>
        <w:jc w:val="both"/>
      </w:pPr>
      <w:bookmarkStart w:id="455" w:name="bookmark455"/>
      <w:bookmarkStart w:id="456" w:name="bookmark456"/>
      <w:bookmarkStart w:id="457" w:name="bookmark457"/>
      <w:bookmarkStart w:id="458" w:name="bookmark458"/>
      <w:r>
        <w:rPr>
          <w:color w:val="000000"/>
          <w:spacing w:val="0"/>
          <w:w w:val="100"/>
          <w:position w:val="0"/>
          <w:sz w:val="24"/>
          <w:szCs w:val="24"/>
        </w:rPr>
        <w:t>三</w:t>
      </w:r>
      <w:bookmarkEnd w:id="457"/>
      <w:r>
        <w:rPr>
          <w:color w:val="000000"/>
          <w:spacing w:val="0"/>
          <w:w w:val="100"/>
          <w:position w:val="0"/>
          <w:sz w:val="24"/>
          <w:szCs w:val="24"/>
        </w:rPr>
        <w:t>、</w:t>
        <w:tab/>
        <w:t>违规对外担保情况</w:t>
      </w:r>
      <w:bookmarkEnd w:id="455"/>
      <w:bookmarkEnd w:id="456"/>
      <w:bookmarkEnd w:id="458"/>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line="240" w:lineRule="auto"/>
        <w:ind w:left="0" w:right="0" w:firstLine="0"/>
        <w:jc w:val="both"/>
      </w:pPr>
      <w:bookmarkStart w:id="459" w:name="bookmark459"/>
      <w:bookmarkStart w:id="460" w:name="bookmark460"/>
      <w:bookmarkStart w:id="461" w:name="bookmark461"/>
      <w:bookmarkStart w:id="462" w:name="bookmark462"/>
      <w:r>
        <w:rPr>
          <w:color w:val="000000"/>
          <w:spacing w:val="0"/>
          <w:w w:val="100"/>
          <w:position w:val="0"/>
          <w:sz w:val="24"/>
          <w:szCs w:val="24"/>
        </w:rPr>
        <w:t>四</w:t>
      </w:r>
      <w:bookmarkEnd w:id="46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59"/>
      <w:bookmarkEnd w:id="460"/>
      <w:bookmarkEnd w:id="462"/>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both"/>
      </w:pPr>
      <w:bookmarkStart w:id="463" w:name="bookmark463"/>
      <w:bookmarkStart w:id="464" w:name="bookmark464"/>
      <w:bookmarkStart w:id="465" w:name="bookmark465"/>
      <w:bookmarkStart w:id="466" w:name="bookmark466"/>
      <w:r>
        <w:rPr>
          <w:color w:val="000000"/>
          <w:spacing w:val="0"/>
          <w:w w:val="100"/>
          <w:position w:val="0"/>
          <w:sz w:val="24"/>
          <w:szCs w:val="24"/>
        </w:rPr>
        <w:t>五</w:t>
      </w:r>
      <w:bookmarkEnd w:id="46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3"/>
      <w:bookmarkEnd w:id="464"/>
      <w:bookmarkEnd w:id="466"/>
    </w:p>
    <w:p>
      <w:pPr>
        <w:pStyle w:val="Style22"/>
        <w:keepNext w:val="0"/>
        <w:keepLines w:val="0"/>
        <w:widowControl w:val="0"/>
        <w:numPr>
          <w:ilvl w:val="0"/>
          <w:numId w:val="7"/>
        </w:numPr>
        <w:shd w:val="clear" w:color="auto" w:fill="auto"/>
        <w:tabs>
          <w:tab w:pos="282" w:val="left"/>
        </w:tabs>
        <w:bidi w:val="0"/>
        <w:spacing w:before="0" w:after="360" w:line="240" w:lineRule="auto"/>
        <w:ind w:left="0" w:right="0" w:firstLine="0"/>
        <w:jc w:val="both"/>
      </w:pPr>
      <w:bookmarkStart w:id="467" w:name="bookmark467"/>
      <w:bookmarkEnd w:id="46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both"/>
      </w:pPr>
      <w:bookmarkStart w:id="468" w:name="bookmark468"/>
      <w:bookmarkStart w:id="469" w:name="bookmark469"/>
      <w:bookmarkStart w:id="470" w:name="bookmark470"/>
      <w:bookmarkStart w:id="471" w:name="bookmark471"/>
      <w:r>
        <w:rPr>
          <w:color w:val="000000"/>
          <w:spacing w:val="0"/>
          <w:w w:val="100"/>
          <w:position w:val="0"/>
          <w:sz w:val="24"/>
          <w:szCs w:val="24"/>
        </w:rPr>
        <w:t>六</w:t>
      </w:r>
      <w:bookmarkEnd w:id="470"/>
      <w:r>
        <w:rPr>
          <w:color w:val="000000"/>
          <w:spacing w:val="0"/>
          <w:w w:val="100"/>
          <w:position w:val="0"/>
          <w:sz w:val="24"/>
          <w:szCs w:val="24"/>
        </w:rPr>
        <w:t>、</w:t>
        <w:tab/>
        <w:t>董事会关于报告期会计政策、会计估计变更或重大会计差错更正的说明</w:t>
      </w:r>
      <w:bookmarkEnd w:id="468"/>
      <w:bookmarkEnd w:id="469"/>
      <w:bookmarkEnd w:id="471"/>
    </w:p>
    <w:p>
      <w:pPr>
        <w:pStyle w:val="Style22"/>
        <w:keepNext w:val="0"/>
        <w:keepLines w:val="0"/>
        <w:widowControl w:val="0"/>
        <w:numPr>
          <w:ilvl w:val="0"/>
          <w:numId w:val="7"/>
        </w:numPr>
        <w:shd w:val="clear" w:color="auto" w:fill="auto"/>
        <w:tabs>
          <w:tab w:pos="282" w:val="left"/>
        </w:tabs>
        <w:bidi w:val="0"/>
        <w:spacing w:before="0" w:after="360" w:line="240" w:lineRule="auto"/>
        <w:ind w:left="0" w:right="0" w:firstLine="0"/>
        <w:jc w:val="both"/>
      </w:pPr>
      <w:bookmarkStart w:id="472" w:name="bookmark472"/>
      <w:bookmarkEnd w:id="47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七</w:t>
      </w:r>
      <w:bookmarkEnd w:id="475"/>
      <w:r>
        <w:rPr>
          <w:color w:val="000000"/>
          <w:spacing w:val="0"/>
          <w:w w:val="100"/>
          <w:position w:val="0"/>
          <w:sz w:val="24"/>
          <w:szCs w:val="24"/>
        </w:rPr>
        <w:t>、</w:t>
        <w:tab/>
        <w:t>与上年度财务报告相比，合并报表范围发生变化的情况说明</w:t>
      </w:r>
      <w:bookmarkEnd w:id="473"/>
      <w:bookmarkEnd w:id="474"/>
      <w:bookmarkEnd w:id="476"/>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tbl>
      <w:tblPr>
        <w:tblOverlap w:val="never"/>
        <w:jc w:val="left"/>
        <w:tblLayout w:type="fixed"/>
      </w:tblPr>
      <w:tblGrid>
        <w:gridCol w:w="3379"/>
        <w:gridCol w:w="5170"/>
      </w:tblGrid>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6</w:t>
            </w:r>
            <w:r>
              <w:rPr>
                <w:color w:val="000000"/>
                <w:spacing w:val="0"/>
                <w:w w:val="100"/>
                <w:position w:val="0"/>
              </w:rPr>
              <w:t>月注销，自注销完成之日起不再纳入合并范围</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9</w:t>
            </w:r>
            <w:r>
              <w:rPr>
                <w:color w:val="000000"/>
                <w:spacing w:val="0"/>
                <w:w w:val="100"/>
                <w:position w:val="0"/>
              </w:rPr>
              <w:t>月注销，自注销完成之日起不再纳入合并范围</w:t>
            </w:r>
          </w:p>
        </w:tc>
      </w:tr>
    </w:tbl>
    <w:p>
      <w:pPr>
        <w:widowControl w:val="0"/>
        <w:spacing w:after="239" w:line="1" w:lineRule="exact"/>
      </w:pPr>
    </w:p>
    <w:p>
      <w:pPr>
        <w:pStyle w:val="Style2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、公司本期吸收合并全资子公司吉林省博思金财科技有限公司（以下简称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吉林金财</w:t>
      </w:r>
      <w:r>
        <w:rPr>
          <w:rFonts w:ascii="Times New Roman" w:eastAsia="Times New Roman" w:hAnsi="Times New Roman" w:cs="Times New Roman"/>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月，吉林金财所有资 产、债权、债务等已完成变更或处置，并取得了长春市市场监督管理局南关分局出具的《准予注销登记通知书》，准予吉林 金财注销登记。至此，公司吸收合并吉林金财的相关手续已全部办理完毕，吉林金财的独立法人资格已被注销，其全部资产、 债权债务及其他一切权利和义务均由公司依法承继。</w:t>
      </w:r>
    </w:p>
    <w:p>
      <w:pPr>
        <w:pStyle w:val="Style27"/>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八</w:t>
      </w:r>
      <w:bookmarkEnd w:id="479"/>
      <w:r>
        <w:rPr>
          <w:color w:val="000000"/>
          <w:spacing w:val="0"/>
          <w:w w:val="100"/>
          <w:position w:val="0"/>
          <w:sz w:val="24"/>
          <w:szCs w:val="24"/>
        </w:rPr>
        <w:t>、聘任、解聘会计师事务所情况</w:t>
      </w:r>
      <w:bookmarkEnd w:id="477"/>
      <w:bookmarkEnd w:id="478"/>
      <w:bookmarkEnd w:id="48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曹隆森、熊志平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本报告期，公司因实施</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年股票期权激励计划，聘请上海荣正投资咨询股份有限公司，报告期内已支付财务顾问费</w:t>
      </w:r>
      <w:r>
        <w:rPr>
          <w:rFonts w:ascii="Times New Roman" w:eastAsia="Times New Roman" w:hAnsi="Times New Roman" w:cs="Times New Roman"/>
          <w:color w:val="000000"/>
          <w:spacing w:val="0"/>
          <w:w w:val="100"/>
          <w:position w:val="0"/>
        </w:rPr>
        <w:t>10</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九</w:t>
      </w:r>
      <w:bookmarkEnd w:id="483"/>
      <w:r>
        <w:rPr>
          <w:color w:val="000000"/>
          <w:spacing w:val="0"/>
          <w:w w:val="100"/>
          <w:position w:val="0"/>
          <w:sz w:val="24"/>
          <w:szCs w:val="24"/>
        </w:rPr>
        <w:t>、年度报告披露后面临退市情况</w:t>
      </w:r>
      <w:bookmarkEnd w:id="481"/>
      <w:bookmarkEnd w:id="482"/>
      <w:bookmarkEnd w:id="48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sz w:val="24"/>
          <w:szCs w:val="24"/>
        </w:rPr>
        <w:t>十、破产重整相关事项</w:t>
      </w:r>
      <w:bookmarkEnd w:id="485"/>
      <w:bookmarkEnd w:id="486"/>
      <w:bookmarkEnd w:id="48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十一、重大诉讼、仲裁事项</w:t>
      </w:r>
      <w:bookmarkEnd w:id="488"/>
      <w:bookmarkEnd w:id="489"/>
      <w:bookmarkEnd w:id="49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80" w:line="240" w:lineRule="auto"/>
        <w:ind w:left="0" w:right="0" w:firstLine="0"/>
        <w:jc w:val="both"/>
      </w:pPr>
      <w:bookmarkStart w:id="491" w:name="bookmark491"/>
      <w:bookmarkStart w:id="492" w:name="bookmark492"/>
      <w:bookmarkStart w:id="493" w:name="bookmark493"/>
      <w:r>
        <w:rPr>
          <w:color w:val="000000"/>
          <w:spacing w:val="0"/>
          <w:w w:val="100"/>
          <w:position w:val="0"/>
          <w:sz w:val="24"/>
          <w:szCs w:val="24"/>
        </w:rPr>
        <w:t>十二、处罚及整改情况</w:t>
      </w:r>
      <w:bookmarkEnd w:id="491"/>
      <w:bookmarkEnd w:id="492"/>
      <w:bookmarkEnd w:id="49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both"/>
      </w:pPr>
      <w:bookmarkStart w:id="494" w:name="bookmark494"/>
      <w:bookmarkStart w:id="495" w:name="bookmark495"/>
      <w:bookmarkStart w:id="496" w:name="bookmark496"/>
      <w:r>
        <w:rPr>
          <w:color w:val="000000"/>
          <w:spacing w:val="0"/>
          <w:w w:val="100"/>
          <w:position w:val="0"/>
          <w:sz w:val="24"/>
          <w:szCs w:val="24"/>
        </w:rPr>
        <w:t>十三、公司及其控股股东、实际控制人的诚信状况</w:t>
      </w:r>
      <w:bookmarkEnd w:id="494"/>
      <w:bookmarkEnd w:id="495"/>
      <w:bookmarkEnd w:id="496"/>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97" w:name="bookmark497"/>
      <w:bookmarkStart w:id="498" w:name="bookmark498"/>
      <w:bookmarkStart w:id="499" w:name="bookmark499"/>
      <w:r>
        <w:rPr>
          <w:color w:val="000000"/>
          <w:spacing w:val="0"/>
          <w:w w:val="100"/>
          <w:position w:val="0"/>
          <w:sz w:val="24"/>
          <w:szCs w:val="24"/>
        </w:rPr>
        <w:t>十四、重大关联交易</w:t>
      </w:r>
      <w:bookmarkEnd w:id="497"/>
      <w:bookmarkEnd w:id="498"/>
      <w:bookmarkEnd w:id="499"/>
    </w:p>
    <w:p>
      <w:pPr>
        <w:pStyle w:val="Style33"/>
        <w:keepNext/>
        <w:keepLines/>
        <w:widowControl w:val="0"/>
        <w:shd w:val="clear" w:color="auto" w:fill="auto"/>
        <w:tabs>
          <w:tab w:pos="368" w:val="left"/>
        </w:tabs>
        <w:bidi w:val="0"/>
        <w:spacing w:before="0" w:after="380" w:line="240" w:lineRule="auto"/>
        <w:ind w:left="0" w:right="0" w:firstLine="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w:t>
        <w:tab/>
        <w:t>与日常经营相关的关联交易</w:t>
      </w:r>
      <w:bookmarkEnd w:id="500"/>
      <w:bookmarkEnd w:id="501"/>
      <w:bookmarkEnd w:id="50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资产或股权收购、出售发生的关联交易</w:t>
      </w:r>
      <w:bookmarkEnd w:id="504"/>
      <w:bookmarkEnd w:id="505"/>
      <w:bookmarkEnd w:id="507"/>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共同对外投资的关联交易</w:t>
      </w:r>
      <w:bookmarkEnd w:id="508"/>
      <w:bookmarkEnd w:id="509"/>
      <w:bookmarkEnd w:id="511"/>
    </w:p>
    <w:p>
      <w:pPr>
        <w:pStyle w:val="Style22"/>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w:t>
        <w:tab/>
        <w:t>关联债权债务往来</w:t>
      </w:r>
      <w:bookmarkEnd w:id="513"/>
      <w:bookmarkEnd w:id="514"/>
      <w:bookmarkEnd w:id="516"/>
    </w:p>
    <w:p>
      <w:pPr>
        <w:pStyle w:val="Style22"/>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5</w:t>
      </w:r>
      <w:bookmarkEnd w:id="520"/>
      <w:r>
        <w:rPr>
          <w:color w:val="000000"/>
          <w:spacing w:val="0"/>
          <w:w w:val="100"/>
          <w:position w:val="0"/>
        </w:rPr>
        <w:t>、</w:t>
        <w:tab/>
        <w:t>与存在关联关系的财务公司的往来情况</w:t>
      </w:r>
      <w:bookmarkEnd w:id="518"/>
      <w:bookmarkEnd w:id="519"/>
      <w:bookmarkEnd w:id="521"/>
    </w:p>
    <w:p>
      <w:pPr>
        <w:pStyle w:val="Style22"/>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6</w:t>
      </w:r>
      <w:bookmarkEnd w:id="525"/>
      <w:r>
        <w:rPr>
          <w:color w:val="000000"/>
          <w:spacing w:val="0"/>
          <w:w w:val="100"/>
          <w:position w:val="0"/>
        </w:rPr>
        <w:t>、</w:t>
        <w:tab/>
        <w:t>公司控股的财务公司与关联方的往来情况</w:t>
      </w:r>
      <w:bookmarkEnd w:id="523"/>
      <w:bookmarkEnd w:id="524"/>
      <w:bookmarkEnd w:id="526"/>
    </w:p>
    <w:p>
      <w:pPr>
        <w:pStyle w:val="Style22"/>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after="38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7</w:t>
      </w:r>
      <w:bookmarkEnd w:id="530"/>
      <w:r>
        <w:rPr>
          <w:color w:val="000000"/>
          <w:spacing w:val="0"/>
          <w:w w:val="100"/>
          <w:position w:val="0"/>
        </w:rPr>
        <w:t>、</w:t>
        <w:tab/>
        <w:t>其他重大关联交易</w:t>
      </w:r>
      <w:bookmarkEnd w:id="528"/>
      <w:bookmarkEnd w:id="529"/>
      <w:bookmarkEnd w:id="531"/>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13" w:lineRule="exact"/>
        <w:ind w:left="0" w:right="0"/>
        <w:jc w:val="both"/>
      </w:pPr>
      <w:bookmarkStart w:id="532" w:name="bookmark532"/>
      <w:r>
        <w:rPr>
          <w:rFonts w:ascii="Times New Roman" w:eastAsia="Times New Roman" w:hAnsi="Times New Roman" w:cs="Times New Roman"/>
          <w:color w:val="000000"/>
          <w:spacing w:val="0"/>
          <w:w w:val="100"/>
          <w:position w:val="0"/>
        </w:rPr>
        <w:t>1</w:t>
      </w:r>
      <w:bookmarkEnd w:id="532"/>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日召开第三届董事会第三十三次会议，审议通过《关于控股子公司少数股东股权变更暨关联交易 的议案》，同意公司控股子公司博思数村科技发展有限公司（以下简称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博思数村</w:t>
      </w:r>
      <w:r>
        <w:rPr>
          <w:rFonts w:ascii="Times New Roman" w:eastAsia="Times New Roman" w:hAnsi="Times New Roman" w:cs="Times New Roman"/>
          <w:color w:val="000000"/>
          <w:spacing w:val="0"/>
          <w:w w:val="100"/>
          <w:position w:val="0"/>
        </w:rPr>
        <w:t>”</w:t>
      </w:r>
      <w:r>
        <w:rPr>
          <w:color w:val="000000"/>
          <w:spacing w:val="0"/>
          <w:w w:val="100"/>
          <w:position w:val="0"/>
        </w:rPr>
        <w:t>）的少数股东福州市长乐区启点科技中心</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启点科技</w:t>
      </w:r>
      <w:r>
        <w:rPr>
          <w:rFonts w:ascii="Times New Roman" w:eastAsia="Times New Roman" w:hAnsi="Times New Roman" w:cs="Times New Roman"/>
          <w:color w:val="000000"/>
          <w:spacing w:val="0"/>
          <w:w w:val="100"/>
          <w:position w:val="0"/>
        </w:rPr>
        <w:t>”</w:t>
      </w:r>
      <w:r>
        <w:rPr>
          <w:color w:val="000000"/>
          <w:spacing w:val="0"/>
          <w:w w:val="100"/>
          <w:position w:val="0"/>
        </w:rPr>
        <w:t>）合伙人将其合计持有的启点科技</w:t>
      </w:r>
      <w:r>
        <w:rPr>
          <w:rFonts w:ascii="Times New Roman" w:eastAsia="Times New Roman" w:hAnsi="Times New Roman" w:cs="Times New Roman"/>
          <w:color w:val="000000"/>
          <w:spacing w:val="0"/>
          <w:w w:val="100"/>
          <w:position w:val="0"/>
        </w:rPr>
        <w:t>34.21%</w:t>
      </w:r>
      <w:r>
        <w:rPr>
          <w:color w:val="000000"/>
          <w:spacing w:val="0"/>
          <w:w w:val="100"/>
          <w:position w:val="0"/>
        </w:rPr>
        <w:t>的股权转让给公司控股股东、实际控制人陈航 先生。本次股权变更仅为公司控股子公司少数股东内部合伙人份额的转让，不与上市公司直接产生交易，启点科技持有博思 数村股权比例不变。公司根据实质重于形式以及谨慎原则，将与启点科技合资设立博思数村事项认定为关联交易。上述事项 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bidi w:val="0"/>
        <w:spacing w:before="0" w:after="0" w:line="315" w:lineRule="exact"/>
        <w:ind w:left="0" w:right="0"/>
        <w:jc w:val="both"/>
      </w:pPr>
      <w:bookmarkStart w:id="533" w:name="bookmark533"/>
      <w:r>
        <w:rPr>
          <w:rFonts w:ascii="Times New Roman" w:eastAsia="Times New Roman" w:hAnsi="Times New Roman" w:cs="Times New Roman"/>
          <w:color w:val="000000"/>
          <w:spacing w:val="0"/>
          <w:w w:val="100"/>
          <w:position w:val="0"/>
        </w:rPr>
        <w:t>2</w:t>
      </w:r>
      <w:bookmarkEnd w:id="533"/>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日召开第四届董事会第二次会议，审议通过《关于控股子公司少数股东股权变更暨关联交易的议 案》，同意公司基于相关法律法规对有限合伙企业合伙人数的限制要求，将博思数采科技发展有限公司（以下简称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数采科 技</w:t>
      </w:r>
      <w:r>
        <w:rPr>
          <w:rFonts w:ascii="Times New Roman" w:eastAsia="Times New Roman" w:hAnsi="Times New Roman" w:cs="Times New Roman"/>
          <w:color w:val="000000"/>
          <w:spacing w:val="0"/>
          <w:w w:val="100"/>
          <w:position w:val="0"/>
        </w:rPr>
        <w:t>”</w:t>
      </w:r>
      <w:r>
        <w:rPr>
          <w:color w:val="000000"/>
          <w:spacing w:val="0"/>
          <w:w w:val="100"/>
          <w:position w:val="0"/>
        </w:rPr>
        <w:t>）的少数股东福州市长乐区博思数采股权投资合伙企业（有限合伙）持有份额拆分成四个平台持股。因公司部分董事、 高管持有上述员工持股平台份额，本次交易构成关联交易。上述事项具体内容详见公司于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日刊登于巨潮资讯网</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657" w:val="left"/>
        </w:tabs>
        <w:bidi w:val="0"/>
        <w:spacing w:before="0" w:after="0" w:line="314" w:lineRule="exact"/>
        <w:ind w:left="0" w:right="0"/>
        <w:jc w:val="both"/>
      </w:pPr>
      <w:bookmarkStart w:id="534" w:name="bookmark534"/>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日召开第四届董事会第三次会议，审议通过《关于终止发行股份购买资产并募集配套资金暨关联 交易事项的议案》，同意公司终止发行股份购买资产并募集配套资金暨关联交易事项，并向深圳证券交易所申请撤回相关申 请文件。上述事项具体内容详见公司于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657" w:val="left"/>
        </w:tabs>
        <w:bidi w:val="0"/>
        <w:spacing w:before="0" w:after="120" w:line="314" w:lineRule="exact"/>
        <w:ind w:left="0" w:right="0"/>
        <w:jc w:val="both"/>
      </w:pPr>
      <w:bookmarkStart w:id="535" w:name="bookmark535"/>
      <w:r>
        <w:rPr>
          <w:rFonts w:ascii="Times New Roman" w:eastAsia="Times New Roman" w:hAnsi="Times New Roman" w:cs="Times New Roman"/>
          <w:color w:val="000000"/>
          <w:spacing w:val="0"/>
          <w:w w:val="100"/>
          <w:position w:val="0"/>
        </w:rPr>
        <w:t>4</w:t>
      </w:r>
      <w:bookmarkEnd w:id="535"/>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日召开第四届董事会第七次会议，审议通过《关于公司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年度向特定对象发行股票方案的议 案》等议案，同意公司向控股股东、实际控制人陈航先生发行股票，本次发行的募集资金总额不超过</w:t>
      </w:r>
      <w:r>
        <w:rPr>
          <w:rFonts w:ascii="Times New Roman" w:eastAsia="Times New Roman" w:hAnsi="Times New Roman" w:cs="Times New Roman"/>
          <w:color w:val="000000"/>
          <w:spacing w:val="0"/>
          <w:w w:val="100"/>
          <w:position w:val="0"/>
        </w:rPr>
        <w:t>20,000</w:t>
      </w:r>
      <w:r>
        <w:rPr>
          <w:color w:val="000000"/>
          <w:spacing w:val="0"/>
          <w:w w:val="100"/>
          <w:position w:val="0"/>
        </w:rPr>
        <w:t>万元（含本数）， 扣除发行费用后将全部用于补充流动资金。相关议案已经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日，公司收到深圳证券交易所出具的《关于受理福建博思软件股份有限公司向特定对象发行股票申请文件的通知》。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日，公司披露了《关于福建博思软件股份有限公司申请向特定对象发行股票的审核问询函的回复》等相关公告， 公司及各中介机构就深交所于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日出具的《关于福建博思软件股份有限公司申请向特定对象发行股票的审核问询 函》（审核函〔</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020056</w:t>
      </w:r>
      <w:r>
        <w:rPr>
          <w:color w:val="000000"/>
          <w:spacing w:val="0"/>
          <w:w w:val="100"/>
          <w:position w:val="0"/>
        </w:rPr>
        <w:t>号）相关问题作出回复。上述事项具体内容详见公司刊登于巨潮资讯网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上的相关公告。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关于控股子公司少数股东股权变更暨关联 交易的公告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关于控股子公司少数股东股权变更暨关联 交易的公告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关于终止发行股份购买资产并募集配套资 金暨关联交易事项并撤回申请文件的公告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《关于福建博思软件股份有限公司申请向 特定对象发行股票的审核问询函的回复》等 相关公告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63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十五、重大合同及其履行情况</w:t>
      </w:r>
      <w:bookmarkEnd w:id="536"/>
      <w:bookmarkEnd w:id="537"/>
      <w:bookmarkEnd w:id="538"/>
    </w:p>
    <w:p>
      <w:pPr>
        <w:pStyle w:val="Style33"/>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、托管、承包、租赁事项情况</w:t>
      </w:r>
      <w:bookmarkEnd w:id="539"/>
      <w:bookmarkEnd w:id="540"/>
      <w:bookmarkEnd w:id="542"/>
    </w:p>
    <w:p>
      <w:pPr>
        <w:pStyle w:val="Style33"/>
        <w:keepNext/>
        <w:keepLines/>
        <w:widowControl w:val="0"/>
        <w:shd w:val="clear" w:color="auto" w:fill="auto"/>
        <w:bidi w:val="0"/>
        <w:spacing w:before="0" w:line="240" w:lineRule="auto"/>
        <w:ind w:left="0" w:right="0" w:firstLine="0"/>
        <w:jc w:val="left"/>
      </w:pPr>
      <w:bookmarkStart w:id="539" w:name="bookmark539"/>
      <w:bookmarkStart w:id="540" w:name="bookmark540"/>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39"/>
      <w:bookmarkEnd w:id="540"/>
      <w:bookmarkEnd w:id="54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5"/>
      <w:bookmarkEnd w:id="546"/>
      <w:bookmarkEnd w:id="548"/>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9"/>
      <w:bookmarkEnd w:id="550"/>
      <w:bookmarkEnd w:id="55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bidi w:val="0"/>
        <w:spacing w:before="0" w:after="38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、重大担保</w:t>
      </w:r>
      <w:bookmarkEnd w:id="553"/>
      <w:bookmarkEnd w:id="554"/>
      <w:bookmarkEnd w:id="556"/>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福州科易 软件有限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福州科易 软件有限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福建省绿 城供应链 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福建五谷 香餐饮管 理有限公</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报告期内审批的对外担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报告期末实际对外担保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采用复合方式担保的具体情况说明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、委托他人进行现金资产管理情况</w:t>
      </w:r>
      <w:bookmarkEnd w:id="557"/>
      <w:bookmarkEnd w:id="558"/>
      <w:bookmarkEnd w:id="560"/>
    </w:p>
    <w:p>
      <w:pPr>
        <w:pStyle w:val="Style33"/>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7"/>
      <w:bookmarkEnd w:id="558"/>
      <w:bookmarkEnd w:id="56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单项金额重大或安全性较低、流动性较差的高风险委托理财具体情况</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委托理财出现预期无法收回本金或存在其他可能导致减值的情形</w:t>
      </w:r>
    </w:p>
    <w:p>
      <w:pPr>
        <w:pStyle w:val="Style22"/>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9"/>
        </w:numPr>
        <w:shd w:val="clear" w:color="auto" w:fill="auto"/>
        <w:bidi w:val="0"/>
        <w:spacing w:before="0" w:after="380" w:line="240" w:lineRule="auto"/>
        <w:ind w:left="0" w:right="0" w:firstLine="0"/>
        <w:jc w:val="both"/>
      </w:pPr>
      <w:bookmarkStart w:id="563" w:name="bookmark563"/>
      <w:bookmarkStart w:id="564" w:name="bookmark564"/>
      <w:bookmarkStart w:id="565" w:name="bookmark565"/>
      <w:bookmarkStart w:id="566" w:name="bookmark566"/>
      <w:bookmarkEnd w:id="565"/>
      <w:r>
        <w:rPr>
          <w:color w:val="000000"/>
          <w:spacing w:val="0"/>
          <w:w w:val="100"/>
          <w:position w:val="0"/>
        </w:rPr>
        <w:t>委托贷款情况</w:t>
      </w:r>
      <w:bookmarkEnd w:id="563"/>
      <w:bookmarkEnd w:id="564"/>
      <w:bookmarkEnd w:id="566"/>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4</w:t>
      </w:r>
      <w:bookmarkEnd w:id="569"/>
      <w:r>
        <w:rPr>
          <w:color w:val="000000"/>
          <w:spacing w:val="0"/>
          <w:w w:val="100"/>
          <w:position w:val="0"/>
        </w:rPr>
        <w:t>、其他重大合同</w:t>
      </w:r>
      <w:bookmarkEnd w:id="567"/>
      <w:bookmarkEnd w:id="568"/>
      <w:bookmarkEnd w:id="570"/>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both"/>
      </w:pPr>
      <w:bookmarkStart w:id="571" w:name="bookmark571"/>
      <w:bookmarkStart w:id="572" w:name="bookmark572"/>
      <w:bookmarkStart w:id="573" w:name="bookmark573"/>
      <w:r>
        <w:rPr>
          <w:color w:val="000000"/>
          <w:spacing w:val="0"/>
          <w:w w:val="100"/>
          <w:position w:val="0"/>
          <w:sz w:val="24"/>
          <w:szCs w:val="24"/>
        </w:rPr>
        <w:t>十六、其他重大事项的说明</w:t>
      </w:r>
      <w:bookmarkEnd w:id="571"/>
      <w:bookmarkEnd w:id="572"/>
      <w:bookmarkEnd w:id="573"/>
    </w:p>
    <w:p>
      <w:pPr>
        <w:pStyle w:val="Style22"/>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tabs>
          <w:tab w:pos="701" w:val="left"/>
        </w:tabs>
        <w:bidi w:val="0"/>
        <w:spacing w:before="0" w:after="0"/>
        <w:ind w:left="0" w:right="0"/>
        <w:jc w:val="both"/>
      </w:pPr>
      <w:bookmarkStart w:id="574" w:name="bookmark574"/>
      <w:r>
        <w:rPr>
          <w:rFonts w:ascii="Times New Roman" w:eastAsia="Times New Roman" w:hAnsi="Times New Roman" w:cs="Times New Roman"/>
          <w:color w:val="000000"/>
          <w:spacing w:val="0"/>
          <w:w w:val="100"/>
          <w:position w:val="0"/>
        </w:rPr>
        <w:t>1</w:t>
      </w:r>
      <w:bookmarkEnd w:id="574"/>
      <w:r>
        <w:rPr>
          <w:color w:val="000000"/>
          <w:spacing w:val="0"/>
          <w:w w:val="100"/>
          <w:position w:val="0"/>
        </w:rPr>
        <w:t>、</w:t>
        <w:tab/>
        <w:t>梳理未来五年战略规划</w:t>
      </w:r>
    </w:p>
    <w:p>
      <w:pPr>
        <w:pStyle w:val="Style22"/>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年是公司成立二十周年，也是上市五周年。过去二十年，公司专注进取，业绩持续增长。值此二十周年之际，</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月中旬公司管理层及核心骨干就公司使命、愿景及未来五年战略规划等进行了梳理，公司管理层将根据此次战略部署，不断 拓展业务，加强研发能力，提升核心竞争力和持续盈利能力。</w:t>
      </w:r>
    </w:p>
    <w:p>
      <w:pPr>
        <w:pStyle w:val="Style22"/>
        <w:keepNext w:val="0"/>
        <w:keepLines w:val="0"/>
        <w:widowControl w:val="0"/>
        <w:shd w:val="clear" w:color="auto" w:fill="auto"/>
        <w:tabs>
          <w:tab w:pos="721" w:val="left"/>
        </w:tabs>
        <w:bidi w:val="0"/>
        <w:spacing w:before="0" w:after="0"/>
        <w:ind w:left="0" w:right="0"/>
        <w:jc w:val="both"/>
      </w:pPr>
      <w:bookmarkStart w:id="575" w:name="bookmark575"/>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终止发行股份购买资产并募集配套资金事项</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日召开第三届董事会第二十三次会议、第三届监事会第十九次会议，审议通过《关于公司发行股份 购买资产并募集配套资金暨关联交易具体方案的议案》等议案。鉴于前次董事会决议公告后，董事会在</w:t>
      </w:r>
      <w:r>
        <w:rPr>
          <w:rFonts w:ascii="Times New Roman" w:eastAsia="Times New Roman" w:hAnsi="Times New Roman" w:cs="Times New Roman"/>
          <w:color w:val="000000"/>
          <w:spacing w:val="0"/>
          <w:w w:val="100"/>
          <w:position w:val="0"/>
        </w:rPr>
        <w:t>6</w:t>
      </w:r>
      <w:r>
        <w:rPr>
          <w:color w:val="000000"/>
          <w:spacing w:val="0"/>
          <w:w w:val="100"/>
          <w:position w:val="0"/>
        </w:rPr>
        <w:t>个月内未发布召开 股东大会通知，公司于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日重新召开董事会、监事会审议发行股份购买资产事项，并调整了本次重组方案。上述事 项已经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日收到深交所受理通知书。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公司收到深交所审核问询函，</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日对审核问询函进行回复，并于</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日就审核问询函相关问题进行了补充回复。</w:t>
      </w:r>
    </w:p>
    <w:p>
      <w:pPr>
        <w:pStyle w:val="Style22"/>
        <w:keepNext w:val="0"/>
        <w:keepLines w:val="0"/>
        <w:widowControl w:val="0"/>
        <w:shd w:val="clear" w:color="auto" w:fill="auto"/>
        <w:bidi w:val="0"/>
        <w:spacing w:before="0" w:after="120" w:line="312" w:lineRule="exact"/>
        <w:ind w:left="0" w:right="0"/>
        <w:jc w:val="both"/>
      </w:pPr>
      <w:r>
        <w:rPr>
          <w:color w:val="000000"/>
          <w:spacing w:val="0"/>
          <w:w w:val="100"/>
          <w:position w:val="0"/>
        </w:rPr>
        <w:t>鉴于本次重组事项自筹划以来已历时较长，市场环境较本次重组筹划之初发生较大变化，公司认为现阶段继续推进本次 重组存在较大不确定性风险。为了切实维护广大投资者利益，经审慎研究并与交易各方友好协商，公司于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 第四届董事会第三次会议、第四届监事会第三次会议，审议通过《关于终止发行股份购买资产并募集配套资金暨关联交易事 项的议案》、《关于公司与交易对方签署发行股份购买资产并募集配套资金暨关联交易相关协议之终止协议的议案》，同意 公司终止本次重组及与交易对方签署本次重组相关协议之终止协议，并向深交所申请撤回相关申请文件。具体内容详见刊登 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721" w:val="left"/>
        </w:tabs>
        <w:bidi w:val="0"/>
        <w:spacing w:before="0" w:after="0"/>
        <w:ind w:left="0" w:right="0"/>
        <w:jc w:val="both"/>
      </w:pPr>
      <w:bookmarkStart w:id="576" w:name="bookmark576"/>
      <w:r>
        <w:rPr>
          <w:rFonts w:ascii="Times New Roman" w:eastAsia="Times New Roman" w:hAnsi="Times New Roman" w:cs="Times New Roman"/>
          <w:color w:val="000000"/>
          <w:spacing w:val="0"/>
          <w:w w:val="100"/>
          <w:position w:val="0"/>
        </w:rPr>
        <w:t>3</w:t>
      </w:r>
      <w:bookmarkEnd w:id="576"/>
      <w:r>
        <w:rPr>
          <w:color w:val="000000"/>
          <w:spacing w:val="0"/>
          <w:w w:val="100"/>
          <w:position w:val="0"/>
        </w:rPr>
        <w:t>、</w:t>
        <w:tab/>
        <w:t>回购公司股份事项</w:t>
      </w:r>
    </w:p>
    <w:p>
      <w:pPr>
        <w:pStyle w:val="Style22"/>
        <w:keepNext w:val="0"/>
        <w:keepLines w:val="0"/>
        <w:widowControl w:val="0"/>
        <w:shd w:val="clear" w:color="auto" w:fill="auto"/>
        <w:bidi w:val="0"/>
        <w:spacing w:before="0" w:after="120" w:line="312" w:lineRule="exact"/>
        <w:ind w:left="0" w:right="0"/>
        <w:jc w:val="both"/>
      </w:pPr>
      <w:r>
        <w:rPr>
          <w:color w:val="000000"/>
          <w:spacing w:val="0"/>
          <w:w w:val="100"/>
          <w:position w:val="0"/>
        </w:rPr>
        <w:t>基于对公司未来发展前景的信心和对公司内在价值的认可，为维护广大投资者利益，增强投资者信心，并进一步完善公 司长效激励机制，公司于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日召开第四届董事会第三次会议、第四届监事会第三次会议审议通过《关于回购公司股 份方案的议案》，同意使用自有资金或自筹资金通过集中竞价交易方式回购公司股份用于实施员工持股计划或股权激励计划。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日披露《关于回购股份比例达到</w:t>
      </w:r>
      <w:r>
        <w:rPr>
          <w:rFonts w:ascii="Times New Roman" w:eastAsia="Times New Roman" w:hAnsi="Times New Roman" w:cs="Times New Roman"/>
          <w:color w:val="000000"/>
          <w:spacing w:val="0"/>
          <w:w w:val="100"/>
          <w:position w:val="0"/>
        </w:rPr>
        <w:t>1%</w:t>
      </w:r>
      <w:r>
        <w:rPr>
          <w:color w:val="000000"/>
          <w:spacing w:val="0"/>
          <w:w w:val="100"/>
          <w:position w:val="0"/>
        </w:rPr>
        <w:t>及实施完成暨股份变动的公告》，截至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日，累计回购 公司股份</w:t>
      </w:r>
      <w:r>
        <w:rPr>
          <w:rFonts w:ascii="Times New Roman" w:eastAsia="Times New Roman" w:hAnsi="Times New Roman" w:cs="Times New Roman"/>
          <w:color w:val="000000"/>
          <w:spacing w:val="0"/>
          <w:w w:val="100"/>
          <w:position w:val="0"/>
        </w:rPr>
        <w:t>4,089,792</w:t>
      </w:r>
      <w:r>
        <w:rPr>
          <w:color w:val="000000"/>
          <w:spacing w:val="0"/>
          <w:w w:val="100"/>
          <w:position w:val="0"/>
        </w:rPr>
        <w:t>股，占公司当时总股本的</w:t>
      </w:r>
      <w:r>
        <w:rPr>
          <w:rFonts w:ascii="Times New Roman" w:eastAsia="Times New Roman" w:hAnsi="Times New Roman" w:cs="Times New Roman"/>
          <w:color w:val="000000"/>
          <w:spacing w:val="0"/>
          <w:w w:val="100"/>
          <w:position w:val="0"/>
        </w:rPr>
        <w:t>1.0258%</w:t>
      </w:r>
      <w:r>
        <w:rPr>
          <w:color w:val="000000"/>
          <w:spacing w:val="0"/>
          <w:w w:val="100"/>
          <w:position w:val="0"/>
        </w:rPr>
        <w:t>，最高成交价为</w:t>
      </w:r>
      <w:r>
        <w:rPr>
          <w:rFonts w:ascii="Times New Roman" w:eastAsia="Times New Roman" w:hAnsi="Times New Roman" w:cs="Times New Roman"/>
          <w:color w:val="000000"/>
          <w:spacing w:val="0"/>
          <w:w w:val="100"/>
          <w:position w:val="0"/>
        </w:rPr>
        <w:t>21.83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18.55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股，成交总金额为 </w:t>
      </w:r>
      <w:r>
        <w:rPr>
          <w:rFonts w:ascii="Times New Roman" w:eastAsia="Times New Roman" w:hAnsi="Times New Roman" w:cs="Times New Roman"/>
          <w:color w:val="000000"/>
          <w:spacing w:val="0"/>
          <w:w w:val="100"/>
          <w:position w:val="0"/>
        </w:rPr>
        <w:t>79,896,150.05</w:t>
      </w:r>
      <w:r>
        <w:rPr>
          <w:color w:val="000000"/>
          <w:spacing w:val="0"/>
          <w:w w:val="100"/>
          <w:position w:val="0"/>
        </w:rPr>
        <w:t>元(不含交易费用)。至此，公司本次股份回购事项实施完毕。具体内容详见刊登于巨潮资讯网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721" w:val="left"/>
        </w:tabs>
        <w:bidi w:val="0"/>
        <w:spacing w:before="0" w:after="0"/>
        <w:ind w:left="0" w:right="0"/>
        <w:jc w:val="both"/>
      </w:pPr>
      <w:bookmarkStart w:id="577" w:name="bookmark577"/>
      <w:r>
        <w:rPr>
          <w:rFonts w:ascii="Times New Roman" w:eastAsia="Times New Roman" w:hAnsi="Times New Roman" w:cs="Times New Roman"/>
          <w:color w:val="000000"/>
          <w:spacing w:val="0"/>
          <w:w w:val="100"/>
          <w:position w:val="0"/>
        </w:rPr>
        <w:t>4</w:t>
      </w:r>
      <w:bookmarkEnd w:id="57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年度向特定对象发行股票事项</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日召开第四届董事会第七次会议，审议通过《关于公司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年度向特定对象发行股票方案的议案》 </w:t>
      </w:r>
      <w:r>
        <w:rPr>
          <w:color w:val="000000"/>
          <w:spacing w:val="0"/>
          <w:w w:val="100"/>
          <w:position w:val="0"/>
        </w:rPr>
        <w:t>等议案，同意公司向控股股东、实际控制人陈航先生发行股票，本次发行的募集资金总额不超过</w:t>
      </w:r>
      <w:r>
        <w:rPr>
          <w:rFonts w:ascii="Times New Roman" w:eastAsia="Times New Roman" w:hAnsi="Times New Roman" w:cs="Times New Roman"/>
          <w:color w:val="000000"/>
          <w:spacing w:val="0"/>
          <w:w w:val="100"/>
          <w:position w:val="0"/>
        </w:rPr>
        <w:t>20,000</w:t>
      </w:r>
      <w:r>
        <w:rPr>
          <w:color w:val="000000"/>
          <w:spacing w:val="0"/>
          <w:w w:val="100"/>
          <w:position w:val="0"/>
        </w:rPr>
        <w:t>万元，扣除发行费用 后将全部用于补充流动资金。相关议案已经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 司收到深圳证券交易所出具的《关于受理福建博思软件股份有限公司向特定对象发行股票申请文件的通知》。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日，公司披露了《关于福建博思软件股份有限公司申请向特定对象发行股票的审核问询函的回复》等相关公告，公司及各中 介机构就深交所于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日出具的《关于福建博思软件股份有限公司申请向特定对象发行股票的审核问询函》(审核 函〔</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020056</w:t>
      </w:r>
      <w:r>
        <w:rPr>
          <w:color w:val="000000"/>
          <w:spacing w:val="0"/>
          <w:w w:val="100"/>
          <w:position w:val="0"/>
        </w:rPr>
        <w:t>号)相关问题作出回复。具体内容详见刊登于巨潮资讯网(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664" w:val="left"/>
        </w:tabs>
        <w:bidi w:val="0"/>
        <w:spacing w:before="0" w:after="0"/>
        <w:ind w:left="0" w:right="0"/>
        <w:jc w:val="both"/>
      </w:pPr>
      <w:bookmarkStart w:id="578" w:name="bookmark578"/>
      <w:r>
        <w:rPr>
          <w:rFonts w:ascii="Times New Roman" w:eastAsia="Times New Roman" w:hAnsi="Times New Roman" w:cs="Times New Roman"/>
          <w:color w:val="000000"/>
          <w:spacing w:val="0"/>
          <w:w w:val="100"/>
          <w:position w:val="0"/>
        </w:rPr>
        <w:t>5</w:t>
      </w:r>
      <w:bookmarkEnd w:id="578"/>
      <w:r>
        <w:rPr>
          <w:color w:val="000000"/>
          <w:spacing w:val="0"/>
          <w:w w:val="100"/>
          <w:position w:val="0"/>
        </w:rPr>
        <w:t>、</w:t>
        <w:tab/>
        <w:t>董监高换届事项</w:t>
      </w:r>
    </w:p>
    <w:p>
      <w:pPr>
        <w:pStyle w:val="Style22"/>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年第一次临时股东大会，按照法律规范和章程规定选举产生了第四届董事会、监事会成员， 同日，公司第四届董事会第一次会议选举产生了第四届董事会战略、审计、提名、薪酬与考核四个委员会成员以及第四届董 事会董事长、聘任了公司高管，第四届监事会第一次会议选举产生了新一届监事会主席，顺利完成了董监高的换届工作，健 全完善了公司的法人治理结构。具体内容详见刊登于巨潮资讯网(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669" w:val="left"/>
        </w:tabs>
        <w:bidi w:val="0"/>
        <w:spacing w:before="0" w:after="0"/>
        <w:ind w:left="0" w:right="0"/>
        <w:jc w:val="both"/>
      </w:pPr>
      <w:bookmarkStart w:id="579" w:name="bookmark579"/>
      <w:r>
        <w:rPr>
          <w:rFonts w:ascii="Times New Roman" w:eastAsia="Times New Roman" w:hAnsi="Times New Roman" w:cs="Times New Roman"/>
          <w:color w:val="000000"/>
          <w:spacing w:val="0"/>
          <w:w w:val="100"/>
          <w:position w:val="0"/>
        </w:rPr>
        <w:t>6</w:t>
      </w:r>
      <w:bookmarkEnd w:id="579"/>
      <w:r>
        <w:rPr>
          <w:color w:val="000000"/>
          <w:spacing w:val="0"/>
          <w:w w:val="100"/>
          <w:position w:val="0"/>
        </w:rPr>
        <w:t>、</w:t>
        <w:tab/>
        <w:t>变更董事、高级管理人员事项</w:t>
      </w:r>
    </w:p>
    <w:p>
      <w:pPr>
        <w:pStyle w:val="Style22"/>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日，董事会收到王景田先生的辞职报告，王景田先生因个人原因申请辞去公司第三届董事会董事职务。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日，董事会分别收到公司副总经理兼财务总监郑升尉先生、副总经理余双兴先生辞职报告，郑升尉先生因工作安排调 整申请辞去公司财务总监职务，其辞去财务总监职务后仍继续担任公司副总经理，并分管公司电子政务业务等事项；余双兴 先生因个人原因辞去公司副总经理职务，其辞去副总经理职务后继续在公司参股公司任职。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日，公司召开第三 届董事会第三十三次会议，同意聘任林宏先生担任公司财务总监。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年年度股东大会，同意选 举郑升尉先生为公司第三届董事会非独立董事。上述人员变更具体内容详见刊登于巨潮资讯网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 相关公告。</w:t>
      </w:r>
    </w:p>
    <w:p>
      <w:pPr>
        <w:pStyle w:val="Style22"/>
        <w:keepNext w:val="0"/>
        <w:keepLines w:val="0"/>
        <w:widowControl w:val="0"/>
        <w:shd w:val="clear" w:color="auto" w:fill="auto"/>
        <w:tabs>
          <w:tab w:pos="669" w:val="left"/>
        </w:tabs>
        <w:bidi w:val="0"/>
        <w:spacing w:before="0" w:after="0"/>
        <w:ind w:left="0" w:right="0"/>
        <w:jc w:val="both"/>
      </w:pPr>
      <w:bookmarkStart w:id="580" w:name="bookmark580"/>
      <w:r>
        <w:rPr>
          <w:rFonts w:ascii="Times New Roman" w:eastAsia="Times New Roman" w:hAnsi="Times New Roman" w:cs="Times New Roman"/>
          <w:color w:val="000000"/>
          <w:spacing w:val="0"/>
          <w:w w:val="100"/>
          <w:position w:val="0"/>
        </w:rPr>
        <w:t>7</w:t>
      </w:r>
      <w:bookmarkEnd w:id="580"/>
      <w:r>
        <w:rPr>
          <w:color w:val="000000"/>
          <w:spacing w:val="0"/>
          <w:w w:val="100"/>
          <w:position w:val="0"/>
        </w:rPr>
        <w:t>、</w:t>
        <w:tab/>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以上股东减持事项</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以上股东减持计划预披露公告》，持有公司股份数量</w:t>
      </w:r>
      <w:r>
        <w:rPr>
          <w:rFonts w:ascii="Times New Roman" w:eastAsia="Times New Roman" w:hAnsi="Times New Roman" w:cs="Times New Roman"/>
          <w:color w:val="000000"/>
          <w:spacing w:val="0"/>
          <w:w w:val="100"/>
          <w:position w:val="0"/>
        </w:rPr>
        <w:t>16,809,135</w:t>
      </w:r>
      <w:r>
        <w:rPr>
          <w:color w:val="000000"/>
          <w:spacing w:val="0"/>
          <w:w w:val="100"/>
          <w:position w:val="0"/>
        </w:rPr>
        <w:t>股(占当时 公司总股本比例</w:t>
      </w:r>
      <w:r>
        <w:rPr>
          <w:rFonts w:ascii="Times New Roman" w:eastAsia="Times New Roman" w:hAnsi="Times New Roman" w:cs="Times New Roman"/>
          <w:color w:val="000000"/>
          <w:spacing w:val="0"/>
          <w:w w:val="100"/>
          <w:position w:val="0"/>
        </w:rPr>
        <w:t>5.95%</w:t>
      </w:r>
      <w:r>
        <w:rPr>
          <w:color w:val="000000"/>
          <w:spacing w:val="0"/>
          <w:w w:val="100"/>
          <w:position w:val="0"/>
        </w:rPr>
        <w:t>)的股东福建省电子信息(集团)有限责任公司(以下简称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电子信息集团</w:t>
      </w:r>
      <w:r>
        <w:rPr>
          <w:rFonts w:ascii="Times New Roman" w:eastAsia="Times New Roman" w:hAnsi="Times New Roman" w:cs="Times New Roman"/>
          <w:color w:val="000000"/>
          <w:spacing w:val="0"/>
          <w:w w:val="100"/>
          <w:position w:val="0"/>
        </w:rPr>
        <w:t>”</w:t>
      </w:r>
      <w:r>
        <w:rPr>
          <w:color w:val="000000"/>
          <w:spacing w:val="0"/>
          <w:w w:val="100"/>
          <w:position w:val="0"/>
        </w:rPr>
        <w:t>)计划在公告之日起十五 个交易日后的六个月内，以大宗交易或集中竞价交易方式减持公司股份不超过</w:t>
      </w:r>
      <w:r>
        <w:rPr>
          <w:rFonts w:ascii="Times New Roman" w:eastAsia="Times New Roman" w:hAnsi="Times New Roman" w:cs="Times New Roman"/>
          <w:color w:val="000000"/>
          <w:spacing w:val="0"/>
          <w:w w:val="100"/>
          <w:position w:val="0"/>
        </w:rPr>
        <w:t>5,647,251</w:t>
      </w:r>
      <w:r>
        <w:rPr>
          <w:color w:val="000000"/>
          <w:spacing w:val="0"/>
          <w:w w:val="100"/>
          <w:position w:val="0"/>
        </w:rPr>
        <w:t>股。因公司实施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 上述拟减持股份数调整为</w:t>
      </w:r>
      <w:r>
        <w:rPr>
          <w:rFonts w:ascii="Times New Roman" w:eastAsia="Times New Roman" w:hAnsi="Times New Roman" w:cs="Times New Roman"/>
          <w:color w:val="000000"/>
          <w:spacing w:val="0"/>
          <w:w w:val="100"/>
          <w:position w:val="0"/>
        </w:rPr>
        <w:t>7,906,151</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日，公司披露《关于持股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以上股东股份减持计划到期的公告》，截至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日，电子信息集团本次减持计划期限已届满，在减持计划实施期间内，累计减持公司股份</w:t>
      </w:r>
      <w:r>
        <w:rPr>
          <w:rFonts w:ascii="Times New Roman" w:eastAsia="Times New Roman" w:hAnsi="Times New Roman" w:cs="Times New Roman"/>
          <w:color w:val="000000"/>
          <w:spacing w:val="0"/>
          <w:w w:val="100"/>
          <w:position w:val="0"/>
        </w:rPr>
        <w:t>3,735,680</w:t>
      </w:r>
      <w:r>
        <w:rPr>
          <w:color w:val="000000"/>
          <w:spacing w:val="0"/>
          <w:w w:val="100"/>
          <w:position w:val="0"/>
        </w:rPr>
        <w:t>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日，公司披露《简式权益变动报告书》，因电子信息集团减持公司股份以及公司股本变动，导致电子信息集团持股比例 降至</w:t>
      </w:r>
      <w:r>
        <w:rPr>
          <w:rFonts w:ascii="Times New Roman" w:eastAsia="Times New Roman" w:hAnsi="Times New Roman" w:cs="Times New Roman"/>
          <w:color w:val="000000"/>
          <w:spacing w:val="0"/>
          <w:w w:val="100"/>
          <w:position w:val="0"/>
        </w:rPr>
        <w:t>5%</w:t>
      </w:r>
      <w:r>
        <w:rPr>
          <w:color w:val="000000"/>
          <w:spacing w:val="0"/>
          <w:w w:val="100"/>
          <w:position w:val="0"/>
        </w:rPr>
        <w:t>以下。具体内容详见刊登于巨潮资讯网(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2"/>
        <w:keepNext w:val="0"/>
        <w:keepLines w:val="0"/>
        <w:widowControl w:val="0"/>
        <w:shd w:val="clear" w:color="auto" w:fill="auto"/>
        <w:tabs>
          <w:tab w:pos="669" w:val="left"/>
        </w:tabs>
        <w:bidi w:val="0"/>
        <w:spacing w:before="0" w:after="0"/>
        <w:ind w:left="0" w:right="0"/>
        <w:jc w:val="both"/>
      </w:pPr>
      <w:bookmarkStart w:id="581" w:name="bookmark581"/>
      <w:r>
        <w:rPr>
          <w:rFonts w:ascii="Times New Roman" w:eastAsia="Times New Roman" w:hAnsi="Times New Roman" w:cs="Times New Roman"/>
          <w:color w:val="000000"/>
          <w:spacing w:val="0"/>
          <w:w w:val="100"/>
          <w:position w:val="0"/>
        </w:rPr>
        <w:t>8</w:t>
      </w:r>
      <w:bookmarkEnd w:id="581"/>
      <w:r>
        <w:rPr>
          <w:color w:val="000000"/>
          <w:spacing w:val="0"/>
          <w:w w:val="100"/>
          <w:position w:val="0"/>
        </w:rPr>
        <w:t>、</w:t>
        <w:tab/>
        <w:t>募投项目变更实施方式、投资结构，调整投资进度的事项</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日召开第四届董事会第二次会议、第四届监事会第二次会议，审议通过《关于募投项目变更实施方 式、投资结构，调整投资进度的议案》，鉴于募投项目技术环境变化，并结合公司自身需求，同意变更募投项目实施方式、 投资结构。另外根据募投项目实施进度，将募投项目达到预定可使用状态时间调整为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月。上述事项已经</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次临时股东大会审议通过。具体内容详见刊登于巨潮资讯网(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上的相关公告。</w:t>
      </w:r>
    </w:p>
    <w:p>
      <w:pPr>
        <w:pStyle w:val="Style27"/>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r>
        <w:rPr>
          <w:color w:val="000000"/>
          <w:spacing w:val="0"/>
          <w:w w:val="100"/>
          <w:position w:val="0"/>
          <w:sz w:val="24"/>
          <w:szCs w:val="24"/>
        </w:rPr>
        <w:t>十七、公司子公司重大事项</w:t>
      </w:r>
      <w:bookmarkEnd w:id="582"/>
      <w:bookmarkEnd w:id="583"/>
      <w:bookmarkEnd w:id="584"/>
    </w:p>
    <w:p>
      <w:pPr>
        <w:pStyle w:val="Style22"/>
        <w:keepNext w:val="0"/>
        <w:keepLines w:val="0"/>
        <w:widowControl w:val="0"/>
        <w:shd w:val="clear" w:color="auto" w:fill="auto"/>
        <w:bidi w:val="0"/>
        <w:spacing w:before="0" w:after="4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ind w:left="0" w:right="0"/>
        <w:jc w:val="both"/>
      </w:pPr>
      <w:bookmarkStart w:id="585" w:name="bookmark585"/>
      <w:r>
        <w:rPr>
          <w:rFonts w:ascii="Times New Roman" w:eastAsia="Times New Roman" w:hAnsi="Times New Roman" w:cs="Times New Roman"/>
          <w:color w:val="000000"/>
          <w:spacing w:val="0"/>
          <w:w w:val="100"/>
          <w:position w:val="0"/>
        </w:rPr>
        <w:t>1</w:t>
      </w:r>
      <w:bookmarkEnd w:id="585"/>
      <w:r>
        <w:rPr>
          <w:color w:val="000000"/>
          <w:spacing w:val="0"/>
          <w:w w:val="100"/>
          <w:position w:val="0"/>
        </w:rPr>
        <w:t>、全资子公司对产业园项目增加投资额事项</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日召开的第四届董事会第七次会议、第四届监事会第七次会议审议通过了《关于全资子公司对产业 园项目增加投资额的议案》，并经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年第一次临时股东大会审议通过。全资子公司福建博思智慧信 息产业科技有限公司将人工智能产业园项目一期投资金额由</w:t>
      </w:r>
      <w:r>
        <w:rPr>
          <w:rFonts w:ascii="Times New Roman" w:eastAsia="Times New Roman" w:hAnsi="Times New Roman" w:cs="Times New Roman"/>
          <w:color w:val="000000"/>
          <w:spacing w:val="0"/>
          <w:w w:val="100"/>
          <w:position w:val="0"/>
        </w:rPr>
        <w:t>58,000</w:t>
      </w:r>
      <w:r>
        <w:rPr>
          <w:color w:val="000000"/>
          <w:spacing w:val="0"/>
          <w:w w:val="100"/>
          <w:position w:val="0"/>
        </w:rPr>
        <w:t>万元调整为</w:t>
      </w:r>
      <w:r>
        <w:rPr>
          <w:rFonts w:ascii="Times New Roman" w:eastAsia="Times New Roman" w:hAnsi="Times New Roman" w:cs="Times New Roman"/>
          <w:color w:val="000000"/>
          <w:spacing w:val="0"/>
          <w:w w:val="100"/>
          <w:position w:val="0"/>
        </w:rPr>
        <w:t>65,000</w:t>
      </w:r>
      <w:r>
        <w:rPr>
          <w:color w:val="000000"/>
          <w:spacing w:val="0"/>
          <w:w w:val="100"/>
          <w:position w:val="0"/>
        </w:rPr>
        <w:t>万元，并拟投资</w:t>
      </w:r>
      <w:r>
        <w:rPr>
          <w:rFonts w:ascii="Times New Roman" w:eastAsia="Times New Roman" w:hAnsi="Times New Roman" w:cs="Times New Roman"/>
          <w:color w:val="000000"/>
          <w:spacing w:val="0"/>
          <w:w w:val="100"/>
          <w:position w:val="0"/>
        </w:rPr>
        <w:t>32,500</w:t>
      </w:r>
      <w:r>
        <w:rPr>
          <w:color w:val="000000"/>
          <w:spacing w:val="0"/>
          <w:w w:val="100"/>
          <w:position w:val="0"/>
        </w:rPr>
        <w:t>万元建设人工智 能产业园二期。本次投资建设人工智能产业园区，将用于持续培育增量业务，以解决未来公司规划发展对经营场地的需求； 另一方面公司将利用该资产区域环境优势吸引更多高素质研发人才、优秀高校毕业生到公司工作，更好地优化公司人力资源 结构和成本，并为公司未来的经营发展提供必要的保障。具体内容详见刊登于巨潮资讯网(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 公告。</w:t>
      </w:r>
    </w:p>
    <w:p>
      <w:pPr>
        <w:pStyle w:val="Style22"/>
        <w:keepNext w:val="0"/>
        <w:keepLines w:val="0"/>
        <w:widowControl w:val="0"/>
        <w:shd w:val="clear" w:color="auto" w:fill="auto"/>
        <w:bidi w:val="0"/>
        <w:spacing w:before="0" w:after="0" w:line="313" w:lineRule="exact"/>
        <w:ind w:left="0" w:right="0" w:firstLine="360"/>
        <w:jc w:val="both"/>
      </w:pPr>
      <w:bookmarkStart w:id="586" w:name="bookmark586"/>
      <w:r>
        <w:rPr>
          <w:rFonts w:ascii="Times New Roman" w:eastAsia="Times New Roman" w:hAnsi="Times New Roman" w:cs="Times New Roman"/>
          <w:color w:val="000000"/>
          <w:spacing w:val="0"/>
          <w:w w:val="100"/>
          <w:position w:val="0"/>
        </w:rPr>
        <w:t>2</w:t>
      </w:r>
      <w:bookmarkEnd w:id="586"/>
      <w:r>
        <w:rPr>
          <w:color w:val="000000"/>
          <w:spacing w:val="0"/>
          <w:w w:val="100"/>
          <w:position w:val="0"/>
        </w:rPr>
        <w:t>、吸收合并全资子公司</w:t>
      </w:r>
    </w:p>
    <w:p>
      <w:pPr>
        <w:pStyle w:val="Style22"/>
        <w:keepNext w:val="0"/>
        <w:keepLines w:val="0"/>
        <w:widowControl w:val="0"/>
        <w:shd w:val="clear" w:color="auto" w:fill="auto"/>
        <w:bidi w:val="0"/>
        <w:spacing w:before="0" w:after="0" w:line="313" w:lineRule="exact"/>
        <w:ind w:left="0" w:right="0" w:firstLine="360"/>
        <w:jc w:val="both"/>
        <w:sectPr>
          <w:footnotePr>
            <w:pos w:val="pageBottom"/>
            <w:numFmt w:val="decimal"/>
            <w:numRestart w:val="continuous"/>
          </w:footnotePr>
          <w:pgSz w:w="11900" w:h="16840"/>
          <w:pgMar w:top="1156" w:right="1065" w:bottom="1384" w:left="1058"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日召开的第三届董事会第三十三次会议、第三届监事会第二十七次会议审议通过了《关于吸收合并 全资子公司的议案》，为进一步优化公司管理架构，提高运营效率，降低管理成本，公司拟吸收合并全资子公司吉林省博思 金财科技有限公司(以下简称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吉林金财</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日，吉林金财所有资产、债权、债务等已完成变更或处置，并取 得了长春市市场监督管理局南关分局出具的《准予注销登记通知书》，准予吉林金财注销登记。至此，公司吸收合并吉林金 财的相关手续已全部办理完毕。具体内容详见刊登于巨潮资讯网(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上的相关公告。</w:t>
      </w:r>
    </w:p>
    <w:p>
      <w:pPr>
        <w:pStyle w:val="Style12"/>
        <w:keepNext/>
        <w:keepLines/>
        <w:widowControl w:val="0"/>
        <w:shd w:val="clear" w:color="auto" w:fill="auto"/>
        <w:bidi w:val="0"/>
        <w:spacing w:before="800" w:line="240" w:lineRule="auto"/>
        <w:ind w:left="0" w:right="0" w:firstLine="0"/>
        <w:jc w:val="center"/>
      </w:pPr>
      <w:bookmarkStart w:id="587" w:name="bookmark587"/>
      <w:bookmarkStart w:id="588" w:name="bookmark588"/>
      <w:bookmarkStart w:id="589" w:name="bookmark589"/>
      <w:r>
        <w:rPr>
          <w:color w:val="000000"/>
          <w:spacing w:val="0"/>
          <w:w w:val="100"/>
          <w:position w:val="0"/>
        </w:rPr>
        <w:t>第七节股份变动及股东情况</w:t>
      </w:r>
      <w:bookmarkEnd w:id="587"/>
      <w:bookmarkEnd w:id="588"/>
      <w:bookmarkEnd w:id="589"/>
    </w:p>
    <w:p>
      <w:pPr>
        <w:pStyle w:val="Style27"/>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bookmarkStart w:id="594" w:name="bookmark594"/>
      <w:r>
        <w:rPr>
          <w:color w:val="000000"/>
          <w:spacing w:val="0"/>
          <w:w w:val="100"/>
          <w:position w:val="0"/>
          <w:sz w:val="24"/>
          <w:szCs w:val="24"/>
        </w:rPr>
        <w:t>一</w:t>
      </w:r>
      <w:bookmarkEnd w:id="593"/>
      <w:r>
        <w:rPr>
          <w:color w:val="000000"/>
          <w:spacing w:val="0"/>
          <w:w w:val="100"/>
          <w:position w:val="0"/>
          <w:sz w:val="24"/>
          <w:szCs w:val="24"/>
        </w:rPr>
        <w:t>、股份变动情况</w:t>
      </w:r>
      <w:bookmarkEnd w:id="591"/>
      <w:bookmarkEnd w:id="592"/>
      <w:bookmarkEnd w:id="594"/>
      <w:bookmarkEnd w:id="590"/>
    </w:p>
    <w:p>
      <w:pPr>
        <w:pStyle w:val="Style33"/>
        <w:keepNext/>
        <w:keepLines/>
        <w:widowControl w:val="0"/>
        <w:shd w:val="clear" w:color="auto" w:fill="auto"/>
        <w:bidi w:val="0"/>
        <w:spacing w:before="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、股份变动情况</w:t>
      </w:r>
      <w:bookmarkEnd w:id="595"/>
      <w:bookmarkEnd w:id="596"/>
      <w:bookmarkEnd w:id="5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66,300,04</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26,137,27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-13,694,9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12,442,33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78,742,37</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66,300,04</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26,137,27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-13,694,9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12,442,33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78,742,37</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66,300,04</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26,137,27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-13,694,9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12,442,33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78,742,37</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214,385,0</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86,812,88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19,801,02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106,613,9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320,998,9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214,385,0</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86,812,88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19,801,02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106,613,9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320,998,9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280,685,1</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112,950,1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119,056,2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399,741,3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14" w:lineRule="exact"/>
        <w:ind w:left="0" w:right="0"/>
        <w:jc w:val="both"/>
      </w:pPr>
      <w:bookmarkStart w:id="599" w:name="bookmark599"/>
      <w:r>
        <w:rPr>
          <w:rFonts w:ascii="Times New Roman" w:eastAsia="Times New Roman" w:hAnsi="Times New Roman" w:cs="Times New Roman"/>
          <w:color w:val="000000"/>
          <w:spacing w:val="0"/>
          <w:w w:val="100"/>
          <w:position w:val="0"/>
        </w:rPr>
        <w:t>1</w:t>
      </w:r>
      <w:bookmarkEnd w:id="599"/>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日召开的第三届董事会第三十三次会议和第三届监事会第二十七次会议，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年年度股东大会，审议通过了《关于审议</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年度利润分配预案的议案》，同意</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年度利润分配方案为：以公司实施 利润分配方案时股权登记日的总股本为基数，向全体股东每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1.20</w:t>
      </w:r>
      <w:r>
        <w:rPr>
          <w:color w:val="000000"/>
          <w:spacing w:val="0"/>
          <w:w w:val="100"/>
          <w:position w:val="0"/>
        </w:rPr>
        <w:t xml:space="preserve">元（含税），同时以资本公积金向 </w:t>
      </w:r>
      <w:r>
        <w:rPr>
          <w:color w:val="000000"/>
          <w:spacing w:val="0"/>
          <w:w w:val="100"/>
          <w:position w:val="0"/>
        </w:rPr>
        <w:t>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股，本次利润分配实施完成后增加股份数</w:t>
      </w:r>
      <w:r>
        <w:rPr>
          <w:rFonts w:ascii="Times New Roman" w:eastAsia="Times New Roman" w:hAnsi="Times New Roman" w:cs="Times New Roman"/>
          <w:color w:val="000000"/>
          <w:spacing w:val="0"/>
          <w:w w:val="100"/>
          <w:position w:val="0"/>
        </w:rPr>
        <w:t>112,950,154</w:t>
      </w:r>
      <w:r>
        <w:rPr>
          <w:color w:val="000000"/>
          <w:spacing w:val="0"/>
          <w:w w:val="100"/>
          <w:position w:val="0"/>
        </w:rPr>
        <w:t>股。</w:t>
      </w:r>
    </w:p>
    <w:p>
      <w:pPr>
        <w:pStyle w:val="Style22"/>
        <w:keepNext w:val="0"/>
        <w:keepLines w:val="0"/>
        <w:widowControl w:val="0"/>
        <w:shd w:val="clear" w:color="auto" w:fill="auto"/>
        <w:bidi w:val="0"/>
        <w:spacing w:before="0" w:after="0" w:line="313" w:lineRule="exact"/>
        <w:ind w:left="0" w:right="0"/>
        <w:jc w:val="both"/>
      </w:pPr>
      <w:bookmarkStart w:id="600" w:name="bookmark600"/>
      <w:r>
        <w:rPr>
          <w:rFonts w:ascii="Times New Roman" w:eastAsia="Times New Roman" w:hAnsi="Times New Roman" w:cs="Times New Roman"/>
          <w:color w:val="000000"/>
          <w:spacing w:val="0"/>
          <w:w w:val="100"/>
          <w:position w:val="0"/>
        </w:rPr>
        <w:t>2</w:t>
      </w:r>
      <w:bookmarkEnd w:id="600"/>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日召开的第三届董事会第二十三次会议、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 了《关于调整</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年限制性股票激励计划回购价格并回购注销部分限制性股票的议案》、《关于变更注册资本及修订</w:t>
      </w:r>
      <w:r>
        <w:rPr>
          <w:color w:val="000000"/>
          <w:spacing w:val="0"/>
          <w:w w:val="100"/>
          <w:position w:val="0"/>
        </w:rPr>
        <w:t>〈</w:t>
      </w:r>
      <w:r>
        <w:rPr>
          <w:color w:val="000000"/>
          <w:spacing w:val="0"/>
          <w:w w:val="100"/>
          <w:position w:val="0"/>
        </w:rPr>
        <w:t>公司 章程</w:t>
      </w:r>
      <w:r>
        <w:rPr>
          <w:color w:val="000000"/>
          <w:spacing w:val="0"/>
          <w:w w:val="100"/>
          <w:position w:val="0"/>
        </w:rPr>
        <w:t>〉</w:t>
      </w:r>
      <w:r>
        <w:rPr>
          <w:color w:val="000000"/>
          <w:spacing w:val="0"/>
          <w:w w:val="100"/>
          <w:position w:val="0"/>
        </w:rPr>
        <w:t>部分条款的议案》，同意对</w:t>
      </w:r>
      <w:r>
        <w:rPr>
          <w:rFonts w:ascii="Times New Roman" w:eastAsia="Times New Roman" w:hAnsi="Times New Roman" w:cs="Times New Roman"/>
          <w:color w:val="000000"/>
          <w:spacing w:val="0"/>
          <w:w w:val="100"/>
          <w:position w:val="0"/>
        </w:rPr>
        <w:t>5</w:t>
      </w:r>
      <w:r>
        <w:rPr>
          <w:color w:val="000000"/>
          <w:spacing w:val="0"/>
          <w:w w:val="100"/>
          <w:position w:val="0"/>
        </w:rPr>
        <w:t>名不符合激励条件的激励对象已获授但未解除限售的限制性股票</w:t>
      </w:r>
      <w:r>
        <w:rPr>
          <w:rFonts w:ascii="Times New Roman" w:eastAsia="Times New Roman" w:hAnsi="Times New Roman" w:cs="Times New Roman"/>
          <w:color w:val="000000"/>
          <w:spacing w:val="0"/>
          <w:w w:val="100"/>
          <w:position w:val="0"/>
        </w:rPr>
        <w:t>20,007</w:t>
      </w:r>
      <w:r>
        <w:rPr>
          <w:color w:val="000000"/>
          <w:spacing w:val="0"/>
          <w:w w:val="100"/>
          <w:position w:val="0"/>
        </w:rPr>
        <w:t>股进行回购注销， 此次部分限制性股票回购注销事宜已于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日办理完成。</w:t>
      </w:r>
    </w:p>
    <w:p>
      <w:pPr>
        <w:pStyle w:val="Style22"/>
        <w:keepNext w:val="0"/>
        <w:keepLines w:val="0"/>
        <w:widowControl w:val="0"/>
        <w:shd w:val="clear" w:color="auto" w:fill="auto"/>
        <w:tabs>
          <w:tab w:pos="713" w:val="left"/>
        </w:tabs>
        <w:bidi w:val="0"/>
        <w:spacing w:before="0" w:after="0" w:line="313" w:lineRule="exact"/>
        <w:ind w:left="0" w:right="0"/>
        <w:jc w:val="both"/>
      </w:pPr>
      <w:bookmarkStart w:id="601" w:name="bookmark601"/>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日召开的第三届董事会第二十九次会议审议通过了《关于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 期可行权的议案》，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日召开的第三届董事会第三十五次会议审议通过了《关于调整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年股票期权激励计划行 权价格及行权数量的议案》。报告期内，</w:t>
      </w:r>
      <w:r>
        <w:rPr>
          <w:rFonts w:ascii="Times New Roman" w:eastAsia="Times New Roman" w:hAnsi="Times New Roman" w:cs="Times New Roman"/>
          <w:color w:val="000000"/>
          <w:spacing w:val="0"/>
          <w:w w:val="100"/>
          <w:position w:val="0"/>
        </w:rPr>
        <w:t>2018</w:t>
      </w:r>
      <w:r>
        <w:rPr>
          <w:color w:val="000000"/>
          <w:spacing w:val="0"/>
          <w:w w:val="100"/>
          <w:position w:val="0"/>
        </w:rPr>
        <w:t>年股票期权第二个行权期行权</w:t>
      </w:r>
      <w:r>
        <w:rPr>
          <w:rFonts w:ascii="Times New Roman" w:eastAsia="Times New Roman" w:hAnsi="Times New Roman" w:cs="Times New Roman"/>
          <w:color w:val="000000"/>
          <w:spacing w:val="0"/>
          <w:w w:val="100"/>
          <w:position w:val="0"/>
        </w:rPr>
        <w:t>2,503,012</w:t>
      </w:r>
      <w:r>
        <w:rPr>
          <w:color w:val="000000"/>
          <w:spacing w:val="0"/>
          <w:w w:val="100"/>
          <w:position w:val="0"/>
        </w:rPr>
        <w:t>份，增加股本</w:t>
      </w:r>
      <w:r>
        <w:rPr>
          <w:rFonts w:ascii="Times New Roman" w:eastAsia="Times New Roman" w:hAnsi="Times New Roman" w:cs="Times New Roman"/>
          <w:color w:val="000000"/>
          <w:spacing w:val="0"/>
          <w:w w:val="100"/>
          <w:position w:val="0"/>
        </w:rPr>
        <w:t>2,503,012</w:t>
      </w:r>
      <w:r>
        <w:rPr>
          <w:color w:val="000000"/>
          <w:spacing w:val="0"/>
          <w:w w:val="100"/>
          <w:position w:val="0"/>
        </w:rPr>
        <w:t>股。</w:t>
      </w:r>
    </w:p>
    <w:p>
      <w:pPr>
        <w:pStyle w:val="Style22"/>
        <w:keepNext w:val="0"/>
        <w:keepLines w:val="0"/>
        <w:widowControl w:val="0"/>
        <w:shd w:val="clear" w:color="auto" w:fill="auto"/>
        <w:bidi w:val="0"/>
        <w:spacing w:before="0" w:after="0" w:line="313" w:lineRule="exact"/>
        <w:ind w:left="0" w:right="0"/>
        <w:jc w:val="both"/>
      </w:pPr>
      <w:bookmarkStart w:id="602" w:name="bookmark602"/>
      <w:r>
        <w:rPr>
          <w:rFonts w:ascii="Times New Roman" w:eastAsia="Times New Roman" w:hAnsi="Times New Roman" w:cs="Times New Roman"/>
          <w:color w:val="000000"/>
          <w:spacing w:val="0"/>
          <w:w w:val="100"/>
          <w:position w:val="0"/>
        </w:rPr>
        <w:t>4</w:t>
      </w:r>
      <w:bookmarkEnd w:id="602"/>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日召开的第四届董事会第三次会议审议通过了《关于回购公司股份方案的议案》，此次回购已于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日实施完毕，公司通过股份回购专用证券账户以集中竞价交易方式回购公司股份</w:t>
      </w:r>
      <w:r>
        <w:rPr>
          <w:rFonts w:ascii="Times New Roman" w:eastAsia="Times New Roman" w:hAnsi="Times New Roman" w:cs="Times New Roman"/>
          <w:color w:val="000000"/>
          <w:spacing w:val="0"/>
          <w:w w:val="100"/>
          <w:position w:val="0"/>
        </w:rPr>
        <w:t>4,089,792</w:t>
      </w:r>
      <w:r>
        <w:rPr>
          <w:color w:val="000000"/>
          <w:spacing w:val="0"/>
          <w:w w:val="100"/>
          <w:position w:val="0"/>
        </w:rPr>
        <w:t>股。</w:t>
      </w:r>
    </w:p>
    <w:p>
      <w:pPr>
        <w:pStyle w:val="Style22"/>
        <w:keepNext w:val="0"/>
        <w:keepLines w:val="0"/>
        <w:widowControl w:val="0"/>
        <w:shd w:val="clear" w:color="auto" w:fill="auto"/>
        <w:tabs>
          <w:tab w:pos="713" w:val="left"/>
        </w:tabs>
        <w:bidi w:val="0"/>
        <w:spacing w:before="0" w:after="0" w:line="313" w:lineRule="exact"/>
        <w:ind w:left="0" w:right="0"/>
        <w:jc w:val="both"/>
      </w:pPr>
      <w:bookmarkStart w:id="603" w:name="bookmark603"/>
      <w:r>
        <w:rPr>
          <w:rFonts w:ascii="Times New Roman" w:eastAsia="Times New Roman" w:hAnsi="Times New Roman" w:cs="Times New Roman"/>
          <w:color w:val="000000"/>
          <w:spacing w:val="0"/>
          <w:w w:val="100"/>
          <w:position w:val="0"/>
        </w:rPr>
        <w:t>5</w:t>
      </w:r>
      <w:bookmarkEnd w:id="603"/>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日召开的第四届董事会第五次会议审议通过了《关于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年股票期权激励计划第三个行权期可 行权的议案》，确定第三个行权期可行权条件成就，本次股票期权采用自主行权模式，报告期内，</w:t>
      </w:r>
      <w:r>
        <w:rPr>
          <w:rFonts w:ascii="Times New Roman" w:eastAsia="Times New Roman" w:hAnsi="Times New Roman" w:cs="Times New Roman"/>
          <w:color w:val="000000"/>
          <w:spacing w:val="0"/>
          <w:w w:val="100"/>
          <w:position w:val="0"/>
        </w:rPr>
        <w:t>2018</w:t>
      </w:r>
      <w:r>
        <w:rPr>
          <w:color w:val="000000"/>
          <w:spacing w:val="0"/>
          <w:w w:val="100"/>
          <w:position w:val="0"/>
        </w:rPr>
        <w:t>年股票期权第三个行 权期行权</w:t>
      </w:r>
      <w:r>
        <w:rPr>
          <w:rFonts w:ascii="Times New Roman" w:eastAsia="Times New Roman" w:hAnsi="Times New Roman" w:cs="Times New Roman"/>
          <w:color w:val="000000"/>
          <w:spacing w:val="0"/>
          <w:w w:val="100"/>
          <w:position w:val="0"/>
        </w:rPr>
        <w:t>3,623,073</w:t>
      </w:r>
      <w:r>
        <w:rPr>
          <w:color w:val="000000"/>
          <w:spacing w:val="0"/>
          <w:w w:val="100"/>
          <w:position w:val="0"/>
        </w:rPr>
        <w:t>份，增加股本</w:t>
      </w:r>
      <w:r>
        <w:rPr>
          <w:rFonts w:ascii="Times New Roman" w:eastAsia="Times New Roman" w:hAnsi="Times New Roman" w:cs="Times New Roman"/>
          <w:color w:val="000000"/>
          <w:spacing w:val="0"/>
          <w:w w:val="100"/>
          <w:position w:val="0"/>
        </w:rPr>
        <w:t>3,623,073</w:t>
      </w:r>
      <w:r>
        <w:rPr>
          <w:color w:val="000000"/>
          <w:spacing w:val="0"/>
          <w:w w:val="100"/>
          <w:position w:val="0"/>
        </w:rPr>
        <w:t>股。</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18" w:lineRule="exact"/>
        <w:ind w:left="0" w:right="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日召开的第三届董事会第三十三次会议和第三届监事会第二十七次会议、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 年度股东大会，审议通过了《关于审议</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w:t>
      </w:r>
    </w:p>
    <w:p>
      <w:pPr>
        <w:pStyle w:val="Style22"/>
        <w:keepNext w:val="0"/>
        <w:keepLines w:val="0"/>
        <w:widowControl w:val="0"/>
        <w:shd w:val="clear" w:color="auto" w:fill="auto"/>
        <w:bidi w:val="0"/>
        <w:spacing w:before="0" w:after="0" w:line="318" w:lineRule="exact"/>
        <w:ind w:left="0" w:right="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日召开的第三届董事会第二十三次会议、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 于调整</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年限制性股票激励计划回购价格并回购注销部分限制性股票的议案》、《关于变更注册资本及修订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部分条款的议案》。</w:t>
      </w:r>
    </w:p>
    <w:p>
      <w:pPr>
        <w:pStyle w:val="Style22"/>
        <w:keepNext w:val="0"/>
        <w:keepLines w:val="0"/>
        <w:widowControl w:val="0"/>
        <w:shd w:val="clear" w:color="auto" w:fill="auto"/>
        <w:tabs>
          <w:tab w:pos="703" w:val="left"/>
        </w:tabs>
        <w:bidi w:val="0"/>
        <w:spacing w:before="0" w:after="0" w:line="319" w:lineRule="exact"/>
        <w:ind w:left="0" w:right="0"/>
        <w:jc w:val="both"/>
      </w:pPr>
      <w:bookmarkStart w:id="606" w:name="bookmark606"/>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日召开的第三届董事会第二十九次会议审议通过了《关于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年股票期权激励计划第二个行权期可行 权的议案》，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日召开第三届董事会第三十五次会议审议通过了《关于调整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年股票期权激励计划行权价格及 行权数量的议案》。</w:t>
      </w:r>
    </w:p>
    <w:p>
      <w:pPr>
        <w:pStyle w:val="Style22"/>
        <w:keepNext w:val="0"/>
        <w:keepLines w:val="0"/>
        <w:widowControl w:val="0"/>
        <w:shd w:val="clear" w:color="auto" w:fill="auto"/>
        <w:tabs>
          <w:tab w:pos="733" w:val="left"/>
        </w:tabs>
        <w:bidi w:val="0"/>
        <w:spacing w:before="0" w:after="0" w:line="326" w:lineRule="exact"/>
        <w:ind w:left="0" w:right="0"/>
        <w:jc w:val="both"/>
      </w:pPr>
      <w:bookmarkStart w:id="607" w:name="bookmark607"/>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日召开的第四届董事会第三次会议审议通过了《关于回购公司股份方案的议案》。</w:t>
      </w:r>
    </w:p>
    <w:p>
      <w:pPr>
        <w:pStyle w:val="Style22"/>
        <w:keepNext w:val="0"/>
        <w:keepLines w:val="0"/>
        <w:widowControl w:val="0"/>
        <w:shd w:val="clear" w:color="auto" w:fill="auto"/>
        <w:tabs>
          <w:tab w:pos="703" w:val="left"/>
        </w:tabs>
        <w:bidi w:val="0"/>
        <w:spacing w:before="0" w:after="0" w:line="326" w:lineRule="exact"/>
        <w:ind w:left="0" w:right="0"/>
        <w:jc w:val="both"/>
      </w:pPr>
      <w:bookmarkStart w:id="608" w:name="bookmark608"/>
      <w:r>
        <w:rPr>
          <w:rFonts w:ascii="Times New Roman" w:eastAsia="Times New Roman" w:hAnsi="Times New Roman" w:cs="Times New Roman"/>
          <w:color w:val="000000"/>
          <w:spacing w:val="0"/>
          <w:w w:val="100"/>
          <w:position w:val="0"/>
        </w:rPr>
        <w:t>5</w:t>
      </w:r>
      <w:bookmarkEnd w:id="60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日召开的第四届董事会第五次会议审议通过了《关于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年股票期权激励计划第三个行权期可行权的 议案》。</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上述股份变动均已在中国证券登记结算有限责任公司深圳分公司办理了相应的股份登记手续。</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经上述股份变动后，根据企业会计准则按最新股本计算，公司</w:t>
      </w:r>
      <w:r>
        <w:rPr>
          <w:rFonts w:ascii="Times New Roman" w:eastAsia="Times New Roman" w:hAnsi="Times New Roman" w:cs="Times New Roman"/>
          <w:color w:val="000000"/>
          <w:spacing w:val="0"/>
          <w:w w:val="100"/>
          <w:position w:val="0"/>
        </w:rPr>
        <w:t>2021</w:t>
      </w:r>
      <w:r>
        <w:rPr>
          <w:color w:val="000000"/>
          <w:spacing w:val="0"/>
          <w:w w:val="100"/>
          <w:position w:val="0"/>
        </w:rPr>
        <w:t>年度基本每股收益为</w:t>
      </w:r>
      <w:r>
        <w:rPr>
          <w:rFonts w:ascii="Times New Roman" w:eastAsia="Times New Roman" w:hAnsi="Times New Roman" w:cs="Times New Roman"/>
          <w:color w:val="000000"/>
          <w:spacing w:val="0"/>
          <w:w w:val="100"/>
          <w:position w:val="0"/>
        </w:rPr>
        <w:t>0.5808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股，稀释每股收益为 </w:t>
      </w:r>
      <w:r>
        <w:rPr>
          <w:rFonts w:ascii="Times New Roman" w:eastAsia="Times New Roman" w:hAnsi="Times New Roman" w:cs="Times New Roman"/>
          <w:color w:val="000000"/>
          <w:spacing w:val="0"/>
          <w:w w:val="100"/>
          <w:position w:val="0"/>
        </w:rPr>
        <w:t>0.5776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股，每股净资产为</w:t>
      </w:r>
      <w:r>
        <w:rPr>
          <w:rFonts w:ascii="Times New Roman" w:eastAsia="Times New Roman" w:hAnsi="Times New Roman" w:cs="Times New Roman"/>
          <w:color w:val="000000"/>
          <w:spacing w:val="0"/>
          <w:w w:val="100"/>
          <w:position w:val="0"/>
        </w:rPr>
        <w:t>4.0154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、限售股份变动情况</w:t>
      </w:r>
      <w:bookmarkEnd w:id="609"/>
      <w:bookmarkEnd w:id="610"/>
      <w:bookmarkEnd w:id="612"/>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37,633,304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15,053,322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52,686,626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 的规定解限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按高管锁定股 的规定解限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日解除限 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 的规定解限</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 的规定解限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按高管锁定股 的规定解限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3,924,409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日解除限 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235,321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日解除限 售</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 的规定解限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487,256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按高管锁定股 的规定解限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174,798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 的规定解限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其他股权激励 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离职激励对象</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拟回购注销股 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回购注销事宜</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日办理完成</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66,300,045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28,577,897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16,135,566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78,742,376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二</w:t>
      </w:r>
      <w:bookmarkEnd w:id="615"/>
      <w:r>
        <w:rPr>
          <w:color w:val="000000"/>
          <w:spacing w:val="0"/>
          <w:w w:val="100"/>
          <w:position w:val="0"/>
          <w:sz w:val="24"/>
          <w:szCs w:val="24"/>
        </w:rPr>
        <w:t>、证券发行与上市情况</w:t>
      </w:r>
      <w:bookmarkEnd w:id="613"/>
      <w:bookmarkEnd w:id="614"/>
      <w:bookmarkEnd w:id="616"/>
    </w:p>
    <w:p>
      <w:pPr>
        <w:pStyle w:val="Style33"/>
        <w:keepNext/>
        <w:keepLines/>
        <w:widowControl w:val="0"/>
        <w:shd w:val="clear" w:color="auto" w:fill="auto"/>
        <w:tabs>
          <w:tab w:pos="368" w:val="left"/>
        </w:tabs>
        <w:bidi w:val="0"/>
        <w:spacing w:before="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w:t>
        <w:tab/>
        <w:t>报告期内证券发行（不含优先股）情况</w:t>
      </w:r>
      <w:bookmarkEnd w:id="617"/>
      <w:bookmarkEnd w:id="618"/>
      <w:bookmarkEnd w:id="620"/>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公司股份总数及股东结构的变动、公司资产和负债结构的变动情况说明</w:t>
      </w:r>
      <w:bookmarkEnd w:id="621"/>
      <w:bookmarkEnd w:id="622"/>
      <w:bookmarkEnd w:id="624"/>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360" w:line="31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年度权益分派，以公司总股本</w:t>
      </w:r>
      <w:r>
        <w:rPr>
          <w:rFonts w:ascii="Times New Roman" w:eastAsia="Times New Roman" w:hAnsi="Times New Roman" w:cs="Times New Roman"/>
          <w:color w:val="000000"/>
          <w:spacing w:val="0"/>
          <w:w w:val="100"/>
          <w:position w:val="0"/>
        </w:rPr>
        <w:t>282,375,385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 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股。本次分派完成后，公司总股本增至</w:t>
      </w:r>
      <w:r>
        <w:rPr>
          <w:rFonts w:ascii="Times New Roman" w:eastAsia="Times New Roman" w:hAnsi="Times New Roman" w:cs="Times New Roman"/>
          <w:color w:val="000000"/>
          <w:spacing w:val="0"/>
          <w:w w:val="100"/>
          <w:position w:val="0"/>
        </w:rPr>
        <w:t>395,325,539</w:t>
      </w:r>
      <w:r>
        <w:rPr>
          <w:color w:val="000000"/>
          <w:spacing w:val="0"/>
          <w:w w:val="100"/>
          <w:position w:val="0"/>
        </w:rPr>
        <w:t>股。</w:t>
      </w:r>
    </w:p>
    <w:p>
      <w:pPr>
        <w:pStyle w:val="Style22"/>
        <w:keepNext w:val="0"/>
        <w:keepLines w:val="0"/>
        <w:widowControl w:val="0"/>
        <w:shd w:val="clear" w:color="auto" w:fill="auto"/>
        <w:tabs>
          <w:tab w:pos="704" w:val="left"/>
        </w:tabs>
        <w:bidi w:val="0"/>
        <w:spacing w:before="0" w:after="0" w:line="315" w:lineRule="exact"/>
        <w:ind w:left="0" w:right="0"/>
        <w:jc w:val="both"/>
      </w:pPr>
      <w:bookmarkStart w:id="625" w:name="bookmark625"/>
      <w:r>
        <w:rPr>
          <w:rFonts w:ascii="Times New Roman" w:eastAsia="Times New Roman" w:hAnsi="Times New Roman" w:cs="Times New Roman"/>
          <w:color w:val="000000"/>
          <w:spacing w:val="0"/>
          <w:w w:val="100"/>
          <w:position w:val="0"/>
        </w:rPr>
        <w:t>2</w:t>
      </w:r>
      <w:bookmarkEnd w:id="625"/>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年股票期权激励计划第二个行权期行权条件成就。本次股票期权采用自主行权模式，报告期内，</w:t>
      </w:r>
      <w:r>
        <w:rPr>
          <w:rFonts w:ascii="Times New Roman" w:eastAsia="Times New Roman" w:hAnsi="Times New Roman" w:cs="Times New Roman"/>
          <w:color w:val="000000"/>
          <w:spacing w:val="0"/>
          <w:w w:val="100"/>
          <w:position w:val="0"/>
        </w:rPr>
        <w:t>2018</w:t>
      </w:r>
      <w:r>
        <w:rPr>
          <w:color w:val="000000"/>
          <w:spacing w:val="0"/>
          <w:w w:val="100"/>
          <w:position w:val="0"/>
        </w:rPr>
        <w:t>年股 票期权第二个行权期累计行权新增股份</w:t>
      </w:r>
      <w:r>
        <w:rPr>
          <w:rFonts w:ascii="Times New Roman" w:eastAsia="Times New Roman" w:hAnsi="Times New Roman" w:cs="Times New Roman"/>
          <w:color w:val="000000"/>
          <w:spacing w:val="0"/>
          <w:w w:val="100"/>
          <w:position w:val="0"/>
        </w:rPr>
        <w:t>2,503,012</w:t>
      </w:r>
      <w:r>
        <w:rPr>
          <w:color w:val="000000"/>
          <w:spacing w:val="0"/>
          <w:w w:val="100"/>
          <w:position w:val="0"/>
        </w:rPr>
        <w:t>股。</w:t>
      </w:r>
    </w:p>
    <w:p>
      <w:pPr>
        <w:pStyle w:val="Style22"/>
        <w:keepNext w:val="0"/>
        <w:keepLines w:val="0"/>
        <w:widowControl w:val="0"/>
        <w:shd w:val="clear" w:color="auto" w:fill="auto"/>
        <w:tabs>
          <w:tab w:pos="723" w:val="left"/>
        </w:tabs>
        <w:bidi w:val="0"/>
        <w:spacing w:before="0" w:after="0" w:line="315" w:lineRule="exact"/>
        <w:ind w:left="0" w:right="0"/>
        <w:jc w:val="both"/>
      </w:pPr>
      <w:bookmarkStart w:id="626" w:name="bookmark626"/>
      <w:r>
        <w:rPr>
          <w:rFonts w:ascii="Times New Roman" w:eastAsia="Times New Roman" w:hAnsi="Times New Roman" w:cs="Times New Roman"/>
          <w:color w:val="000000"/>
          <w:spacing w:val="0"/>
          <w:w w:val="100"/>
          <w:position w:val="0"/>
        </w:rPr>
        <w:t>3</w:t>
      </w:r>
      <w:bookmarkEnd w:id="626"/>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日期间，通过股份回购专用证券账户以集中竞价交易方式回购公司股份 </w:t>
      </w:r>
      <w:r>
        <w:rPr>
          <w:rFonts w:ascii="Times New Roman" w:eastAsia="Times New Roman" w:hAnsi="Times New Roman" w:cs="Times New Roman"/>
          <w:color w:val="000000"/>
          <w:spacing w:val="0"/>
          <w:w w:val="100"/>
          <w:position w:val="0"/>
        </w:rPr>
        <w:t>4,089,792</w:t>
      </w:r>
      <w:r>
        <w:rPr>
          <w:color w:val="000000"/>
          <w:spacing w:val="0"/>
          <w:w w:val="100"/>
          <w:position w:val="0"/>
        </w:rPr>
        <w:t>股。</w:t>
      </w:r>
    </w:p>
    <w:p>
      <w:pPr>
        <w:pStyle w:val="Style22"/>
        <w:keepNext w:val="0"/>
        <w:keepLines w:val="0"/>
        <w:widowControl w:val="0"/>
        <w:shd w:val="clear" w:color="auto" w:fill="auto"/>
        <w:tabs>
          <w:tab w:pos="704" w:val="left"/>
        </w:tabs>
        <w:bidi w:val="0"/>
        <w:spacing w:before="0" w:after="360" w:line="315" w:lineRule="exact"/>
        <w:ind w:left="0" w:right="0"/>
        <w:jc w:val="both"/>
      </w:pPr>
      <w:bookmarkStart w:id="627" w:name="bookmark627"/>
      <w:r>
        <w:rPr>
          <w:rFonts w:ascii="Times New Roman" w:eastAsia="Times New Roman" w:hAnsi="Times New Roman" w:cs="Times New Roman"/>
          <w:color w:val="000000"/>
          <w:spacing w:val="0"/>
          <w:w w:val="100"/>
          <w:position w:val="0"/>
        </w:rPr>
        <w:t>4</w:t>
      </w:r>
      <w:bookmarkEnd w:id="627"/>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年股票期权激励计划第三个行权期行权条件成就。本次股票期权采用自主行权模式，报告期内，</w:t>
      </w:r>
      <w:r>
        <w:rPr>
          <w:rFonts w:ascii="Times New Roman" w:eastAsia="Times New Roman" w:hAnsi="Times New Roman" w:cs="Times New Roman"/>
          <w:color w:val="000000"/>
          <w:spacing w:val="0"/>
          <w:w w:val="100"/>
          <w:position w:val="0"/>
        </w:rPr>
        <w:t>2018</w:t>
      </w:r>
      <w:r>
        <w:rPr>
          <w:color w:val="000000"/>
          <w:spacing w:val="0"/>
          <w:w w:val="100"/>
          <w:position w:val="0"/>
        </w:rPr>
        <w:t>年股 票期权第三个行权期累计行权新增股份</w:t>
      </w:r>
      <w:r>
        <w:rPr>
          <w:rFonts w:ascii="Times New Roman" w:eastAsia="Times New Roman" w:hAnsi="Times New Roman" w:cs="Times New Roman"/>
          <w:color w:val="000000"/>
          <w:spacing w:val="0"/>
          <w:w w:val="100"/>
          <w:position w:val="0"/>
        </w:rPr>
        <w:t>3,623,073</w:t>
      </w:r>
      <w:r>
        <w:rPr>
          <w:color w:val="000000"/>
          <w:spacing w:val="0"/>
          <w:w w:val="100"/>
          <w:position w:val="0"/>
        </w:rPr>
        <w:t>股。</w:t>
      </w:r>
    </w:p>
    <w:p>
      <w:pPr>
        <w:pStyle w:val="Style33"/>
        <w:keepNext/>
        <w:keepLines/>
        <w:widowControl w:val="0"/>
        <w:shd w:val="clear" w:color="auto" w:fill="auto"/>
        <w:bidi w:val="0"/>
        <w:spacing w:before="0" w:after="28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3</w:t>
      </w:r>
      <w:bookmarkEnd w:id="630"/>
      <w:r>
        <w:rPr>
          <w:color w:val="000000"/>
          <w:spacing w:val="0"/>
          <w:w w:val="100"/>
          <w:position w:val="0"/>
        </w:rPr>
        <w:t>、现存的内部职工股情况</w:t>
      </w:r>
      <w:bookmarkEnd w:id="628"/>
      <w:bookmarkEnd w:id="629"/>
      <w:bookmarkEnd w:id="631"/>
    </w:p>
    <w:p>
      <w:pPr>
        <w:pStyle w:val="Style22"/>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三</w:t>
      </w:r>
      <w:bookmarkEnd w:id="634"/>
      <w:r>
        <w:rPr>
          <w:color w:val="000000"/>
          <w:spacing w:val="0"/>
          <w:w w:val="100"/>
          <w:position w:val="0"/>
          <w:sz w:val="24"/>
          <w:szCs w:val="24"/>
        </w:rPr>
        <w:t>、股东和实际控制人情况</w:t>
      </w:r>
      <w:bookmarkEnd w:id="632"/>
      <w:bookmarkEnd w:id="633"/>
      <w:bookmarkEnd w:id="635"/>
    </w:p>
    <w:p>
      <w:pPr>
        <w:pStyle w:val="Style33"/>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、公司股东数量及持股情况</w:t>
      </w:r>
      <w:bookmarkEnd w:id="636"/>
      <w:bookmarkEnd w:id="637"/>
      <w:bookmarkEnd w:id="63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14,502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13,516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表决权恢 复的优先</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w:t>
            </w:r>
          </w:p>
          <w:p>
            <w:pPr>
              <w:pStyle w:val="Style2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数（如有） （参见注</w:t>
            </w:r>
          </w:p>
          <w:p>
            <w:pPr>
              <w:pStyle w:val="Style24"/>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70,248,835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20,071,096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52,686,626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17,562,2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22,340,640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林芝腾讯科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33,144,385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9,469,824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33,144,3 85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福建省电子 信息（集团） 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19,797,109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19,797,1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招商银行股 份有限公司 —鹏华新兴 产业混合型 证券投资基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17,958,456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6,644,190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17,958,4 56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10,729,515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3,065,576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2,682,37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6,915,931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6,915,93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3,364,100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6,873,502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1,718,37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6,610,828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1,652,70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2,215,900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5,994,673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1,602,621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1,383,01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1,773,772</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鹏华基金管 理有限公司 一社保基金 </w:t>
            </w:r>
            <w:r>
              <w:rPr>
                <w:rFonts w:ascii="Times New Roman" w:eastAsia="Times New Roman" w:hAnsi="Times New Roman" w:cs="Times New Roman"/>
                <w:color w:val="000000"/>
                <w:spacing w:val="0"/>
                <w:w w:val="100"/>
                <w:position w:val="0"/>
              </w:rPr>
              <w:t>17031</w:t>
            </w:r>
            <w:r>
              <w:rPr>
                <w:color w:val="000000"/>
                <w:spacing w:val="0"/>
                <w:w w:val="100"/>
                <w:position w:val="0"/>
              </w:rPr>
              <w:t>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4,915,756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2,109,446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4,915,75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公司未知上述股东之间是否存在关联关系或一致行动。</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公司回购专用证券账户持有公司股份</w:t>
            </w:r>
            <w:r>
              <w:rPr>
                <w:rFonts w:ascii="Times New Roman" w:eastAsia="Times New Roman" w:hAnsi="Times New Roman" w:cs="Times New Roman"/>
                <w:color w:val="000000"/>
                <w:spacing w:val="0"/>
                <w:w w:val="100"/>
                <w:position w:val="0"/>
              </w:rPr>
              <w:t>4,089,792</w:t>
            </w:r>
            <w:r>
              <w:rPr>
                <w:color w:val="000000"/>
                <w:spacing w:val="0"/>
                <w:w w:val="100"/>
                <w:position w:val="0"/>
              </w:rPr>
              <w:t>股，不在前</w:t>
            </w:r>
            <w:r>
              <w:rPr>
                <w:rFonts w:ascii="Times New Roman" w:eastAsia="Times New Roman" w:hAnsi="Times New Roman" w:cs="Times New Roman"/>
                <w:color w:val="000000"/>
                <w:spacing w:val="0"/>
                <w:w w:val="100"/>
                <w:position w:val="0"/>
              </w:rPr>
              <w:t>10</w:t>
            </w:r>
            <w:r>
              <w:rPr>
                <w:color w:val="000000"/>
                <w:spacing w:val="0"/>
                <w:w w:val="100"/>
                <w:position w:val="0"/>
              </w:rPr>
              <w:t>名股东中，在下表的前</w:t>
            </w:r>
            <w:r>
              <w:rPr>
                <w:rFonts w:ascii="Times New Roman" w:eastAsia="Times New Roman" w:hAnsi="Times New Roman" w:cs="Times New Roman"/>
                <w:color w:val="000000"/>
                <w:spacing w:val="0"/>
                <w:w w:val="100"/>
                <w:position w:val="0"/>
              </w:rPr>
              <w:t>10</w:t>
            </w:r>
            <w:r>
              <w:rPr>
                <w:color w:val="000000"/>
                <w:spacing w:val="0"/>
                <w:w w:val="100"/>
                <w:position w:val="0"/>
              </w:rPr>
              <w:t>名无限 售条件股东中已剔除。</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林芝腾讯科技有限公司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33,144,385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33,144,385</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福建省电子信息（集团） 有限责任公司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19,797,109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19,797,109</w:t>
            </w: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招商银行股份有限公司 一鹏华新兴产业混合型 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17,958,456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17,958,456</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17,562,209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17,562,209</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余双兴</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6,915,931</w:t>
            </w:r>
          </w:p>
        </w:tc>
      </w:tr>
      <w:tr>
        <w:trPr>
          <w:trHeight w:val="725"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鹏华基金管理有限公司 一社保基金</w:t>
            </w:r>
            <w:r>
              <w:rPr>
                <w:rFonts w:ascii="Times New Roman" w:eastAsia="Times New Roman" w:hAnsi="Times New Roman" w:cs="Times New Roman"/>
                <w:color w:val="000000"/>
                <w:spacing w:val="0"/>
                <w:w w:val="100"/>
                <w:position w:val="0"/>
              </w:rPr>
              <w:t>17031</w:t>
            </w:r>
            <w:r>
              <w:rPr>
                <w:color w:val="000000"/>
                <w:spacing w:val="0"/>
                <w:w w:val="100"/>
                <w:position w:val="0"/>
              </w:rPr>
              <w:t>组合</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4,915,756</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3,886,934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3,823,095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2,992,984</w:t>
            </w: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公司未知上述股东之间是否存在关联关系或一致行动。</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情况说明（如有）（参见</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股东汪彦通过华安证券股份有限公司客户信用交易担保证券账户持有公司股份</w:t>
            </w:r>
            <w:r>
              <w:rPr>
                <w:rFonts w:ascii="Times New Roman" w:eastAsia="Times New Roman" w:hAnsi="Times New Roman" w:cs="Times New Roman"/>
                <w:color w:val="000000"/>
                <w:spacing w:val="0"/>
                <w:w w:val="100"/>
                <w:position w:val="0"/>
              </w:rPr>
              <w:t>2,699,424</w:t>
            </w:r>
            <w:r>
              <w:rPr>
                <w:color w:val="000000"/>
                <w:spacing w:val="0"/>
                <w:w w:val="100"/>
                <w:position w:val="0"/>
              </w:rPr>
              <w:t>股，普 通证券账户持股总数</w:t>
            </w:r>
            <w:r>
              <w:rPr>
                <w:rFonts w:ascii="Times New Roman" w:eastAsia="Times New Roman" w:hAnsi="Times New Roman" w:cs="Times New Roman"/>
                <w:color w:val="000000"/>
                <w:spacing w:val="0"/>
                <w:w w:val="100"/>
                <w:position w:val="0"/>
              </w:rPr>
              <w:t>293,560</w:t>
            </w:r>
            <w:r>
              <w:rPr>
                <w:color w:val="000000"/>
                <w:spacing w:val="0"/>
                <w:w w:val="100"/>
                <w:position w:val="0"/>
              </w:rPr>
              <w:t>股，合计持有公司股份</w:t>
            </w:r>
            <w:r>
              <w:rPr>
                <w:rFonts w:ascii="Times New Roman" w:eastAsia="Times New Roman" w:hAnsi="Times New Roman" w:cs="Times New Roman"/>
                <w:color w:val="000000"/>
                <w:spacing w:val="0"/>
                <w:w w:val="100"/>
                <w:position w:val="0"/>
              </w:rPr>
              <w:t>2,992,984</w:t>
            </w:r>
            <w:r>
              <w:rPr>
                <w:color w:val="000000"/>
                <w:spacing w:val="0"/>
                <w:w w:val="100"/>
                <w:position w:val="0"/>
              </w:rPr>
              <w:t>股。</w:t>
            </w:r>
          </w:p>
        </w:tc>
      </w:tr>
    </w:tbl>
    <w:p>
      <w:pPr>
        <w:pStyle w:val="Style2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2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、公司控股股东情况</w:t>
      </w:r>
      <w:bookmarkEnd w:id="640"/>
      <w:bookmarkEnd w:id="641"/>
      <w:bookmarkEnd w:id="64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担任福建博思软件股份有限公司董事长</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4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、公司实际控制人及其一致行动人</w:t>
      </w:r>
      <w:bookmarkEnd w:id="644"/>
      <w:bookmarkEnd w:id="645"/>
      <w:bookmarkEnd w:id="647"/>
    </w:p>
    <w:p>
      <w:pPr>
        <w:pStyle w:val="Style22"/>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担任福建博思软件股份有限公司董事长</w:t>
            </w:r>
          </w:p>
        </w:tc>
      </w:tr>
    </w:tbl>
    <w:tbl>
      <w:tblPr>
        <w:tblOverlap w:val="never"/>
        <w:jc w:val="center"/>
        <w:tblLayout w:type="fixed"/>
      </w:tblPr>
      <w:tblGrid>
        <w:gridCol w:w="2424"/>
        <w:gridCol w:w="728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6396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639695"/>
                    </a:xfrm>
                    <a:prstGeom prst="rect"/>
                  </pic:spPr>
                </pic:pic>
              </a:graphicData>
            </a:graphic>
          </wp:inline>
        </w:drawing>
      </w:r>
    </w:p>
    <w:p>
      <w:pPr>
        <w:widowControl w:val="0"/>
        <w:spacing w:after="35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8"/>
      <w:bookmarkEnd w:id="649"/>
      <w:bookmarkEnd w:id="65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2"/>
      <w:bookmarkEnd w:id="653"/>
      <w:bookmarkEnd w:id="655"/>
    </w:p>
    <w:p>
      <w:pPr>
        <w:pStyle w:val="Style22"/>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656" w:name="bookmark656"/>
      <w:bookmarkEnd w:id="65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w:t>
        <w:tab/>
        <w:t>控股股东、实际控制人、重组方及其他承诺主体股份限制减持情况</w:t>
      </w:r>
      <w:bookmarkEnd w:id="657"/>
      <w:bookmarkEnd w:id="658"/>
      <w:bookmarkEnd w:id="660"/>
    </w:p>
    <w:p>
      <w:pPr>
        <w:pStyle w:val="Style22"/>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661" w:name="bookmark661"/>
      <w:bookmarkEnd w:id="66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四</w:t>
      </w:r>
      <w:bookmarkEnd w:id="664"/>
      <w:r>
        <w:rPr>
          <w:color w:val="000000"/>
          <w:spacing w:val="0"/>
          <w:w w:val="100"/>
          <w:position w:val="0"/>
          <w:sz w:val="24"/>
          <w:szCs w:val="24"/>
        </w:rPr>
        <w:t>、股份回购在报告期的具体实施情况</w:t>
      </w:r>
      <w:bookmarkEnd w:id="662"/>
      <w:bookmarkEnd w:id="663"/>
      <w:bookmarkEnd w:id="66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0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占总股本的比 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已回购数量占</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股权激励计划</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所涉及的标的</w:t>
            </w:r>
          </w:p>
        </w:tc>
      </w:tr>
    </w:tbl>
    <w:p>
      <w:pPr>
        <w:spacing w:lineRule="exact" w:line="1"/>
        <w:rPr>
          <w:sz w:val="2"/>
          <w:szCs w:val="2"/>
        </w:rPr>
      </w:pPr>
      <w:r>
        <w:br w:type="page"/>
      </w:r>
    </w:p>
    <w:tbl>
      <w:tblPr>
        <w:tblOverlap w:val="never"/>
        <w:jc w:val="center"/>
        <w:tblLayout w:type="fixed"/>
      </w:tblPr>
      <w:tblGrid>
        <w:gridCol w:w="1210"/>
        <w:gridCol w:w="1195"/>
        <w:gridCol w:w="1195"/>
        <w:gridCol w:w="1195"/>
        <w:gridCol w:w="1195"/>
        <w:gridCol w:w="1195"/>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股票的比例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2,602,230-4,46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0.66%-1.13%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7,000-12,000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第四届董事会 第三次会议审 议通过回购方 案之日起</w:t>
            </w:r>
            <w:r>
              <w:rPr>
                <w:rFonts w:ascii="Times New Roman" w:eastAsia="Times New Roman" w:hAnsi="Times New Roman" w:cs="Times New Roman"/>
                <w:color w:val="000000"/>
                <w:spacing w:val="0"/>
                <w:w w:val="100"/>
                <w:position w:val="0"/>
              </w:rPr>
              <w:t>12</w:t>
            </w:r>
            <w:r>
              <w:rPr>
                <w:color w:val="000000"/>
                <w:spacing w:val="0"/>
                <w:w w:val="100"/>
                <w:position w:val="0"/>
              </w:rPr>
              <w:t>个 月内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用于实施员工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持股计划或股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权激励计划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150" w:right="1095" w:bottom="1457" w:left="106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第八节优先股相关情况</w:t>
                            </w:r>
                            <w:bookmarkEnd w:id="666"/>
                            <w:bookmarkEnd w:id="667"/>
                            <w:bookmarkEnd w:id="66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第八节优先股相关情况</w:t>
                      </w:r>
                      <w:bookmarkEnd w:id="666"/>
                      <w:bookmarkEnd w:id="667"/>
                      <w:bookmarkEnd w:id="668"/>
                    </w:p>
                  </w:txbxContent>
                </v:textbox>
                <w10:wrap type="topAndBottom" anchorx="page"/>
              </v:shape>
            </w:pict>
          </mc:Fallback>
        </mc:AlternateContent>
      </w:r>
    </w:p>
    <w:p>
      <w:pPr>
        <w:pStyle w:val="Style22"/>
        <w:keepNext w:val="0"/>
        <w:keepLines w:val="0"/>
        <w:widowControl w:val="0"/>
        <w:shd w:val="clear" w:color="auto" w:fill="auto"/>
        <w:bidi w:val="0"/>
        <w:spacing w:before="0" w:after="120" w:line="240" w:lineRule="auto"/>
        <w:ind w:left="0" w:right="0" w:firstLine="0"/>
        <w:jc w:val="left"/>
      </w:pPr>
      <w:bookmarkStart w:id="669" w:name="bookmark66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69"/>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70" w:name="bookmark670"/>
      <w:bookmarkStart w:id="671" w:name="bookmark671"/>
      <w:bookmarkStart w:id="672" w:name="bookmark672"/>
      <w:r>
        <w:rPr>
          <w:color w:val="000000"/>
          <w:spacing w:val="0"/>
          <w:w w:val="100"/>
          <w:position w:val="0"/>
        </w:rPr>
        <w:t>第九节债券相关情况</w:t>
      </w:r>
      <w:bookmarkEnd w:id="670"/>
      <w:bookmarkEnd w:id="671"/>
      <w:bookmarkEnd w:id="672"/>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bookmarkStart w:id="673" w:name="bookmark673"/>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73"/>
    </w:p>
    <w:p>
      <w:pPr>
        <w:pStyle w:val="Style12"/>
        <w:keepNext/>
        <w:keepLines/>
        <w:widowControl w:val="0"/>
        <w:shd w:val="clear" w:color="auto" w:fill="auto"/>
        <w:bidi w:val="0"/>
        <w:spacing w:before="560" w:after="520" w:line="240" w:lineRule="auto"/>
        <w:ind w:left="0" w:right="0" w:firstLine="0"/>
        <w:jc w:val="center"/>
      </w:pPr>
      <w:bookmarkStart w:id="674" w:name="bookmark674"/>
      <w:bookmarkStart w:id="675" w:name="bookmark675"/>
      <w:bookmarkStart w:id="676" w:name="bookmark676"/>
      <w:r>
        <w:rPr>
          <w:color w:val="000000"/>
          <w:spacing w:val="0"/>
          <w:w w:val="100"/>
          <w:position w:val="0"/>
        </w:rPr>
        <w:t>第十节财务报告</w:t>
      </w:r>
      <w:bookmarkEnd w:id="674"/>
      <w:bookmarkEnd w:id="675"/>
      <w:bookmarkEnd w:id="676"/>
    </w:p>
    <w:p>
      <w:pPr>
        <w:pStyle w:val="Style27"/>
        <w:keepNext/>
        <w:keepLines/>
        <w:widowControl w:val="0"/>
        <w:shd w:val="clear" w:color="auto" w:fill="auto"/>
        <w:bidi w:val="0"/>
        <w:spacing w:before="0" w:after="320" w:line="240" w:lineRule="auto"/>
        <w:ind w:left="0" w:right="0" w:firstLine="0"/>
        <w:jc w:val="left"/>
      </w:pPr>
      <w:bookmarkStart w:id="677" w:name="bookmark677"/>
      <w:bookmarkStart w:id="678" w:name="bookmark678"/>
      <w:bookmarkStart w:id="679" w:name="bookmark679"/>
      <w:bookmarkStart w:id="680" w:name="bookmark680"/>
      <w:bookmarkStart w:id="681" w:name="bookmark681"/>
      <w:r>
        <w:rPr>
          <w:color w:val="000000"/>
          <w:spacing w:val="0"/>
          <w:w w:val="100"/>
          <w:position w:val="0"/>
          <w:sz w:val="24"/>
          <w:szCs w:val="24"/>
        </w:rPr>
        <w:t>一</w:t>
      </w:r>
      <w:bookmarkEnd w:id="680"/>
      <w:r>
        <w:rPr>
          <w:color w:val="000000"/>
          <w:spacing w:val="0"/>
          <w:w w:val="100"/>
          <w:position w:val="0"/>
          <w:sz w:val="24"/>
          <w:szCs w:val="24"/>
        </w:rPr>
        <w:t>、审计报告</w:t>
      </w:r>
      <w:bookmarkEnd w:id="678"/>
      <w:bookmarkEnd w:id="679"/>
      <w:bookmarkEnd w:id="681"/>
      <w:bookmarkEnd w:id="67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[2022]009219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曹隆森、熊志平</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福建博思软件股份有限公司全体股东：</w:t>
      </w:r>
    </w:p>
    <w:p>
      <w:pPr>
        <w:pStyle w:val="Style22"/>
        <w:keepNext w:val="0"/>
        <w:keepLines w:val="0"/>
        <w:widowControl w:val="0"/>
        <w:shd w:val="clear" w:color="auto" w:fill="auto"/>
        <w:tabs>
          <w:tab w:pos="735" w:val="left"/>
        </w:tabs>
        <w:bidi w:val="0"/>
        <w:spacing w:before="0" w:after="0" w:line="316" w:lineRule="exact"/>
        <w:ind w:left="0" w:right="0" w:firstLine="300"/>
        <w:jc w:val="both"/>
      </w:pPr>
      <w:bookmarkStart w:id="682" w:name="bookmark682"/>
      <w:r>
        <w:rPr>
          <w:color w:val="000000"/>
          <w:spacing w:val="0"/>
          <w:w w:val="100"/>
          <w:position w:val="0"/>
        </w:rPr>
        <w:t>一</w:t>
      </w:r>
      <w:bookmarkEnd w:id="682"/>
      <w:r>
        <w:rPr>
          <w:color w:val="000000"/>
          <w:spacing w:val="0"/>
          <w:w w:val="100"/>
          <w:position w:val="0"/>
        </w:rPr>
        <w:t>、</w:t>
        <w:tab/>
        <w:t>审计意见</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我们审计了福建博思软件股份有限公司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以下简称博思软件</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年度的合并及母公司利润表、合并及母公司现金流量表、合并及母公司股东权益变动表以及相关财务报表附注。</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我们认为，后附的财务报表在所有重大方面按照企业会计准则的规定编制，公允反映了博思软件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2"/>
        <w:keepNext w:val="0"/>
        <w:keepLines w:val="0"/>
        <w:widowControl w:val="0"/>
        <w:shd w:val="clear" w:color="auto" w:fill="auto"/>
        <w:tabs>
          <w:tab w:pos="735" w:val="left"/>
        </w:tabs>
        <w:bidi w:val="0"/>
        <w:spacing w:before="0" w:after="0" w:line="316" w:lineRule="exact"/>
        <w:ind w:left="0" w:right="0" w:firstLine="300"/>
        <w:jc w:val="both"/>
      </w:pPr>
      <w:bookmarkStart w:id="683" w:name="bookmark683"/>
      <w:r>
        <w:rPr>
          <w:color w:val="000000"/>
          <w:spacing w:val="0"/>
          <w:w w:val="100"/>
          <w:position w:val="0"/>
        </w:rPr>
        <w:t>二</w:t>
      </w:r>
      <w:bookmarkEnd w:id="683"/>
      <w:r>
        <w:rPr>
          <w:color w:val="000000"/>
          <w:spacing w:val="0"/>
          <w:w w:val="100"/>
          <w:position w:val="0"/>
        </w:rPr>
        <w:t>、</w:t>
        <w:tab/>
        <w:t>形成审计意见的基础</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阐述了我们在这些准则下的责任。按照中国注册会计师职业道德守则，我们独立于博思软件，并履行了职业道德方面的其他 责任。我们相信，我们获取的审计证据是充分、适当的，为发表审计意见提供了基础。</w:t>
      </w:r>
    </w:p>
    <w:p>
      <w:pPr>
        <w:pStyle w:val="Style22"/>
        <w:keepNext w:val="0"/>
        <w:keepLines w:val="0"/>
        <w:widowControl w:val="0"/>
        <w:shd w:val="clear" w:color="auto" w:fill="auto"/>
        <w:tabs>
          <w:tab w:pos="735" w:val="left"/>
        </w:tabs>
        <w:bidi w:val="0"/>
        <w:spacing w:before="0" w:after="0" w:line="316" w:lineRule="exact"/>
        <w:ind w:left="0" w:right="0" w:firstLine="300"/>
        <w:jc w:val="both"/>
      </w:pPr>
      <w:bookmarkStart w:id="684" w:name="bookmark684"/>
      <w:r>
        <w:rPr>
          <w:color w:val="000000"/>
          <w:spacing w:val="0"/>
          <w:w w:val="100"/>
          <w:position w:val="0"/>
        </w:rPr>
        <w:t>三</w:t>
      </w:r>
      <w:bookmarkEnd w:id="684"/>
      <w:r>
        <w:rPr>
          <w:color w:val="000000"/>
          <w:spacing w:val="0"/>
          <w:w w:val="100"/>
          <w:position w:val="0"/>
        </w:rPr>
        <w:t>、</w:t>
        <w:tab/>
        <w:t>关键审计事项</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2"/>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我们确定下列事项是需要在审计报告中沟通的关键审计事项。</w:t>
      </w:r>
    </w:p>
    <w:p>
      <w:pPr>
        <w:pStyle w:val="Style22"/>
        <w:keepNext w:val="0"/>
        <w:keepLines w:val="0"/>
        <w:widowControl w:val="0"/>
        <w:numPr>
          <w:ilvl w:val="0"/>
          <w:numId w:val="11"/>
        </w:numPr>
        <w:shd w:val="clear" w:color="auto" w:fill="auto"/>
        <w:tabs>
          <w:tab w:pos="601" w:val="left"/>
        </w:tabs>
        <w:bidi w:val="0"/>
        <w:spacing w:before="0" w:after="0"/>
        <w:ind w:left="0" w:right="0" w:firstLine="300"/>
        <w:jc w:val="both"/>
      </w:pPr>
      <w:bookmarkStart w:id="685" w:name="bookmark685"/>
      <w:bookmarkEnd w:id="685"/>
      <w:r>
        <w:rPr>
          <w:color w:val="000000"/>
          <w:spacing w:val="0"/>
          <w:w w:val="100"/>
          <w:position w:val="0"/>
        </w:rPr>
        <w:t>收入确认</w:t>
      </w:r>
    </w:p>
    <w:p>
      <w:pPr>
        <w:pStyle w:val="Style22"/>
        <w:keepNext w:val="0"/>
        <w:keepLines w:val="0"/>
        <w:widowControl w:val="0"/>
        <w:numPr>
          <w:ilvl w:val="0"/>
          <w:numId w:val="11"/>
        </w:numPr>
        <w:shd w:val="clear" w:color="auto" w:fill="auto"/>
        <w:tabs>
          <w:tab w:pos="620" w:val="left"/>
        </w:tabs>
        <w:bidi w:val="0"/>
        <w:spacing w:before="0" w:after="0"/>
        <w:ind w:left="0" w:right="0" w:firstLine="300"/>
        <w:jc w:val="both"/>
      </w:pPr>
      <w:bookmarkStart w:id="686" w:name="bookmark686"/>
      <w:bookmarkEnd w:id="686"/>
      <w:r>
        <w:rPr>
          <w:color w:val="000000"/>
          <w:spacing w:val="0"/>
          <w:w w:val="100"/>
          <w:position w:val="0"/>
        </w:rPr>
        <w:t>商誉减值</w:t>
      </w:r>
    </w:p>
    <w:p>
      <w:pPr>
        <w:pStyle w:val="Style22"/>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（一）收入确认事项</w:t>
      </w:r>
    </w:p>
    <w:p>
      <w:pPr>
        <w:pStyle w:val="Style22"/>
        <w:keepNext w:val="0"/>
        <w:keepLines w:val="0"/>
        <w:widowControl w:val="0"/>
        <w:numPr>
          <w:ilvl w:val="0"/>
          <w:numId w:val="13"/>
        </w:numPr>
        <w:shd w:val="clear" w:color="auto" w:fill="auto"/>
        <w:bidi w:val="0"/>
        <w:spacing w:before="0" w:after="0"/>
        <w:ind w:left="0" w:right="0" w:firstLine="300"/>
        <w:jc w:val="both"/>
      </w:pPr>
      <w:bookmarkStart w:id="687" w:name="bookmark687"/>
      <w:bookmarkEnd w:id="687"/>
      <w:r>
        <w:rPr>
          <w:color w:val="000000"/>
          <w:spacing w:val="0"/>
          <w:w w:val="100"/>
          <w:position w:val="0"/>
        </w:rPr>
        <w:t>事项描述</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（三十九）及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22"/>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由于收入是博思软件关键业绩指标之一，对财务报表具有重要性，存在管理层为达到该特定业绩目标而操纵收入确认期 间的风险。因此，我们将收入确认识别为关键审计事项。</w:t>
      </w:r>
    </w:p>
    <w:p>
      <w:pPr>
        <w:pStyle w:val="Style22"/>
        <w:keepNext w:val="0"/>
        <w:keepLines w:val="0"/>
        <w:widowControl w:val="0"/>
        <w:numPr>
          <w:ilvl w:val="0"/>
          <w:numId w:val="13"/>
        </w:numPr>
        <w:shd w:val="clear" w:color="auto" w:fill="auto"/>
        <w:bidi w:val="0"/>
        <w:spacing w:before="0" w:after="0"/>
        <w:ind w:left="0" w:right="0" w:firstLine="300"/>
        <w:jc w:val="both"/>
      </w:pPr>
      <w:bookmarkStart w:id="688" w:name="bookmark688"/>
      <w:bookmarkEnd w:id="688"/>
      <w:r>
        <w:rPr>
          <w:color w:val="000000"/>
          <w:spacing w:val="0"/>
          <w:w w:val="100"/>
          <w:position w:val="0"/>
        </w:rPr>
        <w:t>审计应对</w:t>
      </w:r>
    </w:p>
    <w:p>
      <w:pPr>
        <w:pStyle w:val="Style22"/>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我们对于收入确认所实施的重要审计程序包括：</w:t>
      </w:r>
    </w:p>
    <w:p>
      <w:pPr>
        <w:pStyle w:val="Style22"/>
        <w:keepNext w:val="0"/>
        <w:keepLines w:val="0"/>
        <w:widowControl w:val="0"/>
        <w:shd w:val="clear" w:color="auto" w:fill="auto"/>
        <w:tabs>
          <w:tab w:pos="745" w:val="left"/>
        </w:tabs>
        <w:bidi w:val="0"/>
        <w:spacing w:before="0" w:after="0" w:line="316" w:lineRule="exact"/>
        <w:ind w:left="0" w:right="0" w:firstLine="30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w:t>
        <w:tab/>
        <w:t>了解管理层与收入确认相关的关键内部控制的设计，并测试其运行的有效性；</w:t>
      </w:r>
    </w:p>
    <w:p>
      <w:pPr>
        <w:pStyle w:val="Style22"/>
        <w:keepNext w:val="0"/>
        <w:keepLines w:val="0"/>
        <w:widowControl w:val="0"/>
        <w:shd w:val="clear" w:color="auto" w:fill="auto"/>
        <w:tabs>
          <w:tab w:pos="829" w:val="left"/>
        </w:tabs>
        <w:bidi w:val="0"/>
        <w:spacing w:before="0" w:after="0" w:line="316" w:lineRule="exact"/>
        <w:ind w:left="0" w:right="0" w:firstLine="30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t>通过审阅销售合同与收入确认相关的主要条款，与管理层的沟通，评价博思软件的收入确认的会计政策是否符合 企业会计准则的要求；</w:t>
      </w:r>
    </w:p>
    <w:p>
      <w:pPr>
        <w:pStyle w:val="Style22"/>
        <w:keepNext w:val="0"/>
        <w:keepLines w:val="0"/>
        <w:widowControl w:val="0"/>
        <w:shd w:val="clear" w:color="auto" w:fill="auto"/>
        <w:tabs>
          <w:tab w:pos="834" w:val="left"/>
        </w:tabs>
        <w:bidi w:val="0"/>
        <w:spacing w:before="0" w:after="0" w:line="316" w:lineRule="exact"/>
        <w:ind w:left="0" w:right="0" w:firstLine="30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对收入和成本执行分析程序，包括：本期收入季度间波动较去年同期对比分析，各类产品收入、成本、毛利率与 上期比较分析等；</w:t>
      </w:r>
    </w:p>
    <w:p>
      <w:pPr>
        <w:pStyle w:val="Style22"/>
        <w:keepNext w:val="0"/>
        <w:keepLines w:val="0"/>
        <w:widowControl w:val="0"/>
        <w:shd w:val="clear" w:color="auto" w:fill="auto"/>
        <w:tabs>
          <w:tab w:pos="834" w:val="left"/>
        </w:tabs>
        <w:bidi w:val="0"/>
        <w:spacing w:before="0" w:after="100" w:line="316" w:lineRule="exact"/>
        <w:ind w:left="0" w:right="0" w:firstLine="30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4</w:t>
      </w:r>
      <w:r>
        <w:rPr>
          <w:color w:val="000000"/>
          <w:spacing w:val="0"/>
          <w:w w:val="100"/>
          <w:position w:val="0"/>
        </w:rPr>
        <w:t>）</w:t>
        <w:tab/>
        <w:t>针对不同业务收入进行抽样测试，了解业务情况，核对销售合同、收入确认支持性文件，结合函证程序以确认收 入的真实性；</w:t>
      </w:r>
    </w:p>
    <w:p>
      <w:pPr>
        <w:pStyle w:val="Style22"/>
        <w:keepNext w:val="0"/>
        <w:keepLines w:val="0"/>
        <w:widowControl w:val="0"/>
        <w:shd w:val="clear" w:color="auto" w:fill="auto"/>
        <w:bidi w:val="0"/>
        <w:spacing w:before="0" w:after="0" w:line="314" w:lineRule="exact"/>
        <w:ind w:left="0" w:right="0" w:firstLine="30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5</w:t>
      </w:r>
      <w:r>
        <w:rPr>
          <w:color w:val="000000"/>
          <w:spacing w:val="0"/>
          <w:w w:val="100"/>
          <w:position w:val="0"/>
        </w:rPr>
        <w:t>）针对资产负债表日前后确认的销售收入执行抽样测试，以评估销售收入是否在恰当的期间确认。</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基于已执行的审计工作及获取的审计证据，我们认为，博思软件公司的收入确认符合企业会计准则及收入确认政策的规 定，收入确认的列报及披露是适当的。</w:t>
      </w:r>
    </w:p>
    <w:p>
      <w:pPr>
        <w:pStyle w:val="Style22"/>
        <w:keepNext w:val="0"/>
        <w:keepLines w:val="0"/>
        <w:widowControl w:val="0"/>
        <w:shd w:val="clear" w:color="auto" w:fill="auto"/>
        <w:bidi w:val="0"/>
        <w:spacing w:before="0" w:after="100" w:line="314" w:lineRule="exact"/>
        <w:ind w:left="0" w:right="0" w:firstLine="240"/>
        <w:jc w:val="both"/>
      </w:pPr>
      <w:r>
        <w:rPr>
          <w:color w:val="000000"/>
          <w:spacing w:val="0"/>
          <w:w w:val="100"/>
          <w:position w:val="0"/>
        </w:rPr>
        <w:t>（二）商誉减值事项</w:t>
      </w:r>
    </w:p>
    <w:p>
      <w:pPr>
        <w:pStyle w:val="Style22"/>
        <w:keepNext w:val="0"/>
        <w:keepLines w:val="0"/>
        <w:widowControl w:val="0"/>
        <w:numPr>
          <w:ilvl w:val="0"/>
          <w:numId w:val="15"/>
        </w:numPr>
        <w:shd w:val="clear" w:color="auto" w:fill="auto"/>
        <w:tabs>
          <w:tab w:pos="601" w:val="left"/>
        </w:tabs>
        <w:bidi w:val="0"/>
        <w:spacing w:before="0" w:after="0"/>
        <w:ind w:left="0" w:right="0" w:firstLine="300"/>
        <w:jc w:val="left"/>
      </w:pPr>
      <w:bookmarkStart w:id="694" w:name="bookmark694"/>
      <w:bookmarkEnd w:id="694"/>
      <w:r>
        <w:rPr>
          <w:color w:val="000000"/>
          <w:spacing w:val="0"/>
          <w:w w:val="100"/>
          <w:position w:val="0"/>
        </w:rPr>
        <w:t>事项描述</w:t>
      </w:r>
    </w:p>
    <w:p>
      <w:pPr>
        <w:pStyle w:val="Style22"/>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五、重要会计政策及会计估计（五）</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22"/>
        <w:keepNext w:val="0"/>
        <w:keepLines w:val="0"/>
        <w:widowControl w:val="0"/>
        <w:shd w:val="clear" w:color="auto" w:fill="auto"/>
        <w:bidi w:val="0"/>
        <w:spacing w:before="0" w:after="100" w:line="314" w:lineRule="exact"/>
        <w:ind w:left="0" w:right="0" w:firstLine="300"/>
        <w:jc w:val="left"/>
      </w:pPr>
      <w:r>
        <w:rPr>
          <w:color w:val="000000"/>
          <w:spacing w:val="0"/>
          <w:w w:val="100"/>
          <w:position w:val="0"/>
        </w:rPr>
        <w:t>由于商誉对合并财务报表的重要性，计提减值时涉及管理层判断和估计，特别在预测未来现金流量方面包括对预测收入、 长期平均增长率和利润率以及确定恰当的折现率所作的关键假设，这些关键假设具有固有不确定性且可能受到管理层偏向的 影响。因此我们将评估合并财务报表中商誉的减值识别为关键审计事项。</w:t>
      </w:r>
    </w:p>
    <w:p>
      <w:pPr>
        <w:pStyle w:val="Style22"/>
        <w:keepNext w:val="0"/>
        <w:keepLines w:val="0"/>
        <w:widowControl w:val="0"/>
        <w:numPr>
          <w:ilvl w:val="0"/>
          <w:numId w:val="15"/>
        </w:numPr>
        <w:shd w:val="clear" w:color="auto" w:fill="auto"/>
        <w:tabs>
          <w:tab w:pos="620" w:val="left"/>
        </w:tabs>
        <w:bidi w:val="0"/>
        <w:spacing w:before="0" w:after="0"/>
        <w:ind w:left="0" w:right="0" w:firstLine="300"/>
        <w:jc w:val="both"/>
      </w:pPr>
      <w:bookmarkStart w:id="695" w:name="bookmark695"/>
      <w:bookmarkEnd w:id="695"/>
      <w:r>
        <w:rPr>
          <w:color w:val="000000"/>
          <w:spacing w:val="0"/>
          <w:w w:val="100"/>
          <w:position w:val="0"/>
        </w:rPr>
        <w:t>审计应对</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我们对于商誉减值所实施的重要审计程序包括：</w:t>
      </w:r>
    </w:p>
    <w:p>
      <w:pPr>
        <w:pStyle w:val="Style22"/>
        <w:keepNext w:val="0"/>
        <w:keepLines w:val="0"/>
        <w:widowControl w:val="0"/>
        <w:shd w:val="clear" w:color="auto" w:fill="auto"/>
        <w:tabs>
          <w:tab w:pos="685" w:val="left"/>
        </w:tabs>
        <w:bidi w:val="0"/>
        <w:spacing w:before="0" w:after="0" w:line="314" w:lineRule="exact"/>
        <w:ind w:left="0" w:right="0" w:firstLine="24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1</w:t>
      </w:r>
      <w:r>
        <w:rPr>
          <w:color w:val="000000"/>
          <w:spacing w:val="0"/>
          <w:w w:val="100"/>
          <w:position w:val="0"/>
        </w:rPr>
        <w:t>）</w:t>
        <w:tab/>
        <w:t>评估管理层减值测试时估值方法的适当性；</w:t>
      </w:r>
    </w:p>
    <w:p>
      <w:pPr>
        <w:pStyle w:val="Style22"/>
        <w:keepNext w:val="0"/>
        <w:keepLines w:val="0"/>
        <w:widowControl w:val="0"/>
        <w:shd w:val="clear" w:color="auto" w:fill="auto"/>
        <w:bidi w:val="0"/>
        <w:spacing w:before="0" w:after="0" w:line="314" w:lineRule="exact"/>
        <w:ind w:left="0" w:right="0" w:firstLine="24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2</w:t>
      </w:r>
      <w:r>
        <w:rPr>
          <w:color w:val="000000"/>
          <w:spacing w:val="0"/>
          <w:w w:val="100"/>
          <w:position w:val="0"/>
        </w:rPr>
        <w:t>） 通过将收入增长率、永续增长率和成本费用上涨等关键值与过往业绩、管理层预算和预测进行比较，审慎评价编制 折现现金流预测中采用的关键假设及判断；</w:t>
      </w:r>
    </w:p>
    <w:p>
      <w:pPr>
        <w:pStyle w:val="Style22"/>
        <w:keepNext w:val="0"/>
        <w:keepLines w:val="0"/>
        <w:widowControl w:val="0"/>
        <w:shd w:val="clear" w:color="auto" w:fill="auto"/>
        <w:tabs>
          <w:tab w:pos="685" w:val="left"/>
        </w:tabs>
        <w:bidi w:val="0"/>
        <w:spacing w:before="0" w:after="0" w:line="314" w:lineRule="exact"/>
        <w:ind w:left="0" w:right="0" w:firstLine="24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3</w:t>
      </w:r>
      <w:r>
        <w:rPr>
          <w:color w:val="000000"/>
          <w:spacing w:val="0"/>
          <w:w w:val="100"/>
          <w:position w:val="0"/>
        </w:rPr>
        <w:t>）</w:t>
        <w:tab/>
        <w:t>测试未来现金流量净现值的计算是否准确；</w:t>
      </w:r>
    </w:p>
    <w:p>
      <w:pPr>
        <w:pStyle w:val="Style22"/>
        <w:keepNext w:val="0"/>
        <w:keepLines w:val="0"/>
        <w:widowControl w:val="0"/>
        <w:shd w:val="clear" w:color="auto" w:fill="auto"/>
        <w:tabs>
          <w:tab w:pos="685" w:val="left"/>
        </w:tabs>
        <w:bidi w:val="0"/>
        <w:spacing w:before="0" w:after="0" w:line="314" w:lineRule="exact"/>
        <w:ind w:left="0" w:right="0" w:firstLine="24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4</w:t>
      </w:r>
      <w:r>
        <w:rPr>
          <w:color w:val="000000"/>
          <w:spacing w:val="0"/>
          <w:w w:val="100"/>
          <w:position w:val="0"/>
        </w:rPr>
        <w:t>）</w:t>
        <w:tab/>
        <w:t>核查管理层对商誉的减值估计结果、财务报表的披露是否恰当。</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基于已执行的审计工作及获取的审计证据，我们认为，博思软件公司的商誉减值事项的账务处理符合企业会计准则的规 定，商誉的列报及披露是适当的。</w:t>
      </w:r>
    </w:p>
    <w:p>
      <w:pPr>
        <w:pStyle w:val="Style22"/>
        <w:keepNext w:val="0"/>
        <w:keepLines w:val="0"/>
        <w:widowControl w:val="0"/>
        <w:shd w:val="clear" w:color="auto" w:fill="auto"/>
        <w:tabs>
          <w:tab w:pos="721" w:val="left"/>
        </w:tabs>
        <w:bidi w:val="0"/>
        <w:spacing w:before="0" w:after="0" w:line="314" w:lineRule="exact"/>
        <w:ind w:left="0" w:right="0" w:firstLine="300"/>
        <w:jc w:val="both"/>
      </w:pPr>
      <w:bookmarkStart w:id="700" w:name="bookmark700"/>
      <w:r>
        <w:rPr>
          <w:color w:val="000000"/>
          <w:spacing w:val="0"/>
          <w:w w:val="100"/>
          <w:position w:val="0"/>
        </w:rPr>
        <w:t>四</w:t>
      </w:r>
      <w:bookmarkEnd w:id="700"/>
      <w:r>
        <w:rPr>
          <w:color w:val="000000"/>
          <w:spacing w:val="0"/>
          <w:w w:val="100"/>
          <w:position w:val="0"/>
        </w:rPr>
        <w:t>、</w:t>
        <w:tab/>
        <w:t>其他信息</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博思软件管理层对其他信息负责。其他信息包括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年度报告中涵盖的信息，但不包括财务报表和我们的审计报告。</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2"/>
        <w:keepNext w:val="0"/>
        <w:keepLines w:val="0"/>
        <w:widowControl w:val="0"/>
        <w:shd w:val="clear" w:color="auto" w:fill="auto"/>
        <w:tabs>
          <w:tab w:pos="735" w:val="left"/>
        </w:tabs>
        <w:bidi w:val="0"/>
        <w:spacing w:before="0" w:after="0" w:line="314" w:lineRule="exact"/>
        <w:ind w:left="0" w:right="0" w:firstLine="300"/>
        <w:jc w:val="both"/>
      </w:pPr>
      <w:bookmarkStart w:id="701" w:name="bookmark701"/>
      <w:r>
        <w:rPr>
          <w:color w:val="000000"/>
          <w:spacing w:val="0"/>
          <w:w w:val="100"/>
          <w:position w:val="0"/>
        </w:rPr>
        <w:t>五</w:t>
      </w:r>
      <w:bookmarkEnd w:id="701"/>
      <w:r>
        <w:rPr>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博思软件管理层负责按照企业会计准则的规定编制财务报表，使其实现公允反映，并设计、执行和维护必要的内部控制， 以使财务报表不存在由于舞弊或错误导致的重大错报。</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在编制财务报表时，博思软件管理层负责评估博思软件的持续经营能力，披露与持续经营相关的事项（如适用），并运 用持续经营假设，除非管理层计划清算博思软件、终止运营或别无其他现实的选择。</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治理层负责监督博思软件的财务报告过程。</w:t>
      </w:r>
    </w:p>
    <w:p>
      <w:pPr>
        <w:pStyle w:val="Style22"/>
        <w:keepNext w:val="0"/>
        <w:keepLines w:val="0"/>
        <w:widowControl w:val="0"/>
        <w:shd w:val="clear" w:color="auto" w:fill="auto"/>
        <w:tabs>
          <w:tab w:pos="735" w:val="left"/>
        </w:tabs>
        <w:bidi w:val="0"/>
        <w:spacing w:before="0" w:after="0" w:line="314" w:lineRule="exact"/>
        <w:ind w:left="0" w:right="0" w:firstLine="300"/>
        <w:jc w:val="both"/>
      </w:pPr>
      <w:bookmarkStart w:id="702" w:name="bookmark702"/>
      <w:r>
        <w:rPr>
          <w:color w:val="000000"/>
          <w:spacing w:val="0"/>
          <w:w w:val="100"/>
          <w:position w:val="0"/>
        </w:rPr>
        <w:t>六</w:t>
      </w:r>
      <w:bookmarkEnd w:id="702"/>
      <w:r>
        <w:rPr>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numPr>
          <w:ilvl w:val="0"/>
          <w:numId w:val="17"/>
        </w:numPr>
        <w:shd w:val="clear" w:color="auto" w:fill="auto"/>
        <w:bidi w:val="0"/>
        <w:spacing w:before="0" w:after="100" w:line="314" w:lineRule="exact"/>
        <w:ind w:left="0" w:right="0" w:firstLine="300"/>
        <w:jc w:val="both"/>
      </w:pPr>
      <w:bookmarkStart w:id="703" w:name="bookmark703"/>
      <w:bookmarkEnd w:id="703"/>
      <w:r>
        <w:rPr>
          <w:rFonts w:ascii="Times New Roman" w:eastAsia="Times New Roman" w:hAnsi="Times New Roman" w:cs="Times New Roman"/>
          <w:color w:val="000000"/>
          <w:spacing w:val="0"/>
          <w:w w:val="100"/>
          <w:position w:val="0"/>
        </w:rPr>
        <w:t xml:space="preserve"> </w:t>
      </w:r>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2"/>
        <w:keepNext w:val="0"/>
        <w:keepLines w:val="0"/>
        <w:widowControl w:val="0"/>
        <w:numPr>
          <w:ilvl w:val="0"/>
          <w:numId w:val="17"/>
        </w:numPr>
        <w:shd w:val="clear" w:color="auto" w:fill="auto"/>
        <w:tabs>
          <w:tab w:pos="620" w:val="left"/>
        </w:tabs>
        <w:bidi w:val="0"/>
        <w:spacing w:before="0" w:after="0"/>
        <w:ind w:left="0" w:right="0" w:firstLine="300"/>
        <w:jc w:val="both"/>
      </w:pPr>
      <w:bookmarkStart w:id="704" w:name="bookmark704"/>
      <w:bookmarkEnd w:id="704"/>
      <w:r>
        <w:rPr>
          <w:color w:val="000000"/>
          <w:spacing w:val="0"/>
          <w:w w:val="100"/>
          <w:position w:val="0"/>
        </w:rPr>
        <w:t>了解与审计相关的内部控制，以设计恰当的审计程序。</w:t>
      </w:r>
    </w:p>
    <w:p>
      <w:pPr>
        <w:pStyle w:val="Style22"/>
        <w:keepNext w:val="0"/>
        <w:keepLines w:val="0"/>
        <w:widowControl w:val="0"/>
        <w:numPr>
          <w:ilvl w:val="0"/>
          <w:numId w:val="17"/>
        </w:numPr>
        <w:shd w:val="clear" w:color="auto" w:fill="auto"/>
        <w:tabs>
          <w:tab w:pos="620" w:val="left"/>
        </w:tabs>
        <w:bidi w:val="0"/>
        <w:spacing w:before="0" w:after="0"/>
        <w:ind w:left="0" w:right="0" w:firstLine="300"/>
        <w:jc w:val="both"/>
      </w:pPr>
      <w:bookmarkStart w:id="705" w:name="bookmark705"/>
      <w:bookmarkEnd w:id="705"/>
      <w:r>
        <w:rPr>
          <w:color w:val="000000"/>
          <w:spacing w:val="0"/>
          <w:w w:val="100"/>
          <w:position w:val="0"/>
        </w:rPr>
        <w:t>评价管理层选用会计政策的恰当性和作出会计估计及相关披露的合理性。</w:t>
      </w:r>
    </w:p>
    <w:p>
      <w:pPr>
        <w:pStyle w:val="Style22"/>
        <w:keepNext w:val="0"/>
        <w:keepLines w:val="0"/>
        <w:widowControl w:val="0"/>
        <w:numPr>
          <w:ilvl w:val="0"/>
          <w:numId w:val="17"/>
        </w:numPr>
        <w:shd w:val="clear" w:color="auto" w:fill="auto"/>
        <w:bidi w:val="0"/>
        <w:spacing w:before="0" w:after="100" w:line="314" w:lineRule="exact"/>
        <w:ind w:left="0" w:right="0" w:firstLine="300"/>
        <w:jc w:val="both"/>
      </w:pPr>
      <w:bookmarkStart w:id="706" w:name="bookmark706"/>
      <w:bookmarkEnd w:id="706"/>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对管理层使用持续经营假设的恰当性得出结论。同时，根据获取的审计证据，就可能导致对博思软件持续经营能力产 生重大疑虑的事项或情况是否存在重大不确定性得出结论。如果我们得出结论认为存在重大不确定性，审计准则要求我们在 </w:t>
      </w:r>
      <w:r>
        <w:rPr>
          <w:color w:val="000000"/>
          <w:spacing w:val="0"/>
          <w:w w:val="100"/>
          <w:position w:val="0"/>
        </w:rPr>
        <w:t>审计报告中提请报告使用者注意财务报表中的相关披露；如果披露不充分，我们应当发表非无保留意见。我们的结论基于截 至审计报告日可获得的信息。然而，未来的事项或情况可能导致博思软件不能持续经营。</w:t>
      </w:r>
    </w:p>
    <w:p>
      <w:pPr>
        <w:pStyle w:val="Style22"/>
        <w:keepNext w:val="0"/>
        <w:keepLines w:val="0"/>
        <w:widowControl w:val="0"/>
        <w:numPr>
          <w:ilvl w:val="0"/>
          <w:numId w:val="17"/>
        </w:numPr>
        <w:shd w:val="clear" w:color="auto" w:fill="auto"/>
        <w:tabs>
          <w:tab w:pos="630" w:val="left"/>
        </w:tabs>
        <w:bidi w:val="0"/>
        <w:spacing w:before="0" w:after="0"/>
        <w:ind w:left="0" w:right="0" w:firstLine="320"/>
        <w:jc w:val="both"/>
      </w:pPr>
      <w:bookmarkStart w:id="707" w:name="bookmark707"/>
      <w:bookmarkEnd w:id="707"/>
      <w:r>
        <w:rPr>
          <w:color w:val="000000"/>
          <w:spacing w:val="0"/>
          <w:w w:val="100"/>
          <w:position w:val="0"/>
        </w:rPr>
        <w:t>评价财务报表的总体列报、结构和内容，并评价财务报表是否公允反映相关交易和事项。</w:t>
      </w:r>
    </w:p>
    <w:p>
      <w:pPr>
        <w:pStyle w:val="Style22"/>
        <w:keepNext w:val="0"/>
        <w:keepLines w:val="0"/>
        <w:widowControl w:val="0"/>
        <w:numPr>
          <w:ilvl w:val="0"/>
          <w:numId w:val="17"/>
        </w:numPr>
        <w:shd w:val="clear" w:color="auto" w:fill="auto"/>
        <w:bidi w:val="0"/>
        <w:spacing w:before="0" w:after="0" w:line="314" w:lineRule="exact"/>
        <w:ind w:left="0" w:right="0" w:firstLine="320"/>
        <w:jc w:val="both"/>
      </w:pPr>
      <w:bookmarkStart w:id="708" w:name="bookmark708"/>
      <w:bookmarkEnd w:id="708"/>
      <w:r>
        <w:rPr>
          <w:rFonts w:ascii="Times New Roman" w:eastAsia="Times New Roman" w:hAnsi="Times New Roman" w:cs="Times New Roman"/>
          <w:color w:val="000000"/>
          <w:spacing w:val="0"/>
          <w:w w:val="100"/>
          <w:position w:val="0"/>
        </w:rPr>
        <w:t xml:space="preserve"> </w:t>
      </w:r>
      <w:r>
        <w:rPr>
          <w:color w:val="000000"/>
          <w:spacing w:val="0"/>
          <w:w w:val="100"/>
          <w:position w:val="0"/>
        </w:rPr>
        <w:t>就博思软件中实体或业务活动的财务信息获取充分、适当的审计证据，以对财务报表发表意见。我们负责指导、监督 和执行集团审计。我们对审计意见承担全部责任。</w:t>
      </w:r>
    </w:p>
    <w:p>
      <w:pPr>
        <w:pStyle w:val="Style22"/>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2"/>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2"/>
        <w:keepNext w:val="0"/>
        <w:keepLines w:val="0"/>
        <w:widowControl w:val="0"/>
        <w:shd w:val="clear" w:color="auto" w:fill="auto"/>
        <w:bidi w:val="0"/>
        <w:spacing w:before="0" w:after="300" w:line="314" w:lineRule="exact"/>
        <w:ind w:left="0" w:right="0" w:firstLine="32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val="0"/>
        <w:keepLines w:val="0"/>
        <w:widowControl w:val="0"/>
        <w:shd w:val="clear" w:color="auto" w:fill="auto"/>
        <w:tabs>
          <w:tab w:pos="3307" w:val="left"/>
        </w:tabs>
        <w:bidi w:val="0"/>
        <w:spacing w:before="0" w:after="0" w:line="314" w:lineRule="exact"/>
        <w:ind w:left="0" w:right="0" w:firstLine="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中国注册会计师（项目合伙人）：曹隆森</w:t>
      </w:r>
    </w:p>
    <w:p>
      <w:pPr>
        <w:pStyle w:val="Style2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22"/>
        <w:keepNext w:val="0"/>
        <w:keepLines w:val="0"/>
        <w:widowControl w:val="0"/>
        <w:shd w:val="clear" w:color="auto" w:fill="auto"/>
        <w:bidi w:val="0"/>
        <w:spacing w:before="0" w:after="300" w:line="314" w:lineRule="exact"/>
        <w:ind w:left="2540" w:right="0" w:firstLine="0"/>
        <w:jc w:val="left"/>
      </w:pPr>
      <w:r>
        <w:rPr>
          <w:color w:val="000000"/>
          <w:spacing w:val="0"/>
          <w:w w:val="100"/>
          <w:position w:val="0"/>
        </w:rPr>
        <w:t>中国注册会计师：熊志平</w:t>
      </w:r>
    </w:p>
    <w:p>
      <w:pPr>
        <w:pStyle w:val="Style22"/>
        <w:keepNext w:val="0"/>
        <w:keepLines w:val="0"/>
        <w:widowControl w:val="0"/>
        <w:shd w:val="clear" w:color="auto" w:fill="auto"/>
        <w:bidi w:val="0"/>
        <w:spacing w:before="0" w:after="380" w:line="314" w:lineRule="exact"/>
        <w:ind w:left="230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二二年四月二-一日</w:t>
      </w:r>
    </w:p>
    <w:p>
      <w:pPr>
        <w:pStyle w:val="Style27"/>
        <w:keepNext/>
        <w:keepLines/>
        <w:widowControl w:val="0"/>
        <w:shd w:val="clear" w:color="auto" w:fill="auto"/>
        <w:bidi w:val="0"/>
        <w:spacing w:before="0" w:after="26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sz w:val="24"/>
          <w:szCs w:val="24"/>
        </w:rPr>
        <w:t>二</w:t>
      </w:r>
      <w:bookmarkEnd w:id="711"/>
      <w:r>
        <w:rPr>
          <w:color w:val="000000"/>
          <w:spacing w:val="0"/>
          <w:w w:val="100"/>
          <w:position w:val="0"/>
          <w:sz w:val="24"/>
          <w:szCs w:val="24"/>
        </w:rPr>
        <w:t>、财务报表</w:t>
      </w:r>
      <w:bookmarkEnd w:id="709"/>
      <w:bookmarkEnd w:id="710"/>
      <w:bookmarkEnd w:id="712"/>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财务附注中报表的单位为：元</w:t>
      </w:r>
    </w:p>
    <w:p>
      <w:pPr>
        <w:pStyle w:val="Style33"/>
        <w:keepNext/>
        <w:keepLines/>
        <w:widowControl w:val="0"/>
        <w:shd w:val="clear" w:color="auto" w:fill="auto"/>
        <w:bidi w:val="0"/>
        <w:spacing w:before="0" w:after="2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、合并资产负债表</w:t>
      </w:r>
      <w:bookmarkEnd w:id="713"/>
      <w:bookmarkEnd w:id="714"/>
      <w:bookmarkEnd w:id="716"/>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编制单位：福建博思软件股份有限公司</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848,393,807.47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949,320,556.11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70,220,518.26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569,546,169.12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447,357,898.72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11,554,319.98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13,216,446.18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48,991,683.63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40,209,074.28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112,548,537.33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41,877,024.65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15,940,350.85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8,186,050.07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1,677,755,386.64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1,501,167,050.01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76,652,224.63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56,953,590.13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2,671,964.35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17,530,040.06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18,311,565.80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173,834,592.40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131,969,583.27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37,429,028.19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71,615,830.20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57,657,304.80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292,080,463.12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274,602,419.91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7,713,280.53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5,949,845.61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38,757,266.59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40,336,730.51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850,572,732.34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639,765,870.98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2,528,328,118.98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2,140,932,920.99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42,023,527.78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168,249,534.23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210,154,581.34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145,923,506.68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122,338,879.28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79,393,603.77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164,760,479.90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118,701,059.75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64,449,566.59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38,992,767.42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6,925,851.19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7,153,254.24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24,508,461.44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21,034,213.67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2,013,178.47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1,727,688.86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637,174,525.99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581,175,628.62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28,566,412.68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13,950,921.88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5,037,003.33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1,890,620.74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5,039,515.95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5,353,887.69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25,918,061.90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33,920,300.37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663,092,587.89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615,095,928.99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399,741,366.00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280,685,134.00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592,478,967.86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604,646,214.96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79,905,849.29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-278,830.30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68,595,770.17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624,471,830.45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456,027,274.91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1,605,103,254.89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1,382,941,083.10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260,132,276.20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142,895,908.90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1,865,235,531.09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1,525,836,992.00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2,528,328,118.98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2,140,932,920.99</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5420" simplePos="0" relativeHeight="125829380" behindDoc="0" locked="0" layoutInCell="1" allowOverlap="1">
                <wp:simplePos x="0" y="0"/>
                <wp:positionH relativeFrom="page">
                  <wp:posOffset>702945</wp:posOffset>
                </wp:positionH>
                <wp:positionV relativeFrom="margin">
                  <wp:posOffset>5623560</wp:posOffset>
                </wp:positionV>
                <wp:extent cx="938530" cy="149225"/>
                <wp:wrapTopAndBottom/>
                <wp:docPr id="4" name="Shape 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法定代表人：陈航</w:t>
                            </w:r>
                          </w:p>
                        </w:txbxContent>
                      </wps:txbx>
                      <wps:bodyPr wrap="none" lIns="0" tIns="0" rIns="0" bIns="0">
                        <a:noAutoFit/>
                      </wps:bodyPr>
                    </wps:wsp>
                  </a:graphicData>
                </a:graphic>
              </wp:anchor>
            </w:drawing>
          </mc:Choice>
          <mc:Fallback>
            <w:pict>
              <v:shape id="_x0000_s1030" type="#_x0000_t202" style="position:absolute;margin-left:55.350000000000001pt;margin-top:442.80000000000001pt;width:73.900000000000006pt;height:11.75pt;z-index:-125829373;mso-wrap-distance-left:9.pt;mso-wrap-distance-top:12.pt;mso-wrap-distance-right:414.60000000000002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法定代表人：陈航</w:t>
                      </w:r>
                    </w:p>
                  </w:txbxContent>
                </v:textbox>
                <w10:wrap type="topAndBottom" anchorx="page" anchory="margin"/>
              </v:shape>
            </w:pict>
          </mc:Fallback>
        </mc:AlternateContent>
      </w:r>
      <w:r>
        <mc:AlternateContent>
          <mc:Choice Requires="wps">
            <w:drawing>
              <wp:anchor distT="152400" distB="3175" distL="2290445" distR="2634615" simplePos="0" relativeHeight="125829382" behindDoc="0" locked="0" layoutInCell="1" allowOverlap="1">
                <wp:simplePos x="0" y="0"/>
                <wp:positionH relativeFrom="page">
                  <wp:posOffset>2879090</wp:posOffset>
                </wp:positionH>
                <wp:positionV relativeFrom="margin">
                  <wp:posOffset>5623560</wp:posOffset>
                </wp:positionV>
                <wp:extent cx="1393190" cy="146050"/>
                <wp:wrapTopAndBottom/>
                <wp:docPr id="6" name="Shape 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主管会计工作负责人：林宏</w:t>
                            </w:r>
                          </w:p>
                        </w:txbxContent>
                      </wps:txbx>
                      <wps:bodyPr wrap="none" lIns="0" tIns="0" rIns="0" bIns="0">
                        <a:noAutoFit/>
                      </wps:bodyPr>
                    </wps:wsp>
                  </a:graphicData>
                </a:graphic>
              </wp:anchor>
            </w:drawing>
          </mc:Choice>
          <mc:Fallback>
            <w:pict>
              <v:shape id="_x0000_s1032" type="#_x0000_t202" style="position:absolute;margin-left:226.70000000000002pt;margin-top:442.80000000000001pt;width:109.7pt;height:11.5pt;z-index:-125829371;mso-wrap-distance-left:180.34999999999999pt;mso-wrap-distance-top:12.pt;mso-wrap-distance-right:207.45000000000002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主管会计工作负责人：林宏</w:t>
                      </w:r>
                    </w:p>
                  </w:txbxContent>
                </v:textbox>
                <w10:wrap type="topAndBottom" anchorx="page" anchory="margin"/>
              </v:shape>
            </w:pict>
          </mc:Fallback>
        </mc:AlternateContent>
      </w:r>
      <w:r>
        <mc:AlternateContent>
          <mc:Choice Requires="wps">
            <w:drawing>
              <wp:anchor distT="152400" distB="0" distL="4921250" distR="113665" simplePos="0" relativeHeight="125829384" behindDoc="0" locked="0" layoutInCell="1" allowOverlap="1">
                <wp:simplePos x="0" y="0"/>
                <wp:positionH relativeFrom="page">
                  <wp:posOffset>5509895</wp:posOffset>
                </wp:positionH>
                <wp:positionV relativeFrom="margin">
                  <wp:posOffset>5623560</wp:posOffset>
                </wp:positionV>
                <wp:extent cx="1283335" cy="149225"/>
                <wp:wrapTopAndBottom/>
                <wp:docPr id="8" name="Shape 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会计机构负责人：朱红玉</w:t>
                            </w:r>
                          </w:p>
                        </w:txbxContent>
                      </wps:txbx>
                      <wps:bodyPr wrap="none" lIns="0" tIns="0" rIns="0" bIns="0">
                        <a:noAutoFit/>
                      </wps:bodyPr>
                    </wps:wsp>
                  </a:graphicData>
                </a:graphic>
              </wp:anchor>
            </w:drawing>
          </mc:Choice>
          <mc:Fallback>
            <w:pict>
              <v:shape id="_x0000_s1034" type="#_x0000_t202" style="position:absolute;margin-left:433.85000000000002pt;margin-top:442.80000000000001pt;width:101.05pt;height:11.75pt;z-index:-125829369;mso-wrap-distance-left:387.5pt;mso-wrap-distance-top:12.pt;mso-wrap-distance-right:8.9500000000000011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会计机构负责人：朱红玉</w:t>
                      </w:r>
                    </w:p>
                  </w:txbxContent>
                </v:textbox>
                <w10:wrap type="topAndBottom" anchorx="page" anchory="margin"/>
              </v:shape>
            </w:pict>
          </mc:Fallback>
        </mc:AlternateContent>
      </w: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、母公司资产负债表</w:t>
      </w:r>
      <w:bookmarkEnd w:id="717"/>
      <w:bookmarkEnd w:id="718"/>
      <w:bookmarkEnd w:id="72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198,202,316.08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396,062,111.31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45,012,299.08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348,648,466.90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325,268,123.96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1,954,607.37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6,224,023.88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60,737,144.33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46,194,896.45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20,135,478.67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22,030,343.23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392,709.54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674,907,912.43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796,172,208.37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969,714,123.00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835,208,080.74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2,671,964.35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29,432,640.11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30,610,865.03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88,799,728.32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92,192,124.88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8,780,869.53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7,622,032.33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7,857,314.66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48,967,465.09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2,118,538.94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701,191.05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18,953,209.85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23,505,301.12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152,659.08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1,177,379,030.52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993,153,203.56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1,852,286,942.95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1,789,325,411.93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37,023,527.78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138,188,540.49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160,631,394.92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51,896,176.57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39,551,763.61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63,636,035.21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48,038,180.32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23,966,178.50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15,046,993.02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2,680,869.45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40,608,203.70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9,457,074.51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21,034,213.67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195,210.84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640,742.12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327,043,613.35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493,801,025.59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28,566,412.68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3,288,292.88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3,290,137.74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28,566,412.68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330,333,751.09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522,367,438.27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399,741,366.00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280,685,134.00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633,022,092.00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650,912,493.21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79,905,849.29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-278,830.30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68,595,770.17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500,778,643.28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293,777,887.22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1,521,953,191.86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1,266,957,973.66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1,852,286,942.95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1,789,325,411.93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3</w:t>
      </w:r>
      <w:bookmarkEnd w:id="723"/>
      <w:r>
        <w:rPr>
          <w:color w:val="000000"/>
          <w:spacing w:val="0"/>
          <w:w w:val="100"/>
          <w:position w:val="0"/>
        </w:rPr>
        <w:t>、合并利润表</w:t>
      </w:r>
      <w:bookmarkEnd w:id="721"/>
      <w:bookmarkEnd w:id="722"/>
      <w:bookmarkEnd w:id="72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1,564,103,745.01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1,136,315,468.28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1,564,103,745.01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1,136,315,468.28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1,290,811,227.99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930,680,384.37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546,229,027.18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414,154,725.87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12,504,135.12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11,535,293.53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253,043,369.58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173,259,000.14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238,335,424.32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161,638,055.11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241,068,581.83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167,084,103.25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-369,310.04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3,009,206.47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8,296,136.80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9,232,488.54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8,930,225.10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6,362,845.07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32,580,634.39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39,544,630.48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4,430,423.29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9,157,896.34</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1,579,989.75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1,815,746.23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20,518.26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-26,421,637.57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-45,669,196.32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283,844,666.44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208,623,549.51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266,386.06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1,561,370.01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476,883.86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433,302.47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283,634,168.64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209,751,617.05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29,284,827.63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30,479,852.51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254,349,341.01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179,271,764.54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254,349,341.01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179,271,764.54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229,094,690.89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161,771,701.18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25,254,650.12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17,500,063.36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254,133,693.76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179,208,581.49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228,879,043.64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161,708,518.13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25,254,650.12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17,500,063.36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0.4081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2"/>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法定代表人：陈航</w:t>
        <w:tab/>
        <w:t>主管会计工作负责人：林宏</w:t>
        <w:tab/>
        <w:t>会计机构负责人：朱红玉</w:t>
      </w:r>
    </w:p>
    <w:p>
      <w:pPr>
        <w:pStyle w:val="Style33"/>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4</w:t>
      </w:r>
      <w:bookmarkEnd w:id="727"/>
      <w:r>
        <w:rPr>
          <w:color w:val="000000"/>
          <w:spacing w:val="0"/>
          <w:w w:val="100"/>
          <w:position w:val="0"/>
        </w:rPr>
        <w:t>、母公司利润表</w:t>
      </w:r>
      <w:bookmarkEnd w:id="725"/>
      <w:bookmarkEnd w:id="726"/>
      <w:bookmarkEnd w:id="72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761,296,286.97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557,491,472.28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328,954,724.23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239,587,658.95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5,618,887.02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5,983,084.22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121,348,671.56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93,934,891.18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77,784,243.66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57,145,662.73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82,222,988.41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42,372,959.97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1,767,453.86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6,237,397.00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6,278,331.94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9,089,380.20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4,580,072.03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2,886,726.57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18,712,284.97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27,893,414.50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121,295,023.77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27,589,717.35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137,250.60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907,656.79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12,299.08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-624,667.86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-26,986,292.31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282,994,258.19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140,735,151.62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232,914.78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374,270.47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67,694.44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271,364.15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283,159,478.53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140,838,057.94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15,508,587.12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13,566,101.32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267,650,891.41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127,271,956.62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267,650,891.41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127,271,956.62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-215,647.25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267,435,244.16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127,208,773.57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5</w:t>
      </w:r>
      <w:bookmarkEnd w:id="731"/>
      <w:r>
        <w:rPr>
          <w:color w:val="000000"/>
          <w:spacing w:val="0"/>
          <w:w w:val="100"/>
          <w:position w:val="0"/>
        </w:rPr>
        <w:t>、合并现金流量表</w:t>
      </w:r>
      <w:bookmarkEnd w:id="729"/>
      <w:bookmarkEnd w:id="730"/>
      <w:bookmarkEnd w:id="73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1,641,603,024.10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1,116,366,962.52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13,935,081.40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11,181,670.57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47,194,455.62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40,401,311.37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1,702,732,561.12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1,167,949,944.46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370,675,812.37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213,057,500.24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697,016,878.87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523,298,203.48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109,363,905.70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80,325,104.78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215,672,102.59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166,018,154.30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1,392,728,699.53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982,698,962.80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310,003,861.59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185,250,981.66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437,710,000.00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685,000,000.00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3,525,592.65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6,163,694.62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256,774.04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206,822.16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4,139,652.43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445,632,019.12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691,370,516.78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149,102,528.14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96,593,448.48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533,252,900.00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430,700,000.00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634,993.15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38,369,257.62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682,990,421.29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565,662,706.10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-237,358,402.17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125,707,810.68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137,115,248.87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56,307,178.66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88,767,000.00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29,920,500.00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206,659,740.00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215,615,248.87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266,216,918.66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248,068,540.00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129,772,866.33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43,245,619.03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33,777,280.52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1,517,600.00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102,047,330.94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76,274,697.60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393,361,489.97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239,824,844.45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-177,746,241.10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26,392,074.21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-105,100,781.68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337,350,866.55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948,206,310.81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610,855,444.26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843,105,529.13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948,206,310.81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6</w:t>
      </w:r>
      <w:bookmarkEnd w:id="735"/>
      <w:r>
        <w:rPr>
          <w:color w:val="000000"/>
          <w:spacing w:val="0"/>
          <w:w w:val="100"/>
          <w:position w:val="0"/>
        </w:rPr>
        <w:t>、母公司现金流量表</w:t>
      </w:r>
      <w:bookmarkEnd w:id="733"/>
      <w:bookmarkEnd w:id="734"/>
      <w:bookmarkEnd w:id="73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816,203,282.88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535,989,755.93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9,450,387.40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6,447,439.89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35,280,257.80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55,612,770.93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860,933,928.08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598,049,966.75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258,470,759.22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105,552,443.46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241,853,987.67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188,665,458.49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48,698,805.83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32,730,393.61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146,053,975.32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81,920,304.39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695,077,528.04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408,868,599.95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165,856,400.04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189,181,366.80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222,734,928.21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691,297,895.60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107,644,207.58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29,684,094.62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129,710.74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330,508,846.53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721,006,990.22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购建固定资产、无形资产和其他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7,581,544.00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4,047,589.10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432,622,900.00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864,249,442.78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440,204,444.00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868,297,031.88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-109,695,597.47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-147,290,041.66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48,348,248.87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26,386,678.66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206,659,740.00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107,348,248.87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233,046,418.66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233,568,540.00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129,772,866.33</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40,111,448.20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32,259,680.52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87,700,858.47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150,897.60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361,380,846.67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162,183,444.45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-254,032,597.80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70,862,974.21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-197,871,795.23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112,754,299.35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396,017,611.31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283,263,311.96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198,145,816.08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396,017,611.31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7</w:t>
      </w:r>
      <w:bookmarkEnd w:id="739"/>
      <w:r>
        <w:rPr>
          <w:color w:val="000000"/>
          <w:spacing w:val="0"/>
          <w:w w:val="100"/>
          <w:position w:val="0"/>
        </w:rPr>
        <w:t>、合并所有者权益变动表</w:t>
      </w:r>
      <w:bookmarkEnd w:id="737"/>
      <w:bookmarkEnd w:id="738"/>
      <w:bookmarkEnd w:id="74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85,13</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604,64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6,214.</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-63,18</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41,830 </w:t>
            </w:r>
            <w:r>
              <w:rPr>
                <w:rFonts w:ascii="Times New Roman" w:eastAsia="Times New Roman" w:hAnsi="Times New Roman" w:cs="Times New Roman"/>
                <w:color w:val="000000"/>
                <w:spacing w:val="0"/>
                <w:w w:val="100"/>
                <w:position w:val="0"/>
              </w:rPr>
              <w:t xml:space="preserve">,681.0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456,02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7,274.</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1,382, 941,08</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142,89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5,908.</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1,525,</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836,99</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85,13</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604,64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6,214.</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-63,18</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41,830 </w:t>
            </w:r>
            <w:r>
              <w:rPr>
                <w:rFonts w:ascii="Times New Roman" w:eastAsia="Times New Roman" w:hAnsi="Times New Roman" w:cs="Times New Roman"/>
                <w:color w:val="000000"/>
                <w:spacing w:val="0"/>
                <w:w w:val="100"/>
                <w:position w:val="0"/>
              </w:rPr>
              <w:t xml:space="preserve">,681.0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456,02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7,274.</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1,382, 941,08</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142,89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5,908.</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1,525,</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836,99</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56,23</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7,247.</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79,720 </w:t>
            </w:r>
            <w:r>
              <w:rPr>
                <w:rFonts w:ascii="Times New Roman" w:eastAsia="Times New Roman" w:hAnsi="Times New Roman" w:cs="Times New Roman"/>
                <w:color w:val="000000"/>
                <w:spacing w:val="0"/>
                <w:w w:val="100"/>
                <w:position w:val="0"/>
              </w:rPr>
              <w:t xml:space="preserve">,810.5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26,765 </w:t>
            </w:r>
            <w:r>
              <w:rPr>
                <w:rFonts w:ascii="Times New Roman" w:eastAsia="Times New Roman" w:hAnsi="Times New Roman" w:cs="Times New Roman"/>
                <w:color w:val="000000"/>
                <w:spacing w:val="0"/>
                <w:w w:val="100"/>
                <w:position w:val="0"/>
              </w:rPr>
              <w:t>,089.1</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168,44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4,555.</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222,16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117,23</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6,367.</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339,39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8,539.</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254,13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4,690.</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9,043.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,078.</w:t>
            </w:r>
          </w:p>
          <w:p>
            <w:pPr>
              <w:pStyle w:val="Style24"/>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101,60</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6,351.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-185,0</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107,89</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7,467.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91,981 </w:t>
            </w:r>
            <w:r>
              <w:rPr>
                <w:rFonts w:ascii="Times New Roman" w:eastAsia="Times New Roman" w:hAnsi="Times New Roman" w:cs="Times New Roman"/>
                <w:color w:val="000000"/>
                <w:spacing w:val="0"/>
                <w:w w:val="100"/>
                <w:position w:val="0"/>
              </w:rPr>
              <w:t xml:space="preserve">,717.1 </w:t>
            </w: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199,87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9,184.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88,767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88,767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,078.</w:t>
            </w:r>
          </w:p>
          <w:p>
            <w:pPr>
              <w:pStyle w:val="Style24"/>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87,399 </w:t>
            </w:r>
            <w:r>
              <w:rPr>
                <w:rFonts w:ascii="Times New Roman" w:eastAsia="Times New Roman" w:hAnsi="Times New Roman" w:cs="Times New Roman"/>
                <w:color w:val="000000"/>
                <w:spacing w:val="0"/>
                <w:w w:val="100"/>
                <w:position w:val="0"/>
              </w:rPr>
              <w:t xml:space="preserve">,540.7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-185,0</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93,690</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93,690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14,206 </w:t>
            </w:r>
            <w:r>
              <w:rPr>
                <w:rFonts w:ascii="Times New Roman" w:eastAsia="Times New Roman" w:hAnsi="Times New Roman" w:cs="Times New Roman"/>
                <w:color w:val="000000"/>
                <w:spacing w:val="0"/>
                <w:w w:val="100"/>
                <w:position w:val="0"/>
              </w:rPr>
              <w:t xml:space="preserve">,810.2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14,206 </w:t>
            </w:r>
            <w:r>
              <w:rPr>
                <w:rFonts w:ascii="Times New Roman" w:eastAsia="Times New Roman" w:hAnsi="Times New Roman" w:cs="Times New Roman"/>
                <w:color w:val="000000"/>
                <w:spacing w:val="0"/>
                <w:w w:val="100"/>
                <w:position w:val="0"/>
              </w:rPr>
              <w:t xml:space="preserve">,810.2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3,214,</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17,421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26,765 </w:t>
            </w:r>
            <w:r>
              <w:rPr>
                <w:rFonts w:ascii="Times New Roman" w:eastAsia="Times New Roman" w:hAnsi="Times New Roman" w:cs="Times New Roman"/>
                <w:color w:val="000000"/>
                <w:spacing w:val="0"/>
                <w:w w:val="100"/>
                <w:position w:val="0"/>
              </w:rPr>
              <w:t>,089.1</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-60,65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0,135.</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-33,88 5,046.</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-33,88 5,046.</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26,765 </w:t>
            </w:r>
            <w:r>
              <w:rPr>
                <w:rFonts w:ascii="Times New Roman" w:eastAsia="Times New Roman" w:hAnsi="Times New Roman" w:cs="Times New Roman"/>
                <w:color w:val="000000"/>
                <w:spacing w:val="0"/>
                <w:w w:val="100"/>
                <w:position w:val="0"/>
              </w:rPr>
              <w:t>,089.1</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-26,76 5,089.</w:t>
            </w:r>
          </w:p>
          <w:p>
            <w:pPr>
              <w:pStyle w:val="Style24"/>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-33,88 5,046.</w:t>
            </w:r>
          </w:p>
          <w:p>
            <w:pPr>
              <w:pStyle w:val="Style24"/>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-33,88 5,046.</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-33,88 5,046.</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50,15</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-112,9</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50,154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50,15</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-112,9</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50,154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79,905 </w:t>
            </w:r>
            <w:r>
              <w:rPr>
                <w:rFonts w:ascii="Times New Roman" w:eastAsia="Times New Roman" w:hAnsi="Times New Roman" w:cs="Times New Roman"/>
                <w:color w:val="000000"/>
                <w:spacing w:val="0"/>
                <w:w w:val="100"/>
                <w:position w:val="0"/>
              </w:rPr>
              <w:t xml:space="preserve">,849.2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-80,72</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9,293.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-80,72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9,293.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399,7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41,36</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592,47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8,967.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79,905 </w:t>
            </w:r>
            <w:r>
              <w:rPr>
                <w:rFonts w:ascii="Times New Roman" w:eastAsia="Times New Roman" w:hAnsi="Times New Roman" w:cs="Times New Roman"/>
                <w:color w:val="000000"/>
                <w:spacing w:val="0"/>
                <w:w w:val="100"/>
                <w:position w:val="0"/>
              </w:rPr>
              <w:t xml:space="preserve">,849.2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68,595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,770.1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624,47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103,25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260,13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235,53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84,66</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678,95</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3,607.</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38,056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,194.0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29,103 </w:t>
            </w:r>
            <w:r>
              <w:rPr>
                <w:rFonts w:ascii="Times New Roman" w:eastAsia="Times New Roman" w:hAnsi="Times New Roman" w:cs="Times New Roman"/>
                <w:color w:val="000000"/>
                <w:spacing w:val="0"/>
                <w:w w:val="100"/>
                <w:position w:val="0"/>
              </w:rPr>
              <w:t xml:space="preserve">,485.3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331,51</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9,752.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1,215,</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505,31</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98,324,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1,313,8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30,054.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-51,831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同一</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84,66</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678,95</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3,607.</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38,056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,194.0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29,103 </w:t>
            </w:r>
            <w:r>
              <w:rPr>
                <w:rFonts w:ascii="Times New Roman" w:eastAsia="Times New Roman" w:hAnsi="Times New Roman" w:cs="Times New Roman"/>
                <w:color w:val="000000"/>
                <w:spacing w:val="0"/>
                <w:w w:val="100"/>
                <w:position w:val="0"/>
              </w:rPr>
              <w:t xml:space="preserve">,485.3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330,53</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2,143.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517,70</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98,272,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1,312,7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90,614.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213,046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0,468</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7,392.</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5,131.</w:t>
            </w:r>
          </w:p>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,377.65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161,77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1,701.</w:t>
            </w:r>
          </w:p>
          <w:p>
            <w:pPr>
              <w:pStyle w:val="Style24"/>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161,70</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8,518.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17,500, </w:t>
            </w:r>
            <w:r>
              <w:rPr>
                <w:rFonts w:ascii="Times New Roman" w:eastAsia="Times New Roman" w:hAnsi="Times New Roman" w:cs="Times New Roman"/>
                <w:color w:val="000000"/>
                <w:spacing w:val="0"/>
                <w:w w:val="100"/>
                <w:position w:val="0"/>
              </w:rPr>
              <w:t>063.36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179,208</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,581.49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,903.</w:t>
            </w:r>
          </w:p>
          <w:p>
            <w:pPr>
              <w:pStyle w:val="Style24"/>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-10,08</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1,827.</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30,264</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27,122,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57,387,</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31,420, </w:t>
            </w: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31,420, </w:t>
            </w:r>
            <w:r>
              <w:rPr>
                <w:rFonts w:ascii="Times New Roman" w:eastAsia="Times New Roman" w:hAnsi="Times New Roman" w:cs="Times New Roman"/>
                <w:color w:val="000000"/>
                <w:spacing w:val="0"/>
                <w:w w:val="100"/>
                <w:position w:val="0"/>
              </w:rPr>
              <w:t>500.00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,903.</w:t>
            </w:r>
          </w:p>
          <w:p>
            <w:pPr>
              <w:pStyle w:val="Style24"/>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43,694</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,603.4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84,040 </w:t>
            </w:r>
            <w:r>
              <w:rPr>
                <w:rFonts w:ascii="Times New Roman" w:eastAsia="Times New Roman" w:hAnsi="Times New Roman" w:cs="Times New Roman"/>
                <w:color w:val="000000"/>
                <w:spacing w:val="0"/>
                <w:w w:val="100"/>
                <w:position w:val="0"/>
              </w:rPr>
              <w:t xml:space="preserve">,661.7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84,040,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661.70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-53,77</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6,430.</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-53,77</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-4,297, 560.60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-58,073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,991.45</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12,727 </w:t>
            </w:r>
            <w:r>
              <w:rPr>
                <w:rFonts w:ascii="Times New Roman" w:eastAsia="Times New Roman" w:hAnsi="Times New Roman" w:cs="Times New Roman"/>
                <w:color w:val="000000"/>
                <w:spacing w:val="0"/>
                <w:w w:val="100"/>
                <w:position w:val="0"/>
              </w:rPr>
              <w:t xml:space="preserve">,195.6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6,569.</w:t>
            </w:r>
          </w:p>
          <w:p>
            <w:pPr>
              <w:pStyle w:val="Style24"/>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,374.09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12,727 </w:t>
            </w:r>
            <w:r>
              <w:rPr>
                <w:rFonts w:ascii="Times New Roman" w:eastAsia="Times New Roman" w:hAnsi="Times New Roman" w:cs="Times New Roman"/>
                <w:color w:val="000000"/>
                <w:spacing w:val="0"/>
                <w:w w:val="100"/>
                <w:position w:val="0"/>
              </w:rPr>
              <w:t xml:space="preserve">,195.6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7,195.</w:t>
            </w:r>
          </w:p>
          <w:p>
            <w:pPr>
              <w:pStyle w:val="Style24"/>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9,374.</w:t>
            </w:r>
          </w:p>
          <w:p>
            <w:pPr>
              <w:pStyle w:val="Style24"/>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5,565</w:t>
            </w:r>
          </w:p>
          <w:p>
            <w:pPr>
              <w:pStyle w:val="Style2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-64,22</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5,565.</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5,565</w:t>
            </w:r>
          </w:p>
          <w:p>
            <w:pPr>
              <w:pStyle w:val="Style2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-64,22</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5,565.</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85,13</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604,64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6,214.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41,830 </w:t>
            </w:r>
            <w:r>
              <w:rPr>
                <w:rFonts w:ascii="Times New Roman" w:eastAsia="Times New Roman" w:hAnsi="Times New Roman" w:cs="Times New Roman"/>
                <w:color w:val="000000"/>
                <w:spacing w:val="0"/>
                <w:w w:val="100"/>
                <w:position w:val="0"/>
              </w:rPr>
              <w:t xml:space="preserve">,681.0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456,02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1,382, 941,08</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142,895 </w:t>
            </w:r>
            <w:r>
              <w:rPr>
                <w:rFonts w:ascii="Times New Roman" w:eastAsia="Times New Roman" w:hAnsi="Times New Roman" w:cs="Times New Roman"/>
                <w:color w:val="000000"/>
                <w:spacing w:val="0"/>
                <w:w w:val="100"/>
                <w:position w:val="0"/>
              </w:rPr>
              <w:t>,908.90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1,525,8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36,992.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8</w:t>
      </w:r>
      <w:bookmarkEnd w:id="743"/>
      <w:r>
        <w:rPr>
          <w:color w:val="000000"/>
          <w:spacing w:val="0"/>
          <w:w w:val="100"/>
          <w:position w:val="0"/>
        </w:rPr>
        <w:t>、母公司所有者权益变动表</w:t>
      </w:r>
      <w:bookmarkEnd w:id="741"/>
      <w:bookmarkEnd w:id="742"/>
      <w:bookmarkEnd w:id="74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5,134.0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650,912,</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41,830,6</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293,77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7,887.2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1,266,957,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5,134.0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650,912,</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41,830,6</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293,77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7,887.2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1,266,957,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119,05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-17,890,</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79,720,8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-215,647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26,765,0</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207,00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254,995,2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-215,647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267,65</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0,891.4</w:t>
            </w:r>
          </w:p>
          <w:p>
            <w:pPr>
              <w:pStyle w:val="Style2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267,435,2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6,106,0</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95,883,1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102,174,3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6,106,0</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95,633,9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101,925,0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249,266.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249,266.2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26,765,0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-60,650</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-33,885,04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26,765,0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-26,765</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-33,885</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-33,885,04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112,95</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0,154.0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112,95</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0,154.0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79,905,8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-80,729,29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399,74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1,366.0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633,022,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79,905,8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-278,830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68,595,7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500,77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8,643.2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1,521,953,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4,666.</w:t>
            </w:r>
          </w:p>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674,235</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38,056,1</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29,103,</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203,733,0</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1,083,000,8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-950,556.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-950,556.47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4,666.</w:t>
            </w:r>
          </w:p>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674,235</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38,056,1</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29,103,</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202,782,5</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1,082,050,2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66,700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-23,323,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-37,871,</w:t>
            </w:r>
          </w:p>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-63,183.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12,727,</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90,995,38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184,907,67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-63,183.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127,271,9</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127,208,77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40,902,</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-37,871,</w:t>
            </w:r>
          </w:p>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81,248,280.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2,474,</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40,902,</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81,248,280.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12,727,</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-36,276,5</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-23,549,374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12,727,</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-12,727,1</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-23,549,3</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-23,549,374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64,225 </w:t>
            </w:r>
            <w:r>
              <w:rPr>
                <w:rFonts w:ascii="Times New Roman" w:eastAsia="Times New Roman" w:hAnsi="Times New Roman" w:cs="Times New Roman"/>
                <w:color w:val="000000"/>
                <w:spacing w:val="0"/>
                <w:w w:val="100"/>
                <w:position w:val="0"/>
              </w:rPr>
              <w:t xml:space="preserve">,565.0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-64,225,</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64,225 </w:t>
            </w:r>
            <w:r>
              <w:rPr>
                <w:rFonts w:ascii="Times New Roman" w:eastAsia="Times New Roman" w:hAnsi="Times New Roman" w:cs="Times New Roman"/>
                <w:color w:val="000000"/>
                <w:spacing w:val="0"/>
                <w:w w:val="100"/>
                <w:position w:val="0"/>
              </w:rPr>
              <w:t xml:space="preserve">,565.0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-64,225,</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280,68</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5,134.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650,912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41,830, </w:t>
            </w:r>
            <w:r>
              <w:rPr>
                <w:rFonts w:ascii="Times New Roman" w:eastAsia="Times New Roman" w:hAnsi="Times New Roman" w:cs="Times New Roman"/>
                <w:color w:val="000000"/>
                <w:spacing w:val="0"/>
                <w:w w:val="100"/>
                <w:position w:val="0"/>
              </w:rPr>
              <w:t>681.02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293,777,8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1,266,957,9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w:t>
            </w:r>
          </w:p>
        </w:tc>
      </w:tr>
    </w:tbl>
    <w:p>
      <w:pPr>
        <w:pStyle w:val="Style27"/>
        <w:keepNext/>
        <w:keepLines/>
        <w:widowControl w:val="0"/>
        <w:shd w:val="clear" w:color="auto" w:fill="auto"/>
        <w:bidi w:val="0"/>
        <w:spacing w:before="0" w:after="24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sz w:val="24"/>
          <w:szCs w:val="24"/>
        </w:rPr>
        <w:t>三</w:t>
      </w:r>
      <w:bookmarkEnd w:id="747"/>
      <w:r>
        <w:rPr>
          <w:color w:val="000000"/>
          <w:spacing w:val="0"/>
          <w:w w:val="100"/>
          <w:position w:val="0"/>
          <w:sz w:val="24"/>
          <w:szCs w:val="24"/>
        </w:rPr>
        <w:t>、公司基本情况</w:t>
      </w:r>
      <w:bookmarkEnd w:id="745"/>
      <w:bookmarkEnd w:id="746"/>
      <w:bookmarkEnd w:id="748"/>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（一）公司注册地、组织形式和总部地址</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福建博思软件股份有限公司（以下简称公司或博思软件）是由福州博思软件开发有限公司（以下简称博思有限）以整体 变更方式设立的股份有限公司。</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[2016]1457</w:t>
      </w:r>
      <w:r>
        <w:rPr>
          <w:color w:val="000000"/>
          <w:spacing w:val="0"/>
          <w:w w:val="100"/>
          <w:position w:val="0"/>
        </w:rPr>
        <w:t>号文核准，公司公开发行人民币普通股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股）数量为</w:t>
      </w:r>
      <w:r>
        <w:rPr>
          <w:rFonts w:ascii="Times New Roman" w:eastAsia="Times New Roman" w:hAnsi="Times New Roman" w:cs="Times New Roman"/>
          <w:color w:val="000000"/>
          <w:spacing w:val="0"/>
          <w:w w:val="100"/>
          <w:position w:val="0"/>
        </w:rPr>
        <w:t xml:space="preserve">1,710.00 </w:t>
      </w:r>
      <w:r>
        <w:rPr>
          <w:color w:val="000000"/>
          <w:spacing w:val="0"/>
          <w:w w:val="100"/>
          <w:position w:val="0"/>
        </w:rPr>
        <w:t>万股，增加注册资本人民币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,710.00</w:t>
      </w:r>
      <w:r>
        <w:rPr>
          <w:color w:val="000000"/>
          <w:spacing w:val="0"/>
          <w:w w:val="100"/>
          <w:position w:val="0"/>
        </w:rPr>
        <w:t>万元，增加后的注册资本为人民币</w:t>
      </w:r>
      <w:r>
        <w:rPr>
          <w:rFonts w:ascii="Times New Roman" w:eastAsia="Times New Roman" w:hAnsi="Times New Roman" w:cs="Times New Roman"/>
          <w:color w:val="000000"/>
          <w:spacing w:val="0"/>
          <w:w w:val="100"/>
          <w:position w:val="0"/>
        </w:rPr>
        <w:t>6,813.9</w:t>
      </w:r>
      <w:r>
        <w:rPr>
          <w:rFonts w:ascii="Times New Roman" w:eastAsia="Times New Roman" w:hAnsi="Times New Roman" w:cs="Times New Roman"/>
          <w:color w:val="000000"/>
          <w:spacing w:val="0"/>
          <w:w w:val="100"/>
          <w:position w:val="0"/>
        </w:rPr>
        <w:t>0</w:t>
      </w:r>
      <w:r>
        <w:rPr>
          <w:color w:val="000000"/>
          <w:spacing w:val="0"/>
          <w:w w:val="100"/>
          <w:position w:val="0"/>
        </w:rPr>
        <w:t>万元。经过历次的授予限制性股票、资本公积 转增股本、股票期权行权等股本变更，截止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日，公司注册资本为</w:t>
      </w:r>
      <w:r>
        <w:rPr>
          <w:rFonts w:ascii="Times New Roman" w:eastAsia="Times New Roman" w:hAnsi="Times New Roman" w:cs="Times New Roman"/>
          <w:color w:val="000000"/>
          <w:spacing w:val="0"/>
          <w:w w:val="100"/>
          <w:position w:val="0"/>
        </w:rPr>
        <w:t>278,529,522.00</w:t>
      </w:r>
      <w:r>
        <w:rPr>
          <w:color w:val="000000"/>
          <w:spacing w:val="0"/>
          <w:w w:val="100"/>
          <w:position w:val="0"/>
        </w:rPr>
        <w:t>元，实收资本为</w:t>
      </w:r>
      <w:r>
        <w:rPr>
          <w:rFonts w:ascii="Times New Roman" w:eastAsia="Times New Roman" w:hAnsi="Times New Roman" w:cs="Times New Roman"/>
          <w:color w:val="000000"/>
          <w:spacing w:val="0"/>
          <w:w w:val="100"/>
          <w:position w:val="0"/>
        </w:rPr>
        <w:t xml:space="preserve">399,741,366.00 </w:t>
      </w:r>
      <w:r>
        <w:rPr>
          <w:color w:val="000000"/>
          <w:spacing w:val="0"/>
          <w:w w:val="100"/>
          <w:position w:val="0"/>
        </w:rPr>
        <w:t>元，统一社会信用代码：</w:t>
      </w:r>
      <w:r>
        <w:rPr>
          <w:rFonts w:ascii="Times New Roman" w:eastAsia="Times New Roman" w:hAnsi="Times New Roman" w:cs="Times New Roman"/>
          <w:color w:val="000000"/>
          <w:spacing w:val="0"/>
          <w:w w:val="100"/>
          <w:position w:val="0"/>
        </w:rPr>
        <w:t>91350100731844207Y</w:t>
      </w:r>
      <w:r>
        <w:rPr>
          <w:color w:val="000000"/>
          <w:spacing w:val="0"/>
          <w:w w:val="100"/>
          <w:position w:val="0"/>
        </w:rPr>
        <w:t>。</w:t>
      </w:r>
      <w:r>
        <w:rPr>
          <w:color w:val="000000"/>
          <w:spacing w:val="0"/>
          <w:w w:val="100"/>
          <w:position w:val="0"/>
        </w:rPr>
        <w:t>注册地址：福建省闽侯县上街镇高新大道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号，法定代表人为陈航。</w:t>
      </w:r>
    </w:p>
    <w:p>
      <w:pPr>
        <w:pStyle w:val="Style22"/>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（二）公司业务性质和主要经营活动</w:t>
      </w:r>
    </w:p>
    <w:p>
      <w:pPr>
        <w:pStyle w:val="Style22"/>
        <w:keepNext w:val="0"/>
        <w:keepLines w:val="0"/>
        <w:widowControl w:val="0"/>
        <w:shd w:val="clear" w:color="auto" w:fill="auto"/>
        <w:bidi w:val="0"/>
        <w:spacing w:before="0" w:after="80" w:line="313" w:lineRule="exact"/>
        <w:ind w:left="0" w:right="0"/>
        <w:jc w:val="both"/>
      </w:pPr>
      <w:r>
        <w:rPr>
          <w:color w:val="000000"/>
          <w:spacing w:val="0"/>
          <w:w w:val="100"/>
          <w:position w:val="0"/>
        </w:rPr>
        <w:t>公司属于软件和信息技术服务业，公司经营范围：电子计算机软、硬件开发、销售；电子计算机网络工程技术咨询、技 术服务；第二类增值电信业务中的信息服务业务（仅限互联网信息服务）；信息系统集成服务；测绘服务；自有房屋租赁； 计算机科学技术研究服务（依法须经批准的项目，经相关部门批准后方可开展经营活动）。</w:t>
      </w:r>
    </w:p>
    <w:p>
      <w:pPr>
        <w:pStyle w:val="Style29"/>
        <w:keepNext w:val="0"/>
        <w:keepLines w:val="0"/>
        <w:widowControl w:val="0"/>
        <w:shd w:val="clear" w:color="auto" w:fill="auto"/>
        <w:bidi w:val="0"/>
        <w:spacing w:before="0" w:after="100" w:line="240" w:lineRule="auto"/>
        <w:ind w:left="298" w:right="0" w:firstLine="0"/>
        <w:jc w:val="left"/>
      </w:pPr>
      <w:r>
        <w:rPr>
          <w:color w:val="000000"/>
          <w:spacing w:val="0"/>
          <w:w w:val="100"/>
          <w:position w:val="0"/>
        </w:rPr>
        <w:t>（三）财务报表的批准报出</w:t>
      </w:r>
    </w:p>
    <w:p>
      <w:pPr>
        <w:pStyle w:val="Style29"/>
        <w:keepNext w:val="0"/>
        <w:keepLines w:val="0"/>
        <w:widowControl w:val="0"/>
        <w:shd w:val="clear" w:color="auto" w:fill="auto"/>
        <w:bidi w:val="0"/>
        <w:spacing w:before="0" w:after="100" w:line="240" w:lineRule="auto"/>
        <w:ind w:left="298"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日批准报出。</w:t>
      </w:r>
    </w:p>
    <w:p>
      <w:pPr>
        <w:pStyle w:val="Style29"/>
        <w:keepNext w:val="0"/>
        <w:keepLines w:val="0"/>
        <w:widowControl w:val="0"/>
        <w:shd w:val="clear" w:color="auto" w:fill="auto"/>
        <w:bidi w:val="0"/>
        <w:spacing w:before="0" w:after="100" w:line="240" w:lineRule="auto"/>
        <w:ind w:left="298" w:right="0" w:firstLine="0"/>
        <w:jc w:val="left"/>
      </w:pPr>
      <w:r>
        <w:rPr>
          <w:color w:val="000000"/>
          <w:spacing w:val="0"/>
          <w:w w:val="100"/>
          <w:position w:val="0"/>
        </w:rPr>
        <w:t>本期纳入合并财务报表范围的一级子公司共</w:t>
      </w:r>
      <w:r>
        <w:rPr>
          <w:rFonts w:ascii="Times New Roman" w:eastAsia="Times New Roman" w:hAnsi="Times New Roman" w:cs="Times New Roman"/>
          <w:color w:val="000000"/>
          <w:spacing w:val="0"/>
          <w:w w:val="100"/>
          <w:position w:val="0"/>
        </w:rPr>
        <w:t>27</w:t>
      </w:r>
      <w:r>
        <w:rPr>
          <w:color w:val="000000"/>
          <w:spacing w:val="0"/>
          <w:w w:val="100"/>
          <w:position w:val="0"/>
        </w:rPr>
        <w:t>户，具体包括:</w:t>
      </w:r>
    </w:p>
    <w:tbl>
      <w:tblPr>
        <w:tblOverlap w:val="never"/>
        <w:jc w:val="left"/>
        <w:tblLayout w:type="fixed"/>
      </w:tblPr>
      <w:tblGrid>
        <w:gridCol w:w="3523"/>
        <w:gridCol w:w="1258"/>
        <w:gridCol w:w="725"/>
        <w:gridCol w:w="1517"/>
        <w:gridCol w:w="152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级次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黑龙江博思软件有限公司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福建兴博数政科技有限公司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福建博思创业园管理有限公司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北京博思财信网络科技有限公司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青海博思网络信息技术有限公司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天津博思科技发展有限公司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北京博思广通信息系统有限公司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64.0931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福建博思智慧信息产业科技有限公司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bl>
    <w:p>
      <w:pPr>
        <w:widowControl w:val="0"/>
        <w:spacing w:line="1" w:lineRule="exact"/>
      </w:pPr>
    </w:p>
    <w:tbl>
      <w:tblPr>
        <w:tblOverlap w:val="never"/>
        <w:jc w:val="left"/>
        <w:tblLayout w:type="fixed"/>
      </w:tblPr>
      <w:tblGrid>
        <w:gridCol w:w="3523"/>
        <w:gridCol w:w="1258"/>
        <w:gridCol w:w="725"/>
        <w:gridCol w:w="1517"/>
        <w:gridCol w:w="152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39" w:line="1" w:lineRule="exact"/>
      </w:pPr>
    </w:p>
    <w:p>
      <w:pPr>
        <w:pStyle w:val="Style2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户，其中：</w:t>
      </w:r>
    </w:p>
    <w:p>
      <w:pPr>
        <w:pStyle w:val="Style29"/>
        <w:keepNext w:val="0"/>
        <w:keepLines w:val="0"/>
        <w:widowControl w:val="0"/>
        <w:shd w:val="clear" w:color="auto" w:fill="auto"/>
        <w:bidi w:val="0"/>
        <w:spacing w:before="0" w:after="0" w:line="240" w:lineRule="auto"/>
        <w:ind w:left="20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p>
      <w:pPr>
        <w:widowControl w:val="0"/>
        <w:spacing w:after="1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6</w:t>
            </w:r>
            <w:r>
              <w:rPr>
                <w:color w:val="000000"/>
                <w:spacing w:val="0"/>
                <w:w w:val="100"/>
                <w:position w:val="0"/>
              </w:rPr>
              <w:t>月注销，自注销完成之日起不再纳入合并范围</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9</w:t>
            </w:r>
            <w:r>
              <w:rPr>
                <w:color w:val="000000"/>
                <w:spacing w:val="0"/>
                <w:w w:val="100"/>
                <w:position w:val="0"/>
              </w:rPr>
              <w:t>月注销，自注销完成之日起不再纳入合并范围</w:t>
            </w:r>
          </w:p>
        </w:tc>
      </w:tr>
    </w:tbl>
    <w:p>
      <w:pPr>
        <w:pStyle w:val="Style29"/>
        <w:keepNext w:val="0"/>
        <w:keepLines w:val="0"/>
        <w:widowControl w:val="0"/>
        <w:shd w:val="clear" w:color="auto" w:fill="auto"/>
        <w:bidi w:val="0"/>
        <w:spacing w:before="0" w:after="0" w:line="240" w:lineRule="auto"/>
        <w:ind w:left="206" w:right="0" w:firstLine="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附注八、合并范围的变更匚</w:t>
      </w:r>
    </w:p>
    <w:p>
      <w:pPr>
        <w:widowControl w:val="0"/>
        <w:spacing w:after="339" w:line="1" w:lineRule="exact"/>
      </w:pPr>
    </w:p>
    <w:p>
      <w:pPr>
        <w:pStyle w:val="Style27"/>
        <w:keepNext/>
        <w:keepLines/>
        <w:widowControl w:val="0"/>
        <w:shd w:val="clear" w:color="auto" w:fill="auto"/>
        <w:tabs>
          <w:tab w:pos="498" w:val="left"/>
        </w:tabs>
        <w:bidi w:val="0"/>
        <w:spacing w:before="0" w:after="34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四</w:t>
      </w:r>
      <w:bookmarkEnd w:id="751"/>
      <w:r>
        <w:rPr>
          <w:color w:val="000000"/>
          <w:spacing w:val="0"/>
          <w:w w:val="100"/>
          <w:position w:val="0"/>
          <w:sz w:val="24"/>
          <w:szCs w:val="24"/>
        </w:rPr>
        <w:t>、</w:t>
        <w:tab/>
        <w:t>财务报表的编制基础</w:t>
      </w:r>
      <w:bookmarkEnd w:id="749"/>
      <w:bookmarkEnd w:id="750"/>
      <w:bookmarkEnd w:id="752"/>
    </w:p>
    <w:p>
      <w:pPr>
        <w:pStyle w:val="Style33"/>
        <w:keepNext/>
        <w:keepLines/>
        <w:widowControl w:val="0"/>
        <w:shd w:val="clear" w:color="auto" w:fill="auto"/>
        <w:tabs>
          <w:tab w:pos="394"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w:t>
        <w:tab/>
        <w:t>编制基础</w:t>
      </w:r>
      <w:bookmarkEnd w:id="753"/>
      <w:bookmarkEnd w:id="754"/>
      <w:bookmarkEnd w:id="756"/>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 财务报表。</w:t>
      </w:r>
    </w:p>
    <w:p>
      <w:pPr>
        <w:pStyle w:val="Style33"/>
        <w:keepNext/>
        <w:keepLines/>
        <w:widowControl w:val="0"/>
        <w:shd w:val="clear" w:color="auto" w:fill="auto"/>
        <w:tabs>
          <w:tab w:pos="394" w:val="left"/>
        </w:tabs>
        <w:bidi w:val="0"/>
        <w:spacing w:before="0" w:after="26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持续经营</w:t>
      </w:r>
      <w:bookmarkEnd w:id="757"/>
      <w:bookmarkEnd w:id="758"/>
      <w:bookmarkEnd w:id="760"/>
    </w:p>
    <w:p>
      <w:pPr>
        <w:pStyle w:val="Style22"/>
        <w:keepNext w:val="0"/>
        <w:keepLines w:val="0"/>
        <w:widowControl w:val="0"/>
        <w:shd w:val="clear" w:color="auto" w:fill="auto"/>
        <w:bidi w:val="0"/>
        <w:spacing w:before="0" w:after="34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7"/>
        <w:keepNext/>
        <w:keepLines/>
        <w:widowControl w:val="0"/>
        <w:shd w:val="clear" w:color="auto" w:fill="auto"/>
        <w:tabs>
          <w:tab w:pos="517" w:val="left"/>
        </w:tabs>
        <w:bidi w:val="0"/>
        <w:spacing w:before="0" w:after="26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五</w:t>
      </w:r>
      <w:bookmarkEnd w:id="763"/>
      <w:r>
        <w:rPr>
          <w:color w:val="000000"/>
          <w:spacing w:val="0"/>
          <w:w w:val="100"/>
          <w:position w:val="0"/>
          <w:sz w:val="24"/>
          <w:szCs w:val="24"/>
        </w:rPr>
        <w:t>、</w:t>
        <w:tab/>
        <w:t>重要会计政策及会计估计</w:t>
      </w:r>
      <w:bookmarkEnd w:id="761"/>
      <w:bookmarkEnd w:id="762"/>
      <w:bookmarkEnd w:id="764"/>
    </w:p>
    <w:p>
      <w:pPr>
        <w:pStyle w:val="Style2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公司根据生产经营特点确定具体会计政策和会计估计，主要体现在应收款项预期信用损失计提的方法（附注五</w:t>
      </w:r>
      <w:r>
        <w:rPr>
          <w:rFonts w:ascii="Times New Roman" w:eastAsia="Times New Roman" w:hAnsi="Times New Roman" w:cs="Times New Roman"/>
          <w:color w:val="000000"/>
          <w:spacing w:val="0"/>
          <w:w w:val="100"/>
          <w:position w:val="0"/>
        </w:rPr>
        <w:t>/（</w:t>
      </w:r>
      <w:r>
        <w:rPr>
          <w:color w:val="000000"/>
          <w:spacing w:val="0"/>
          <w:w w:val="100"/>
          <w:position w:val="0"/>
        </w:rPr>
        <w:t>十二</w:t>
      </w:r>
      <w:r>
        <w:rPr>
          <w:rFonts w:ascii="Times New Roman" w:eastAsia="Times New Roman" w:hAnsi="Times New Roman" w:cs="Times New Roman"/>
          <w:color w:val="000000"/>
          <w:spacing w:val="0"/>
          <w:w w:val="100"/>
          <w:position w:val="0"/>
        </w:rPr>
        <w:t>）</w:t>
      </w:r>
      <w:r>
        <w:rPr>
          <w:color w:val="000000"/>
          <w:spacing w:val="0"/>
          <w:w w:val="100"/>
          <w:position w:val="0"/>
        </w:rPr>
        <w:t>）、 存货的计价方法（附注五</w:t>
      </w:r>
      <w:r>
        <w:rPr>
          <w:rFonts w:ascii="Times New Roman" w:eastAsia="Times New Roman" w:hAnsi="Times New Roman" w:cs="Times New Roman"/>
          <w:color w:val="000000"/>
          <w:spacing w:val="0"/>
          <w:w w:val="100"/>
          <w:position w:val="0"/>
        </w:rPr>
        <w:t>/（</w:t>
      </w:r>
      <w:r>
        <w:rPr>
          <w:color w:val="000000"/>
          <w:spacing w:val="0"/>
          <w:w w:val="100"/>
          <w:position w:val="0"/>
        </w:rPr>
        <w:t>十五</w:t>
      </w:r>
      <w:r>
        <w:rPr>
          <w:rFonts w:ascii="Times New Roman" w:eastAsia="Times New Roman" w:hAnsi="Times New Roman" w:cs="Times New Roman"/>
          <w:color w:val="000000"/>
          <w:spacing w:val="0"/>
          <w:w w:val="100"/>
          <w:position w:val="0"/>
        </w:rPr>
        <w:t>）</w:t>
      </w:r>
      <w:r>
        <w:rPr>
          <w:color w:val="000000"/>
          <w:spacing w:val="0"/>
          <w:w w:val="100"/>
          <w:position w:val="0"/>
        </w:rPr>
        <w:t>）、固定资产折旧（附注五</w:t>
      </w:r>
      <w:r>
        <w:rPr>
          <w:rFonts w:ascii="Times New Roman" w:eastAsia="Times New Roman" w:hAnsi="Times New Roman" w:cs="Times New Roman"/>
          <w:color w:val="000000"/>
          <w:spacing w:val="0"/>
          <w:w w:val="100"/>
          <w:position w:val="0"/>
        </w:rPr>
        <w:t>/（</w:t>
      </w:r>
      <w:r>
        <w:rPr>
          <w:color w:val="000000"/>
          <w:spacing w:val="0"/>
          <w:w w:val="100"/>
          <w:position w:val="0"/>
        </w:rPr>
        <w:t>二十四</w:t>
      </w:r>
      <w:r>
        <w:rPr>
          <w:rFonts w:ascii="Times New Roman" w:eastAsia="Times New Roman" w:hAnsi="Times New Roman" w:cs="Times New Roman"/>
          <w:color w:val="000000"/>
          <w:spacing w:val="0"/>
          <w:w w:val="100"/>
          <w:position w:val="0"/>
        </w:rPr>
        <w:t>）</w:t>
      </w:r>
      <w:r>
        <w:rPr>
          <w:color w:val="000000"/>
          <w:spacing w:val="0"/>
          <w:w w:val="100"/>
          <w:position w:val="0"/>
        </w:rPr>
        <w:t>）、收入的确认时点（附注五</w:t>
      </w:r>
      <w:r>
        <w:rPr>
          <w:rFonts w:ascii="Times New Roman" w:eastAsia="Times New Roman" w:hAnsi="Times New Roman" w:cs="Times New Roman"/>
          <w:color w:val="000000"/>
          <w:spacing w:val="0"/>
          <w:w w:val="100"/>
          <w:position w:val="0"/>
        </w:rPr>
        <w:t>/（</w:t>
      </w:r>
      <w:r>
        <w:rPr>
          <w:color w:val="000000"/>
          <w:spacing w:val="0"/>
          <w:w w:val="100"/>
          <w:position w:val="0"/>
        </w:rPr>
        <w:t>三十九</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3"/>
        <w:keepNext/>
        <w:keepLines/>
        <w:widowControl w:val="0"/>
        <w:shd w:val="clear" w:color="auto" w:fill="auto"/>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、遵循企业会计准则的声明</w:t>
      </w:r>
      <w:bookmarkEnd w:id="765"/>
      <w:bookmarkEnd w:id="766"/>
      <w:bookmarkEnd w:id="768"/>
    </w:p>
    <w:p>
      <w:pPr>
        <w:pStyle w:val="Style22"/>
        <w:keepNext w:val="0"/>
        <w:keepLines w:val="0"/>
        <w:widowControl w:val="0"/>
        <w:shd w:val="clear" w:color="auto" w:fill="auto"/>
        <w:bidi w:val="0"/>
        <w:spacing w:before="0" w:after="300" w:line="317"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3"/>
        <w:keepNext/>
        <w:keepLines/>
        <w:widowControl w:val="0"/>
        <w:shd w:val="clear" w:color="auto" w:fill="auto"/>
        <w:tabs>
          <w:tab w:pos="474" w:val="left"/>
        </w:tabs>
        <w:bidi w:val="0"/>
        <w:spacing w:before="0" w:after="28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会计期间</w:t>
      </w:r>
      <w:bookmarkEnd w:id="769"/>
      <w:bookmarkEnd w:id="770"/>
      <w:bookmarkEnd w:id="772"/>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474" w:val="left"/>
        </w:tabs>
        <w:bidi w:val="0"/>
        <w:spacing w:before="0" w:after="28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3</w:t>
      </w:r>
      <w:bookmarkEnd w:id="775"/>
      <w:r>
        <w:rPr>
          <w:color w:val="000000"/>
          <w:spacing w:val="0"/>
          <w:w w:val="100"/>
          <w:position w:val="0"/>
        </w:rPr>
        <w:t>、</w:t>
        <w:tab/>
        <w:t>营业周期</w:t>
      </w:r>
      <w:bookmarkEnd w:id="773"/>
      <w:bookmarkEnd w:id="774"/>
      <w:bookmarkEnd w:id="776"/>
    </w:p>
    <w:p>
      <w:pPr>
        <w:pStyle w:val="Style22"/>
        <w:keepNext w:val="0"/>
        <w:keepLines w:val="0"/>
        <w:widowControl w:val="0"/>
        <w:shd w:val="clear" w:color="auto" w:fill="auto"/>
        <w:bidi w:val="0"/>
        <w:spacing w:before="0" w:after="380" w:line="326" w:lineRule="exact"/>
        <w:ind w:left="0" w:right="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 其作为资产和负债的流动性划分标准。</w:t>
      </w:r>
    </w:p>
    <w:p>
      <w:pPr>
        <w:pStyle w:val="Style33"/>
        <w:keepNext/>
        <w:keepLines/>
        <w:widowControl w:val="0"/>
        <w:shd w:val="clear" w:color="auto" w:fill="auto"/>
        <w:tabs>
          <w:tab w:pos="474"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4</w:t>
      </w:r>
      <w:bookmarkEnd w:id="779"/>
      <w:r>
        <w:rPr>
          <w:color w:val="000000"/>
          <w:spacing w:val="0"/>
          <w:w w:val="100"/>
          <w:position w:val="0"/>
        </w:rPr>
        <w:t>、</w:t>
        <w:tab/>
        <w:t>记账本位币</w:t>
      </w:r>
      <w:bookmarkEnd w:id="777"/>
      <w:bookmarkEnd w:id="778"/>
      <w:bookmarkEnd w:id="780"/>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采用人民币为记账本位币。</w:t>
      </w:r>
    </w:p>
    <w:p>
      <w:pPr>
        <w:pStyle w:val="Style33"/>
        <w:keepNext/>
        <w:keepLines/>
        <w:widowControl w:val="0"/>
        <w:shd w:val="clear" w:color="auto" w:fill="auto"/>
        <w:tabs>
          <w:tab w:pos="474" w:val="left"/>
        </w:tabs>
        <w:bidi w:val="0"/>
        <w:spacing w:before="0" w:after="2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5</w:t>
      </w:r>
      <w:bookmarkEnd w:id="783"/>
      <w:r>
        <w:rPr>
          <w:color w:val="000000"/>
          <w:spacing w:val="0"/>
          <w:w w:val="100"/>
          <w:position w:val="0"/>
        </w:rPr>
        <w:t>、</w:t>
        <w:tab/>
        <w:t>同一控制下和非同一控制下企业合并的会计处理方法</w:t>
      </w:r>
      <w:bookmarkEnd w:id="781"/>
      <w:bookmarkEnd w:id="782"/>
      <w:bookmarkEnd w:id="784"/>
    </w:p>
    <w:p>
      <w:pPr>
        <w:pStyle w:val="Style22"/>
        <w:keepNext w:val="0"/>
        <w:keepLines w:val="0"/>
        <w:widowControl w:val="0"/>
        <w:numPr>
          <w:ilvl w:val="0"/>
          <w:numId w:val="19"/>
        </w:numPr>
        <w:shd w:val="clear" w:color="auto" w:fill="auto"/>
        <w:tabs>
          <w:tab w:pos="670" w:val="left"/>
        </w:tabs>
        <w:bidi w:val="0"/>
        <w:spacing w:before="0" w:after="0" w:line="313" w:lineRule="exact"/>
        <w:ind w:left="0" w:right="0"/>
        <w:jc w:val="both"/>
      </w:pPr>
      <w:bookmarkStart w:id="785" w:name="bookmark785"/>
      <w:bookmarkEnd w:id="785"/>
      <w:r>
        <w:rPr>
          <w:color w:val="000000"/>
          <w:spacing w:val="0"/>
          <w:w w:val="100"/>
          <w:position w:val="0"/>
        </w:rPr>
        <w:t>分步实现企业合并过程中的各项交易的条款、条件以及经济影响符合以下一种或多种情况，将多次交易事项作为一揽 子交易进行会计处理</w:t>
      </w:r>
    </w:p>
    <w:p>
      <w:pPr>
        <w:pStyle w:val="Style22"/>
        <w:keepNext w:val="0"/>
        <w:keepLines w:val="0"/>
        <w:widowControl w:val="0"/>
        <w:shd w:val="clear" w:color="auto" w:fill="auto"/>
        <w:tabs>
          <w:tab w:pos="825" w:val="left"/>
        </w:tabs>
        <w:bidi w:val="0"/>
        <w:spacing w:before="0" w:after="0" w:line="313"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2"/>
        <w:keepNext w:val="0"/>
        <w:keepLines w:val="0"/>
        <w:widowControl w:val="0"/>
        <w:shd w:val="clear" w:color="auto" w:fill="auto"/>
        <w:tabs>
          <w:tab w:pos="825" w:val="left"/>
        </w:tabs>
        <w:bidi w:val="0"/>
        <w:spacing w:before="0" w:after="0" w:line="313" w:lineRule="exact"/>
        <w:ind w:left="0" w:right="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2"/>
        <w:keepNext w:val="0"/>
        <w:keepLines w:val="0"/>
        <w:widowControl w:val="0"/>
        <w:shd w:val="clear" w:color="auto" w:fill="auto"/>
        <w:tabs>
          <w:tab w:pos="825" w:val="left"/>
        </w:tabs>
        <w:bidi w:val="0"/>
        <w:spacing w:before="0" w:after="0" w:line="313" w:lineRule="exact"/>
        <w:ind w:left="0" w:right="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2"/>
        <w:keepNext w:val="0"/>
        <w:keepLines w:val="0"/>
        <w:widowControl w:val="0"/>
        <w:shd w:val="clear" w:color="auto" w:fill="auto"/>
        <w:tabs>
          <w:tab w:pos="825" w:val="left"/>
        </w:tabs>
        <w:bidi w:val="0"/>
        <w:spacing w:before="0" w:after="0" w:line="313"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2"/>
        <w:keepNext w:val="0"/>
        <w:keepLines w:val="0"/>
        <w:widowControl w:val="0"/>
        <w:numPr>
          <w:ilvl w:val="0"/>
          <w:numId w:val="19"/>
        </w:numPr>
        <w:shd w:val="clear" w:color="auto" w:fill="auto"/>
        <w:tabs>
          <w:tab w:pos="700" w:val="left"/>
        </w:tabs>
        <w:bidi w:val="0"/>
        <w:spacing w:before="0" w:after="0" w:line="313" w:lineRule="exact"/>
        <w:ind w:left="0" w:right="0"/>
        <w:jc w:val="both"/>
      </w:pPr>
      <w:bookmarkStart w:id="790" w:name="bookmark790"/>
      <w:bookmarkEnd w:id="790"/>
      <w:r>
        <w:rPr>
          <w:color w:val="000000"/>
          <w:spacing w:val="0"/>
          <w:w w:val="100"/>
          <w:position w:val="0"/>
        </w:rPr>
        <w:t>同一控制下的企业合并</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2"/>
        <w:keepNext w:val="0"/>
        <w:keepLines w:val="0"/>
        <w:widowControl w:val="0"/>
        <w:numPr>
          <w:ilvl w:val="0"/>
          <w:numId w:val="19"/>
        </w:numPr>
        <w:shd w:val="clear" w:color="auto" w:fill="auto"/>
        <w:tabs>
          <w:tab w:pos="700" w:val="left"/>
        </w:tabs>
        <w:bidi w:val="0"/>
        <w:spacing w:before="0" w:after="0" w:line="313" w:lineRule="exact"/>
        <w:ind w:left="0" w:right="0"/>
        <w:jc w:val="both"/>
      </w:pPr>
      <w:bookmarkStart w:id="791" w:name="bookmark791"/>
      <w:bookmarkEnd w:id="791"/>
      <w:r>
        <w:rPr>
          <w:color w:val="000000"/>
          <w:spacing w:val="0"/>
          <w:w w:val="100"/>
          <w:position w:val="0"/>
        </w:rPr>
        <w:t>非同一控制下的企业合并</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2"/>
        <w:keepNext w:val="0"/>
        <w:keepLines w:val="0"/>
        <w:widowControl w:val="0"/>
        <w:numPr>
          <w:ilvl w:val="0"/>
          <w:numId w:val="21"/>
        </w:numPr>
        <w:shd w:val="clear" w:color="auto" w:fill="auto"/>
        <w:tabs>
          <w:tab w:pos="753" w:val="left"/>
        </w:tabs>
        <w:bidi w:val="0"/>
        <w:spacing w:before="0" w:after="0" w:line="313" w:lineRule="exact"/>
        <w:ind w:left="0" w:right="0"/>
        <w:jc w:val="both"/>
      </w:pPr>
      <w:bookmarkStart w:id="792" w:name="bookmark792"/>
      <w:bookmarkEnd w:id="792"/>
      <w:r>
        <w:rPr>
          <w:color w:val="000000"/>
          <w:spacing w:val="0"/>
          <w:w w:val="100"/>
          <w:position w:val="0"/>
        </w:rPr>
        <w:t>企业合并合同或协议已获本公司内部权力机构通过。</w:t>
      </w:r>
    </w:p>
    <w:p>
      <w:pPr>
        <w:pStyle w:val="Style22"/>
        <w:keepNext w:val="0"/>
        <w:keepLines w:val="0"/>
        <w:widowControl w:val="0"/>
        <w:numPr>
          <w:ilvl w:val="0"/>
          <w:numId w:val="21"/>
        </w:numPr>
        <w:shd w:val="clear" w:color="auto" w:fill="auto"/>
        <w:tabs>
          <w:tab w:pos="753" w:val="left"/>
        </w:tabs>
        <w:bidi w:val="0"/>
        <w:spacing w:before="0" w:after="0" w:line="313" w:lineRule="exact"/>
        <w:ind w:left="0" w:right="0"/>
        <w:jc w:val="both"/>
      </w:pPr>
      <w:bookmarkStart w:id="793" w:name="bookmark793"/>
      <w:bookmarkEnd w:id="793"/>
      <w:r>
        <w:rPr>
          <w:color w:val="000000"/>
          <w:spacing w:val="0"/>
          <w:w w:val="100"/>
          <w:position w:val="0"/>
        </w:rPr>
        <w:t>企业合并事项需要经过国家有关主管部门审批的，已获得批准。</w:t>
      </w:r>
    </w:p>
    <w:p>
      <w:pPr>
        <w:pStyle w:val="Style22"/>
        <w:keepNext w:val="0"/>
        <w:keepLines w:val="0"/>
        <w:widowControl w:val="0"/>
        <w:numPr>
          <w:ilvl w:val="0"/>
          <w:numId w:val="21"/>
        </w:numPr>
        <w:shd w:val="clear" w:color="auto" w:fill="auto"/>
        <w:tabs>
          <w:tab w:pos="753" w:val="left"/>
        </w:tabs>
        <w:bidi w:val="0"/>
        <w:spacing w:before="0" w:after="0" w:line="313" w:lineRule="exact"/>
        <w:ind w:left="0" w:right="0"/>
        <w:jc w:val="both"/>
      </w:pPr>
      <w:bookmarkStart w:id="794" w:name="bookmark794"/>
      <w:bookmarkEnd w:id="794"/>
      <w:r>
        <w:rPr>
          <w:color w:val="000000"/>
          <w:spacing w:val="0"/>
          <w:w w:val="100"/>
          <w:position w:val="0"/>
        </w:rPr>
        <w:t>已办理了必要的财产权转移手续。</w:t>
      </w:r>
    </w:p>
    <w:p>
      <w:pPr>
        <w:pStyle w:val="Style22"/>
        <w:keepNext w:val="0"/>
        <w:keepLines w:val="0"/>
        <w:widowControl w:val="0"/>
        <w:numPr>
          <w:ilvl w:val="0"/>
          <w:numId w:val="21"/>
        </w:numPr>
        <w:shd w:val="clear" w:color="auto" w:fill="auto"/>
        <w:tabs>
          <w:tab w:pos="753" w:val="left"/>
        </w:tabs>
        <w:bidi w:val="0"/>
        <w:spacing w:before="0" w:after="0" w:line="313" w:lineRule="exact"/>
        <w:ind w:left="0" w:right="0"/>
        <w:jc w:val="both"/>
      </w:pPr>
      <w:bookmarkStart w:id="795" w:name="bookmark795"/>
      <w:bookmarkEnd w:id="795"/>
      <w:r>
        <w:rPr>
          <w:color w:val="000000"/>
          <w:spacing w:val="0"/>
          <w:w w:val="100"/>
          <w:position w:val="0"/>
        </w:rPr>
        <w:t>本公司已支付了合并价款的大部分，并且有能力、有计划支付剩余款项。</w:t>
      </w:r>
    </w:p>
    <w:p>
      <w:pPr>
        <w:pStyle w:val="Style22"/>
        <w:keepNext w:val="0"/>
        <w:keepLines w:val="0"/>
        <w:widowControl w:val="0"/>
        <w:numPr>
          <w:ilvl w:val="0"/>
          <w:numId w:val="21"/>
        </w:numPr>
        <w:shd w:val="clear" w:color="auto" w:fill="auto"/>
        <w:tabs>
          <w:tab w:pos="753" w:val="left"/>
        </w:tabs>
        <w:bidi w:val="0"/>
        <w:spacing w:before="0" w:after="0" w:line="313" w:lineRule="exact"/>
        <w:ind w:left="0" w:right="0"/>
        <w:jc w:val="both"/>
      </w:pPr>
      <w:bookmarkStart w:id="796" w:name="bookmark796"/>
      <w:bookmarkEnd w:id="796"/>
      <w:r>
        <w:rPr>
          <w:color w:val="000000"/>
          <w:spacing w:val="0"/>
          <w:w w:val="100"/>
          <w:position w:val="0"/>
        </w:rPr>
        <w:t>本公司实际上已经控制了被购买方的财务和经营政策，并享有相应的利益、承担相应的风险。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2"/>
        <w:keepNext w:val="0"/>
        <w:keepLines w:val="0"/>
        <w:widowControl w:val="0"/>
        <w:shd w:val="clear" w:color="auto" w:fill="auto"/>
        <w:bidi w:val="0"/>
        <w:spacing w:before="0" w:after="280" w:line="313"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2"/>
        <w:keepNext w:val="0"/>
        <w:keepLines w:val="0"/>
        <w:widowControl w:val="0"/>
        <w:numPr>
          <w:ilvl w:val="0"/>
          <w:numId w:val="19"/>
        </w:numPr>
        <w:shd w:val="clear" w:color="auto" w:fill="auto"/>
        <w:bidi w:val="0"/>
        <w:spacing w:before="0" w:after="0"/>
        <w:ind w:left="0" w:right="0"/>
        <w:jc w:val="both"/>
      </w:pPr>
      <w:bookmarkStart w:id="797" w:name="bookmark797"/>
      <w:bookmarkEnd w:id="797"/>
      <w:r>
        <w:rPr>
          <w:color w:val="000000"/>
          <w:spacing w:val="0"/>
          <w:w w:val="100"/>
          <w:position w:val="0"/>
        </w:rPr>
        <w:t>为合并发生的相关费用</w:t>
      </w:r>
    </w:p>
    <w:p>
      <w:pPr>
        <w:pStyle w:val="Style22"/>
        <w:keepNext w:val="0"/>
        <w:keepLines w:val="0"/>
        <w:widowControl w:val="0"/>
        <w:shd w:val="clear" w:color="auto" w:fill="auto"/>
        <w:bidi w:val="0"/>
        <w:spacing w:before="0" w:after="400" w:line="313"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3"/>
        <w:keepNext/>
        <w:keepLines/>
        <w:widowControl w:val="0"/>
        <w:shd w:val="clear" w:color="auto" w:fill="auto"/>
        <w:bidi w:val="0"/>
        <w:spacing w:before="0" w:after="40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6</w:t>
      </w:r>
      <w:bookmarkEnd w:id="800"/>
      <w:r>
        <w:rPr>
          <w:color w:val="000000"/>
          <w:spacing w:val="0"/>
          <w:w w:val="100"/>
          <w:position w:val="0"/>
        </w:rPr>
        <w:t>、合并财务报表的编制方法</w:t>
      </w:r>
      <w:bookmarkEnd w:id="798"/>
      <w:bookmarkEnd w:id="799"/>
      <w:bookmarkEnd w:id="801"/>
    </w:p>
    <w:p>
      <w:pPr>
        <w:pStyle w:val="Style22"/>
        <w:keepNext w:val="0"/>
        <w:keepLines w:val="0"/>
        <w:widowControl w:val="0"/>
        <w:numPr>
          <w:ilvl w:val="0"/>
          <w:numId w:val="23"/>
        </w:numPr>
        <w:shd w:val="clear" w:color="auto" w:fill="auto"/>
        <w:tabs>
          <w:tab w:pos="624" w:val="left"/>
        </w:tabs>
        <w:bidi w:val="0"/>
        <w:spacing w:before="0" w:after="0"/>
        <w:ind w:left="0" w:right="0"/>
        <w:jc w:val="both"/>
      </w:pPr>
      <w:bookmarkStart w:id="802" w:name="bookmark802"/>
      <w:bookmarkEnd w:id="802"/>
      <w:r>
        <w:rPr>
          <w:color w:val="000000"/>
          <w:spacing w:val="0"/>
          <w:w w:val="100"/>
          <w:position w:val="0"/>
        </w:rPr>
        <w:t>合并范围</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22"/>
        <w:keepNext w:val="0"/>
        <w:keepLines w:val="0"/>
        <w:widowControl w:val="0"/>
        <w:numPr>
          <w:ilvl w:val="0"/>
          <w:numId w:val="23"/>
        </w:numPr>
        <w:shd w:val="clear" w:color="auto" w:fill="auto"/>
        <w:tabs>
          <w:tab w:pos="643" w:val="left"/>
        </w:tabs>
        <w:bidi w:val="0"/>
        <w:spacing w:before="0" w:after="0"/>
        <w:ind w:left="0" w:right="0"/>
        <w:jc w:val="both"/>
      </w:pPr>
      <w:bookmarkStart w:id="803" w:name="bookmark803"/>
      <w:bookmarkEnd w:id="803"/>
      <w:r>
        <w:rPr>
          <w:color w:val="000000"/>
          <w:spacing w:val="0"/>
          <w:w w:val="100"/>
          <w:position w:val="0"/>
        </w:rPr>
        <w:t>合并程序</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2"/>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22"/>
        <w:keepNext w:val="0"/>
        <w:keepLines w:val="0"/>
        <w:widowControl w:val="0"/>
        <w:shd w:val="clear" w:color="auto" w:fill="auto"/>
        <w:bidi w:val="0"/>
        <w:spacing w:before="0" w:after="0"/>
        <w:ind w:left="0" w:right="0"/>
        <w:jc w:val="both"/>
      </w:pPr>
      <w:bookmarkStart w:id="804" w:name="bookmark804"/>
      <w:r>
        <w:rPr>
          <w:rFonts w:ascii="Times New Roman" w:eastAsia="Times New Roman" w:hAnsi="Times New Roman" w:cs="Times New Roman"/>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w:t>
      </w:r>
      <w:r>
        <w:rPr>
          <w:color w:val="000000"/>
          <w:spacing w:val="0"/>
          <w:w w:val="100"/>
          <w:position w:val="0"/>
        </w:rPr>
        <w:t>他综合收益、其他所有者权益变动转为购买日所属当期投资收益，由于被投资方重新计量设定受益计划净负债或净资产变动 而产生的其他综合收益除外。</w:t>
      </w:r>
    </w:p>
    <w:p>
      <w:pPr>
        <w:pStyle w:val="Style22"/>
        <w:keepNext w:val="0"/>
        <w:keepLines w:val="0"/>
        <w:widowControl w:val="0"/>
        <w:numPr>
          <w:ilvl w:val="0"/>
          <w:numId w:val="25"/>
        </w:numPr>
        <w:shd w:val="clear" w:color="auto" w:fill="auto"/>
        <w:tabs>
          <w:tab w:pos="766" w:val="left"/>
        </w:tabs>
        <w:bidi w:val="0"/>
        <w:spacing w:before="0" w:after="0"/>
        <w:ind w:left="0" w:right="0" w:firstLine="360"/>
        <w:jc w:val="left"/>
      </w:pPr>
      <w:bookmarkStart w:id="805" w:name="bookmark805"/>
      <w:bookmarkEnd w:id="805"/>
      <w:r>
        <w:rPr>
          <w:color w:val="000000"/>
          <w:spacing w:val="0"/>
          <w:w w:val="100"/>
          <w:position w:val="0"/>
        </w:rPr>
        <w:t>处置子公司或业务</w:t>
      </w:r>
    </w:p>
    <w:p>
      <w:pPr>
        <w:pStyle w:val="Style22"/>
        <w:keepNext w:val="0"/>
        <w:keepLines w:val="0"/>
        <w:widowControl w:val="0"/>
        <w:numPr>
          <w:ilvl w:val="0"/>
          <w:numId w:val="27"/>
        </w:numPr>
        <w:shd w:val="clear" w:color="auto" w:fill="auto"/>
        <w:tabs>
          <w:tab w:pos="729" w:val="left"/>
        </w:tabs>
        <w:bidi w:val="0"/>
        <w:spacing w:before="0" w:after="0"/>
        <w:ind w:left="0" w:right="0"/>
        <w:jc w:val="both"/>
      </w:pPr>
      <w:bookmarkStart w:id="806" w:name="bookmark806"/>
      <w:bookmarkEnd w:id="806"/>
      <w:r>
        <w:rPr>
          <w:color w:val="000000"/>
          <w:spacing w:val="0"/>
          <w:w w:val="100"/>
          <w:position w:val="0"/>
        </w:rPr>
        <w:t>一般处理方法</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2"/>
        <w:keepNext w:val="0"/>
        <w:keepLines w:val="0"/>
        <w:widowControl w:val="0"/>
        <w:numPr>
          <w:ilvl w:val="0"/>
          <w:numId w:val="27"/>
        </w:numPr>
        <w:shd w:val="clear" w:color="auto" w:fill="auto"/>
        <w:tabs>
          <w:tab w:pos="748" w:val="left"/>
        </w:tabs>
        <w:bidi w:val="0"/>
        <w:spacing w:before="0" w:after="0"/>
        <w:ind w:left="0" w:right="0"/>
        <w:jc w:val="both"/>
      </w:pPr>
      <w:bookmarkStart w:id="807" w:name="bookmark807"/>
      <w:bookmarkEnd w:id="807"/>
      <w:r>
        <w:rPr>
          <w:color w:val="000000"/>
          <w:spacing w:val="0"/>
          <w:w w:val="100"/>
          <w:position w:val="0"/>
        </w:rPr>
        <w:t>分步处置子公司</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2"/>
        <w:keepNext w:val="0"/>
        <w:keepLines w:val="0"/>
        <w:widowControl w:val="0"/>
        <w:numPr>
          <w:ilvl w:val="0"/>
          <w:numId w:val="29"/>
        </w:numPr>
        <w:shd w:val="clear" w:color="auto" w:fill="auto"/>
        <w:tabs>
          <w:tab w:pos="743" w:val="left"/>
        </w:tabs>
        <w:bidi w:val="0"/>
        <w:spacing w:before="0" w:after="0"/>
        <w:ind w:left="0" w:right="0"/>
        <w:jc w:val="both"/>
      </w:pPr>
      <w:bookmarkStart w:id="808" w:name="bookmark808"/>
      <w:bookmarkEnd w:id="808"/>
      <w:r>
        <w:rPr>
          <w:color w:val="000000"/>
          <w:spacing w:val="0"/>
          <w:w w:val="100"/>
          <w:position w:val="0"/>
        </w:rPr>
        <w:t>这些交易是同时或者在考虑了彼此影响的情况下订立的；</w:t>
      </w:r>
    </w:p>
    <w:p>
      <w:pPr>
        <w:pStyle w:val="Style22"/>
        <w:keepNext w:val="0"/>
        <w:keepLines w:val="0"/>
        <w:widowControl w:val="0"/>
        <w:numPr>
          <w:ilvl w:val="0"/>
          <w:numId w:val="29"/>
        </w:numPr>
        <w:shd w:val="clear" w:color="auto" w:fill="auto"/>
        <w:tabs>
          <w:tab w:pos="743" w:val="left"/>
        </w:tabs>
        <w:bidi w:val="0"/>
        <w:spacing w:before="0" w:after="0"/>
        <w:ind w:left="0" w:right="0"/>
        <w:jc w:val="both"/>
      </w:pPr>
      <w:bookmarkStart w:id="809" w:name="bookmark809"/>
      <w:bookmarkEnd w:id="809"/>
      <w:r>
        <w:rPr>
          <w:color w:val="000000"/>
          <w:spacing w:val="0"/>
          <w:w w:val="100"/>
          <w:position w:val="0"/>
        </w:rPr>
        <w:t>这些交易整体才能达成一项完整的商业结果；</w:t>
      </w:r>
    </w:p>
    <w:p>
      <w:pPr>
        <w:pStyle w:val="Style22"/>
        <w:keepNext w:val="0"/>
        <w:keepLines w:val="0"/>
        <w:widowControl w:val="0"/>
        <w:numPr>
          <w:ilvl w:val="0"/>
          <w:numId w:val="29"/>
        </w:numPr>
        <w:shd w:val="clear" w:color="auto" w:fill="auto"/>
        <w:tabs>
          <w:tab w:pos="743" w:val="left"/>
        </w:tabs>
        <w:bidi w:val="0"/>
        <w:spacing w:before="0" w:after="0"/>
        <w:ind w:left="0" w:right="0"/>
        <w:jc w:val="both"/>
      </w:pPr>
      <w:bookmarkStart w:id="810" w:name="bookmark810"/>
      <w:bookmarkEnd w:id="810"/>
      <w:r>
        <w:rPr>
          <w:color w:val="000000"/>
          <w:spacing w:val="0"/>
          <w:w w:val="100"/>
          <w:position w:val="0"/>
        </w:rPr>
        <w:t>一项交易的发生取决于其他至少一项交易的发生；</w:t>
      </w:r>
    </w:p>
    <w:p>
      <w:pPr>
        <w:pStyle w:val="Style22"/>
        <w:keepNext w:val="0"/>
        <w:keepLines w:val="0"/>
        <w:widowControl w:val="0"/>
        <w:numPr>
          <w:ilvl w:val="0"/>
          <w:numId w:val="29"/>
        </w:numPr>
        <w:shd w:val="clear" w:color="auto" w:fill="auto"/>
        <w:tabs>
          <w:tab w:pos="743" w:val="left"/>
        </w:tabs>
        <w:bidi w:val="0"/>
        <w:spacing w:before="0" w:after="0"/>
        <w:ind w:left="0" w:right="0"/>
        <w:jc w:val="both"/>
      </w:pPr>
      <w:bookmarkStart w:id="811" w:name="bookmark811"/>
      <w:bookmarkEnd w:id="811"/>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2"/>
        <w:keepNext w:val="0"/>
        <w:keepLines w:val="0"/>
        <w:widowControl w:val="0"/>
        <w:numPr>
          <w:ilvl w:val="0"/>
          <w:numId w:val="25"/>
        </w:numPr>
        <w:shd w:val="clear" w:color="auto" w:fill="auto"/>
        <w:tabs>
          <w:tab w:pos="786" w:val="left"/>
        </w:tabs>
        <w:bidi w:val="0"/>
        <w:spacing w:before="0" w:after="0"/>
        <w:ind w:left="0" w:right="0"/>
        <w:jc w:val="both"/>
      </w:pPr>
      <w:bookmarkStart w:id="812" w:name="bookmark812"/>
      <w:bookmarkEnd w:id="812"/>
      <w:r>
        <w:rPr>
          <w:color w:val="000000"/>
          <w:spacing w:val="0"/>
          <w:w w:val="100"/>
          <w:position w:val="0"/>
        </w:rPr>
        <w:t>购买子公司少数股权</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2"/>
        <w:keepNext w:val="0"/>
        <w:keepLines w:val="0"/>
        <w:widowControl w:val="0"/>
        <w:numPr>
          <w:ilvl w:val="0"/>
          <w:numId w:val="25"/>
        </w:numPr>
        <w:shd w:val="clear" w:color="auto" w:fill="auto"/>
        <w:tabs>
          <w:tab w:pos="786" w:val="left"/>
        </w:tabs>
        <w:bidi w:val="0"/>
        <w:spacing w:before="0" w:after="0"/>
        <w:ind w:left="0" w:right="0"/>
        <w:jc w:val="both"/>
      </w:pPr>
      <w:bookmarkStart w:id="813" w:name="bookmark813"/>
      <w:bookmarkEnd w:id="813"/>
      <w:r>
        <w:rPr>
          <w:color w:val="000000"/>
          <w:spacing w:val="0"/>
          <w:w w:val="100"/>
          <w:position w:val="0"/>
        </w:rPr>
        <w:t>不丧失控制权的情况下部分处置对子公司的股权投资</w:t>
      </w:r>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3"/>
        <w:keepNext/>
        <w:keepLines/>
        <w:widowControl w:val="0"/>
        <w:shd w:val="clear" w:color="auto" w:fill="auto"/>
        <w:tabs>
          <w:tab w:pos="373" w:val="left"/>
        </w:tabs>
        <w:bidi w:val="0"/>
        <w:spacing w:before="0" w:after="3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7</w:t>
      </w:r>
      <w:bookmarkEnd w:id="816"/>
      <w:r>
        <w:rPr>
          <w:color w:val="000000"/>
          <w:spacing w:val="0"/>
          <w:w w:val="100"/>
          <w:position w:val="0"/>
        </w:rPr>
        <w:t>、</w:t>
        <w:tab/>
        <w:t>合营安排分类及共同经营会计处理方法</w:t>
      </w:r>
      <w:bookmarkEnd w:id="814"/>
      <w:bookmarkEnd w:id="815"/>
      <w:bookmarkEnd w:id="817"/>
    </w:p>
    <w:p>
      <w:pPr>
        <w:pStyle w:val="Style33"/>
        <w:keepNext/>
        <w:keepLines/>
        <w:widowControl w:val="0"/>
        <w:shd w:val="clear" w:color="auto" w:fill="auto"/>
        <w:tabs>
          <w:tab w:pos="378" w:val="left"/>
        </w:tabs>
        <w:bidi w:val="0"/>
        <w:spacing w:before="0" w:after="280" w:line="240" w:lineRule="auto"/>
        <w:ind w:left="0" w:right="0" w:firstLine="0"/>
        <w:jc w:val="left"/>
      </w:pPr>
      <w:bookmarkStart w:id="814" w:name="bookmark814"/>
      <w:bookmarkStart w:id="815" w:name="bookmark815"/>
      <w:bookmarkStart w:id="818" w:name="bookmark818"/>
      <w:bookmarkStart w:id="819" w:name="bookmark819"/>
      <w:r>
        <w:rPr>
          <w:rFonts w:ascii="Times New Roman" w:eastAsia="Times New Roman" w:hAnsi="Times New Roman" w:cs="Times New Roman"/>
          <w:color w:val="000000"/>
          <w:spacing w:val="0"/>
          <w:w w:val="100"/>
          <w:position w:val="0"/>
        </w:rPr>
        <w:t>8</w:t>
      </w:r>
      <w:bookmarkEnd w:id="818"/>
      <w:r>
        <w:rPr>
          <w:color w:val="000000"/>
          <w:spacing w:val="0"/>
          <w:w w:val="100"/>
          <w:position w:val="0"/>
        </w:rPr>
        <w:t>、</w:t>
        <w:tab/>
        <w:t>现金及现金等价物的确定标准</w:t>
      </w:r>
      <w:bookmarkEnd w:id="814"/>
      <w:bookmarkEnd w:id="815"/>
      <w:bookmarkEnd w:id="819"/>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3"/>
        <w:keepNext/>
        <w:keepLines/>
        <w:widowControl w:val="0"/>
        <w:shd w:val="clear" w:color="auto" w:fill="auto"/>
        <w:tabs>
          <w:tab w:pos="378" w:val="left"/>
        </w:tabs>
        <w:bidi w:val="0"/>
        <w:spacing w:before="0" w:after="3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9</w:t>
      </w:r>
      <w:bookmarkEnd w:id="822"/>
      <w:r>
        <w:rPr>
          <w:color w:val="000000"/>
          <w:spacing w:val="0"/>
          <w:w w:val="100"/>
          <w:position w:val="0"/>
        </w:rPr>
        <w:t>、</w:t>
        <w:tab/>
        <w:t>外币业务和外币报表折算</w:t>
      </w:r>
      <w:bookmarkEnd w:id="820"/>
      <w:bookmarkEnd w:id="821"/>
      <w:bookmarkEnd w:id="823"/>
    </w:p>
    <w:p>
      <w:pPr>
        <w:pStyle w:val="Style33"/>
        <w:keepNext/>
        <w:keepLines/>
        <w:widowControl w:val="0"/>
        <w:shd w:val="clear" w:color="auto" w:fill="auto"/>
        <w:tabs>
          <w:tab w:pos="474" w:val="left"/>
        </w:tabs>
        <w:bidi w:val="0"/>
        <w:spacing w:before="0" w:after="280" w:line="240" w:lineRule="auto"/>
        <w:ind w:left="0" w:right="0" w:firstLine="0"/>
        <w:jc w:val="left"/>
      </w:pPr>
      <w:bookmarkStart w:id="820" w:name="bookmark820"/>
      <w:bookmarkStart w:id="821" w:name="bookmark821"/>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0"/>
      <w:bookmarkEnd w:id="821"/>
      <w:bookmarkEnd w:id="825"/>
    </w:p>
    <w:p>
      <w:pPr>
        <w:pStyle w:val="Style2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本公司在成为金融工具合同的一方时确认一项金融资产或金融负债。</w:t>
      </w:r>
    </w:p>
    <w:p>
      <w:pPr>
        <w:pStyle w:val="Style22"/>
        <w:keepNext w:val="0"/>
        <w:keepLines w:val="0"/>
        <w:widowControl w:val="0"/>
        <w:shd w:val="clear" w:color="auto" w:fill="auto"/>
        <w:bidi w:val="0"/>
        <w:spacing w:before="0" w:after="180" w:line="314"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22"/>
        <w:keepNext w:val="0"/>
        <w:keepLines w:val="0"/>
        <w:widowControl w:val="0"/>
        <w:shd w:val="clear" w:color="auto" w:fill="auto"/>
        <w:bidi w:val="0"/>
        <w:spacing w:before="0" w:after="100" w:line="318"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numPr>
          <w:ilvl w:val="0"/>
          <w:numId w:val="31"/>
        </w:numPr>
        <w:shd w:val="clear" w:color="auto" w:fill="auto"/>
        <w:bidi w:val="0"/>
        <w:spacing w:before="0" w:after="0"/>
        <w:ind w:left="0" w:right="0"/>
        <w:jc w:val="both"/>
      </w:pPr>
      <w:bookmarkStart w:id="826" w:name="bookmark826"/>
      <w:bookmarkEnd w:id="826"/>
      <w:r>
        <w:rPr>
          <w:color w:val="000000"/>
          <w:spacing w:val="0"/>
          <w:w w:val="100"/>
          <w:position w:val="0"/>
        </w:rPr>
        <w:t>金融资产的分类、确认和计量</w:t>
      </w:r>
    </w:p>
    <w:p>
      <w:pPr>
        <w:pStyle w:val="Style22"/>
        <w:keepNext w:val="0"/>
        <w:keepLines w:val="0"/>
        <w:widowControl w:val="0"/>
        <w:shd w:val="clear" w:color="auto" w:fill="auto"/>
        <w:bidi w:val="0"/>
        <w:spacing w:before="0" w:after="100" w:line="315"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22"/>
        <w:keepNext w:val="0"/>
        <w:keepLines w:val="0"/>
        <w:widowControl w:val="0"/>
        <w:numPr>
          <w:ilvl w:val="0"/>
          <w:numId w:val="33"/>
        </w:numPr>
        <w:shd w:val="clear" w:color="auto" w:fill="auto"/>
        <w:tabs>
          <w:tab w:pos="751" w:val="left"/>
        </w:tabs>
        <w:bidi w:val="0"/>
        <w:spacing w:before="0" w:after="0"/>
        <w:ind w:left="0" w:right="0"/>
        <w:jc w:val="both"/>
      </w:pPr>
      <w:bookmarkStart w:id="827" w:name="bookmark827"/>
      <w:bookmarkEnd w:id="827"/>
      <w:r>
        <w:rPr>
          <w:color w:val="000000"/>
          <w:spacing w:val="0"/>
          <w:w w:val="100"/>
          <w:position w:val="0"/>
        </w:rPr>
        <w:t>以摊余成本计量的金融资产。</w:t>
      </w:r>
    </w:p>
    <w:p>
      <w:pPr>
        <w:pStyle w:val="Style22"/>
        <w:keepNext w:val="0"/>
        <w:keepLines w:val="0"/>
        <w:widowControl w:val="0"/>
        <w:numPr>
          <w:ilvl w:val="0"/>
          <w:numId w:val="33"/>
        </w:numPr>
        <w:shd w:val="clear" w:color="auto" w:fill="auto"/>
        <w:tabs>
          <w:tab w:pos="751" w:val="left"/>
        </w:tabs>
        <w:bidi w:val="0"/>
        <w:spacing w:before="0" w:after="0"/>
        <w:ind w:left="0" w:right="0"/>
        <w:jc w:val="both"/>
      </w:pPr>
      <w:bookmarkStart w:id="828" w:name="bookmark828"/>
      <w:bookmarkEnd w:id="828"/>
      <w:r>
        <w:rPr>
          <w:color w:val="000000"/>
          <w:spacing w:val="0"/>
          <w:w w:val="100"/>
          <w:position w:val="0"/>
        </w:rPr>
        <w:t>以公允价值计量且其变动计入其他综合收益的金融资产。</w:t>
      </w:r>
    </w:p>
    <w:p>
      <w:pPr>
        <w:pStyle w:val="Style22"/>
        <w:keepNext w:val="0"/>
        <w:keepLines w:val="0"/>
        <w:widowControl w:val="0"/>
        <w:numPr>
          <w:ilvl w:val="0"/>
          <w:numId w:val="33"/>
        </w:numPr>
        <w:shd w:val="clear" w:color="auto" w:fill="auto"/>
        <w:tabs>
          <w:tab w:pos="751" w:val="left"/>
        </w:tabs>
        <w:bidi w:val="0"/>
        <w:spacing w:before="0" w:after="0"/>
        <w:ind w:left="0" w:right="0"/>
        <w:jc w:val="both"/>
      </w:pPr>
      <w:bookmarkStart w:id="829" w:name="bookmark829"/>
      <w:bookmarkEnd w:id="829"/>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2"/>
        <w:keepNext w:val="0"/>
        <w:keepLines w:val="0"/>
        <w:widowControl w:val="0"/>
        <w:shd w:val="clear" w:color="auto" w:fill="auto"/>
        <w:bidi w:val="0"/>
        <w:spacing w:before="0" w:after="100" w:line="315"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2"/>
        <w:keepNext w:val="0"/>
        <w:keepLines w:val="0"/>
        <w:widowControl w:val="0"/>
        <w:numPr>
          <w:ilvl w:val="0"/>
          <w:numId w:val="35"/>
        </w:numPr>
        <w:shd w:val="clear" w:color="auto" w:fill="auto"/>
        <w:tabs>
          <w:tab w:pos="751" w:val="left"/>
        </w:tabs>
        <w:bidi w:val="0"/>
        <w:spacing w:before="0" w:after="0"/>
        <w:ind w:left="0" w:right="0"/>
        <w:jc w:val="both"/>
      </w:pPr>
      <w:bookmarkStart w:id="830" w:name="bookmark830"/>
      <w:bookmarkEnd w:id="830"/>
      <w:r>
        <w:rPr>
          <w:color w:val="000000"/>
          <w:spacing w:val="0"/>
          <w:w w:val="100"/>
          <w:position w:val="0"/>
        </w:rPr>
        <w:t>分类为以摊余成本计量的金融资产</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以摊余成本计量的金融资产包括货币资金、应收账款、其他应收款等。</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2"/>
        <w:keepNext w:val="0"/>
        <w:keepLines w:val="0"/>
        <w:widowControl w:val="0"/>
        <w:numPr>
          <w:ilvl w:val="0"/>
          <w:numId w:val="37"/>
        </w:numPr>
        <w:shd w:val="clear" w:color="auto" w:fill="auto"/>
        <w:tabs>
          <w:tab w:pos="678" w:val="left"/>
        </w:tabs>
        <w:bidi w:val="0"/>
        <w:spacing w:before="0" w:after="0" w:line="283" w:lineRule="exact"/>
        <w:ind w:left="0" w:right="0"/>
        <w:jc w:val="both"/>
      </w:pPr>
      <w:bookmarkStart w:id="831" w:name="bookmark831"/>
      <w:bookmarkEnd w:id="831"/>
      <w:r>
        <w:rPr>
          <w:color w:val="000000"/>
          <w:spacing w:val="0"/>
          <w:w w:val="100"/>
          <w:position w:val="0"/>
        </w:rPr>
        <w:t>对于购入或源生的已发生信用减值的金融资产，本公司自初始确认起，按照该金融资产的摊余成本和经信用调整的 实际利率计算确定其利息收入。</w:t>
      </w:r>
    </w:p>
    <w:p>
      <w:pPr>
        <w:pStyle w:val="Style22"/>
        <w:keepNext w:val="0"/>
        <w:keepLines w:val="0"/>
        <w:widowControl w:val="0"/>
        <w:numPr>
          <w:ilvl w:val="0"/>
          <w:numId w:val="37"/>
        </w:numPr>
        <w:shd w:val="clear" w:color="auto" w:fill="auto"/>
        <w:bidi w:val="0"/>
        <w:spacing w:before="0" w:after="100" w:line="315" w:lineRule="exact"/>
        <w:ind w:left="0" w:right="0"/>
        <w:jc w:val="both"/>
      </w:pPr>
      <w:bookmarkStart w:id="832" w:name="bookmark832"/>
      <w:bookmarkEnd w:id="832"/>
      <w:r>
        <w:rPr>
          <w:color w:val="000000"/>
          <w:spacing w:val="0"/>
          <w:w w:val="100"/>
          <w:position w:val="0"/>
        </w:rPr>
        <w:t xml:space="preserve"> 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22"/>
        <w:keepNext w:val="0"/>
        <w:keepLines w:val="0"/>
        <w:widowControl w:val="0"/>
        <w:numPr>
          <w:ilvl w:val="0"/>
          <w:numId w:val="35"/>
        </w:numPr>
        <w:shd w:val="clear" w:color="auto" w:fill="auto"/>
        <w:tabs>
          <w:tab w:pos="751" w:val="left"/>
        </w:tabs>
        <w:bidi w:val="0"/>
        <w:spacing w:before="0" w:after="0"/>
        <w:ind w:left="0" w:right="0"/>
        <w:jc w:val="both"/>
      </w:pPr>
      <w:bookmarkStart w:id="833" w:name="bookmark833"/>
      <w:bookmarkEnd w:id="833"/>
      <w:r>
        <w:rPr>
          <w:color w:val="000000"/>
          <w:spacing w:val="0"/>
          <w:w w:val="100"/>
          <w:position w:val="0"/>
        </w:rPr>
        <w:t>分类为以公允价值计量且其变动计入其他综合收益的金融资产</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22"/>
        <w:keepNext w:val="0"/>
        <w:keepLines w:val="0"/>
        <w:widowControl w:val="0"/>
        <w:shd w:val="clear" w:color="auto" w:fill="auto"/>
        <w:bidi w:val="0"/>
        <w:spacing w:before="0" w:after="100" w:line="315"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2"/>
        <w:keepNext w:val="0"/>
        <w:keepLines w:val="0"/>
        <w:widowControl w:val="0"/>
        <w:numPr>
          <w:ilvl w:val="0"/>
          <w:numId w:val="35"/>
        </w:numPr>
        <w:shd w:val="clear" w:color="auto" w:fill="auto"/>
        <w:tabs>
          <w:tab w:pos="751" w:val="left"/>
        </w:tabs>
        <w:bidi w:val="0"/>
        <w:spacing w:before="0" w:after="0"/>
        <w:ind w:left="0" w:right="0"/>
        <w:jc w:val="both"/>
      </w:pPr>
      <w:bookmarkStart w:id="834" w:name="bookmark834"/>
      <w:bookmarkEnd w:id="834"/>
      <w:r>
        <w:rPr>
          <w:color w:val="000000"/>
          <w:spacing w:val="0"/>
          <w:w w:val="100"/>
          <w:position w:val="0"/>
        </w:rPr>
        <w:t>指定为以公允价值计量且其变动计入其他综合收益的金融资产</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w:t>
      </w:r>
      <w:r>
        <w:rPr>
          <w:color w:val="000000"/>
          <w:spacing w:val="0"/>
          <w:w w:val="100"/>
          <w:position w:val="0"/>
        </w:rPr>
        <w:t>此类金融资产在其他权益工具投资项目下列报。</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2"/>
        <w:keepNext w:val="0"/>
        <w:keepLines w:val="0"/>
        <w:widowControl w:val="0"/>
        <w:shd w:val="clear" w:color="auto" w:fill="auto"/>
        <w:tabs>
          <w:tab w:pos="774" w:val="left"/>
        </w:tabs>
        <w:bidi w:val="0"/>
        <w:spacing w:before="0" w:after="0"/>
        <w:ind w:left="0" w:right="0"/>
        <w:jc w:val="both"/>
      </w:pPr>
      <w:bookmarkStart w:id="835" w:name="bookmark835"/>
      <w:r>
        <w:rPr>
          <w:rFonts w:ascii="Times New Roman" w:eastAsia="Times New Roman" w:hAnsi="Times New Roman" w:cs="Times New Roman"/>
          <w:color w:val="000000"/>
          <w:spacing w:val="0"/>
          <w:w w:val="100"/>
          <w:position w:val="0"/>
        </w:rPr>
        <w:t>（</w:t>
      </w:r>
      <w:bookmarkEnd w:id="835"/>
      <w:r>
        <w:rPr>
          <w:rFonts w:ascii="Times New Roman" w:eastAsia="Times New Roman" w:hAnsi="Times New Roman" w:cs="Times New Roman"/>
          <w:color w:val="000000"/>
          <w:spacing w:val="0"/>
          <w:w w:val="100"/>
          <w:position w:val="0"/>
        </w:rPr>
        <w:t>4）</w:t>
        <w:tab/>
      </w:r>
      <w:r>
        <w:rPr>
          <w:color w:val="000000"/>
          <w:spacing w:val="0"/>
          <w:w w:val="100"/>
          <w:position w:val="0"/>
        </w:rPr>
        <w:t>分类为以公允价值计量且其变动计入当期损益的金融资产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本公司对此类金融资产根据其流动性在交易性金融资产、其他非流动金融资产项目列报。</w:t>
      </w:r>
    </w:p>
    <w:p>
      <w:pPr>
        <w:pStyle w:val="Style22"/>
        <w:keepNext w:val="0"/>
        <w:keepLines w:val="0"/>
        <w:widowControl w:val="0"/>
        <w:shd w:val="clear" w:color="auto" w:fill="auto"/>
        <w:tabs>
          <w:tab w:pos="774" w:val="left"/>
        </w:tabs>
        <w:bidi w:val="0"/>
        <w:spacing w:before="0" w:after="0"/>
        <w:ind w:left="0" w:right="0"/>
        <w:jc w:val="both"/>
      </w:pPr>
      <w:bookmarkStart w:id="836" w:name="bookmark836"/>
      <w:r>
        <w:rPr>
          <w:rFonts w:ascii="Times New Roman" w:eastAsia="Times New Roman" w:hAnsi="Times New Roman" w:cs="Times New Roman"/>
          <w:color w:val="000000"/>
          <w:spacing w:val="0"/>
          <w:w w:val="100"/>
          <w:position w:val="0"/>
        </w:rPr>
        <w:t>（</w:t>
      </w:r>
      <w:bookmarkEnd w:id="836"/>
      <w:r>
        <w:rPr>
          <w:rFonts w:ascii="Times New Roman" w:eastAsia="Times New Roman" w:hAnsi="Times New Roman" w:cs="Times New Roman"/>
          <w:color w:val="000000"/>
          <w:spacing w:val="0"/>
          <w:w w:val="100"/>
          <w:position w:val="0"/>
        </w:rPr>
        <w:t>5）</w:t>
        <w:tab/>
      </w:r>
      <w:r>
        <w:rPr>
          <w:color w:val="000000"/>
          <w:spacing w:val="0"/>
          <w:w w:val="100"/>
          <w:position w:val="0"/>
        </w:rPr>
        <w:t>指定为以公允价值计量且其变动计入当期损益的金融资产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2"/>
        <w:keepNext w:val="0"/>
        <w:keepLines w:val="0"/>
        <w:widowControl w:val="0"/>
        <w:shd w:val="clear" w:color="auto" w:fill="auto"/>
        <w:tabs>
          <w:tab w:pos="716" w:val="left"/>
        </w:tabs>
        <w:bidi w:val="0"/>
        <w:spacing w:before="0" w:after="0"/>
        <w:ind w:left="0" w:right="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嵌入衍生工具不会对混合合同的现金流量产生重大改变。</w:t>
      </w:r>
    </w:p>
    <w:p>
      <w:pPr>
        <w:pStyle w:val="Style22"/>
        <w:keepNext w:val="0"/>
        <w:keepLines w:val="0"/>
        <w:widowControl w:val="0"/>
        <w:shd w:val="clear" w:color="auto" w:fill="auto"/>
        <w:tabs>
          <w:tab w:pos="691" w:val="left"/>
        </w:tabs>
        <w:bidi w:val="0"/>
        <w:spacing w:before="0" w:after="0" w:line="313" w:lineRule="exact"/>
        <w:ind w:left="0" w:right="0"/>
        <w:jc w:val="both"/>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本公司对此类金融资产根据其流动性在交易性金融资产、其他非流动金融资产项目列报。</w:t>
      </w:r>
    </w:p>
    <w:p>
      <w:pPr>
        <w:pStyle w:val="Style22"/>
        <w:keepNext w:val="0"/>
        <w:keepLines w:val="0"/>
        <w:widowControl w:val="0"/>
        <w:numPr>
          <w:ilvl w:val="0"/>
          <w:numId w:val="31"/>
        </w:numPr>
        <w:shd w:val="clear" w:color="auto" w:fill="auto"/>
        <w:bidi w:val="0"/>
        <w:spacing w:before="0" w:after="0"/>
        <w:ind w:left="0" w:right="0"/>
        <w:jc w:val="both"/>
      </w:pPr>
      <w:bookmarkStart w:id="839" w:name="bookmark839"/>
      <w:bookmarkEnd w:id="839"/>
      <w:r>
        <w:rPr>
          <w:color w:val="000000"/>
          <w:spacing w:val="0"/>
          <w:w w:val="100"/>
          <w:position w:val="0"/>
        </w:rPr>
        <w:t>金融负债的分类、确认和计量</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金融负债的后续计量取决于其分类：</w:t>
      </w:r>
    </w:p>
    <w:p>
      <w:pPr>
        <w:pStyle w:val="Style22"/>
        <w:keepNext w:val="0"/>
        <w:keepLines w:val="0"/>
        <w:widowControl w:val="0"/>
        <w:shd w:val="clear" w:color="auto" w:fill="auto"/>
        <w:tabs>
          <w:tab w:pos="774" w:val="left"/>
        </w:tabs>
        <w:bidi w:val="0"/>
        <w:spacing w:before="0" w:after="0"/>
        <w:ind w:left="0" w:right="0"/>
        <w:jc w:val="both"/>
      </w:pPr>
      <w:bookmarkStart w:id="840" w:name="bookmark840"/>
      <w:r>
        <w:rPr>
          <w:rFonts w:ascii="Times New Roman" w:eastAsia="Times New Roman" w:hAnsi="Times New Roman" w:cs="Times New Roman"/>
          <w:color w:val="000000"/>
          <w:spacing w:val="0"/>
          <w:w w:val="100"/>
          <w:position w:val="0"/>
        </w:rPr>
        <w:t>（</w:t>
      </w:r>
      <w:bookmarkEnd w:id="840"/>
      <w:r>
        <w:rPr>
          <w:rFonts w:ascii="Times New Roman" w:eastAsia="Times New Roman" w:hAnsi="Times New Roman" w:cs="Times New Roman"/>
          <w:color w:val="000000"/>
          <w:spacing w:val="0"/>
          <w:w w:val="100"/>
          <w:position w:val="0"/>
        </w:rPr>
        <w:t>1）</w:t>
        <w:tab/>
      </w:r>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22"/>
        <w:keepNext w:val="0"/>
        <w:keepLines w:val="0"/>
        <w:widowControl w:val="0"/>
        <w:shd w:val="clear" w:color="auto" w:fill="auto"/>
        <w:tabs>
          <w:tab w:pos="697" w:val="left"/>
        </w:tabs>
        <w:bidi w:val="0"/>
        <w:spacing w:before="0" w:after="0"/>
        <w:ind w:left="0" w:right="0"/>
        <w:jc w:val="both"/>
      </w:pPr>
      <w:bookmarkStart w:id="841" w:name="bookmark841"/>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w:t>
        <w:tab/>
      </w:r>
      <w:r>
        <w:rPr>
          <w:color w:val="000000"/>
          <w:spacing w:val="0"/>
          <w:w w:val="100"/>
          <w:position w:val="0"/>
        </w:rPr>
        <w:t>能够消除或显著减少会计错配。</w:t>
      </w:r>
    </w:p>
    <w:p>
      <w:pPr>
        <w:pStyle w:val="Style22"/>
        <w:keepNext w:val="0"/>
        <w:keepLines w:val="0"/>
        <w:widowControl w:val="0"/>
        <w:shd w:val="clear" w:color="auto" w:fill="auto"/>
        <w:tabs>
          <w:tab w:pos="686" w:val="left"/>
        </w:tabs>
        <w:bidi w:val="0"/>
        <w:spacing w:before="0" w:after="0" w:line="313" w:lineRule="exact"/>
        <w:ind w:left="0" w:right="0"/>
        <w:jc w:val="both"/>
      </w:pPr>
      <w:bookmarkStart w:id="842" w:name="bookmark842"/>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w:t>
        <w:tab/>
      </w:r>
      <w:r>
        <w:rPr>
          <w:color w:val="000000"/>
          <w:spacing w:val="0"/>
          <w:w w:val="100"/>
          <w:position w:val="0"/>
        </w:rPr>
        <w:t>根据正式书面文件载明的企业风险管理或投资策略，以公允价值为基础对金融负债组合或金融资产和金融负债组合进 行管理和业绩评价，并在企业内部以此为基础向关键管理人员报告。</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2"/>
        <w:keepNext w:val="0"/>
        <w:keepLines w:val="0"/>
        <w:widowControl w:val="0"/>
        <w:shd w:val="clear" w:color="auto" w:fill="auto"/>
        <w:tabs>
          <w:tab w:pos="774" w:val="left"/>
        </w:tabs>
        <w:bidi w:val="0"/>
        <w:spacing w:before="0" w:after="100"/>
        <w:ind w:left="0" w:right="0"/>
        <w:jc w:val="both"/>
      </w:pPr>
      <w:bookmarkStart w:id="843" w:name="bookmark843"/>
      <w:r>
        <w:rPr>
          <w:rFonts w:ascii="Times New Roman" w:eastAsia="Times New Roman" w:hAnsi="Times New Roman" w:cs="Times New Roman"/>
          <w:color w:val="000000"/>
          <w:spacing w:val="0"/>
          <w:w w:val="100"/>
          <w:position w:val="0"/>
        </w:rPr>
        <w:t>（</w:t>
      </w:r>
      <w:bookmarkEnd w:id="843"/>
      <w:r>
        <w:rPr>
          <w:rFonts w:ascii="Times New Roman" w:eastAsia="Times New Roman" w:hAnsi="Times New Roman" w:cs="Times New Roman"/>
          <w:color w:val="000000"/>
          <w:spacing w:val="0"/>
          <w:w w:val="100"/>
          <w:position w:val="0"/>
        </w:rPr>
        <w:t>2）</w:t>
        <w:tab/>
      </w:r>
      <w:r>
        <w:rPr>
          <w:color w:val="000000"/>
          <w:spacing w:val="0"/>
          <w:w w:val="100"/>
          <w:position w:val="0"/>
        </w:rPr>
        <w:t>其他金融负债</w:t>
      </w:r>
    </w:p>
    <w:p>
      <w:pPr>
        <w:pStyle w:val="Style22"/>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2"/>
        <w:keepNext w:val="0"/>
        <w:keepLines w:val="0"/>
        <w:widowControl w:val="0"/>
        <w:shd w:val="clear" w:color="auto" w:fill="auto"/>
        <w:tabs>
          <w:tab w:pos="690" w:val="left"/>
        </w:tabs>
        <w:bidi w:val="0"/>
        <w:spacing w:before="0" w:after="0"/>
        <w:ind w:left="0" w:right="0" w:firstLine="360"/>
        <w:jc w:val="both"/>
      </w:pPr>
      <w:bookmarkStart w:id="844" w:name="bookmark844"/>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22"/>
        <w:keepNext w:val="0"/>
        <w:keepLines w:val="0"/>
        <w:widowControl w:val="0"/>
        <w:shd w:val="clear" w:color="auto" w:fill="auto"/>
        <w:tabs>
          <w:tab w:pos="709" w:val="left"/>
        </w:tabs>
        <w:bidi w:val="0"/>
        <w:spacing w:before="0" w:after="0"/>
        <w:ind w:left="0" w:right="0" w:firstLine="360"/>
        <w:jc w:val="both"/>
      </w:pPr>
      <w:bookmarkStart w:id="845" w:name="bookmark845"/>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2"/>
        <w:keepNext w:val="0"/>
        <w:keepLines w:val="0"/>
        <w:widowControl w:val="0"/>
        <w:shd w:val="clear" w:color="auto" w:fill="auto"/>
        <w:tabs>
          <w:tab w:pos="709" w:val="left"/>
        </w:tabs>
        <w:bidi w:val="0"/>
        <w:spacing w:before="0" w:after="0"/>
        <w:ind w:left="0" w:right="0" w:firstLine="360"/>
        <w:jc w:val="both"/>
      </w:pPr>
      <w:bookmarkStart w:id="846" w:name="bookmark846"/>
      <w:r>
        <w:rPr>
          <w:rFonts w:ascii="Times New Roman" w:eastAsia="Times New Roman" w:hAnsi="Times New Roman" w:cs="Times New Roman"/>
          <w:color w:val="000000"/>
          <w:spacing w:val="0"/>
          <w:w w:val="100"/>
          <w:position w:val="0"/>
        </w:rPr>
        <w:t>3</w:t>
      </w:r>
      <w:bookmarkEnd w:id="846"/>
      <w:r>
        <w:rPr>
          <w:rFonts w:ascii="Times New Roman" w:eastAsia="Times New Roman" w:hAnsi="Times New Roman" w:cs="Times New Roman"/>
          <w:color w:val="000000"/>
          <w:spacing w:val="0"/>
          <w:w w:val="100"/>
          <w:position w:val="0"/>
        </w:rPr>
        <w:t>）</w:t>
        <w:tab/>
      </w:r>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）类情形的以低于市场利率贷款的贷款承诺。</w:t>
      </w:r>
    </w:p>
    <w:p>
      <w:pPr>
        <w:pStyle w:val="Style22"/>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22"/>
        <w:keepNext w:val="0"/>
        <w:keepLines w:val="0"/>
        <w:widowControl w:val="0"/>
        <w:numPr>
          <w:ilvl w:val="0"/>
          <w:numId w:val="31"/>
        </w:numPr>
        <w:shd w:val="clear" w:color="auto" w:fill="auto"/>
        <w:tabs>
          <w:tab w:pos="670" w:val="left"/>
        </w:tabs>
        <w:bidi w:val="0"/>
        <w:spacing w:before="0" w:after="0"/>
        <w:ind w:left="0" w:right="0" w:firstLine="360"/>
        <w:jc w:val="both"/>
      </w:pPr>
      <w:bookmarkStart w:id="847" w:name="bookmark847"/>
      <w:bookmarkEnd w:id="847"/>
      <w:r>
        <w:rPr>
          <w:color w:val="000000"/>
          <w:spacing w:val="0"/>
          <w:w w:val="100"/>
          <w:position w:val="0"/>
        </w:rPr>
        <w:t>金融资产和金融负债的终止确认</w:t>
      </w:r>
    </w:p>
    <w:p>
      <w:pPr>
        <w:pStyle w:val="Style22"/>
        <w:keepNext w:val="0"/>
        <w:keepLines w:val="0"/>
        <w:widowControl w:val="0"/>
        <w:shd w:val="clear" w:color="auto" w:fill="auto"/>
        <w:tabs>
          <w:tab w:pos="805" w:val="left"/>
        </w:tabs>
        <w:bidi w:val="0"/>
        <w:spacing w:before="0" w:after="100" w:line="316" w:lineRule="exact"/>
        <w:ind w:left="0" w:right="0" w:firstLine="36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22"/>
        <w:keepNext w:val="0"/>
        <w:keepLines w:val="0"/>
        <w:widowControl w:val="0"/>
        <w:shd w:val="clear" w:color="auto" w:fill="auto"/>
        <w:tabs>
          <w:tab w:pos="770" w:val="left"/>
        </w:tabs>
        <w:bidi w:val="0"/>
        <w:spacing w:before="0" w:after="0"/>
        <w:ind w:left="0" w:right="0" w:firstLine="440"/>
        <w:jc w:val="both"/>
      </w:pPr>
      <w:bookmarkStart w:id="849" w:name="bookmark849"/>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w:t>
        <w:tab/>
      </w:r>
      <w:r>
        <w:rPr>
          <w:color w:val="000000"/>
          <w:spacing w:val="0"/>
          <w:w w:val="100"/>
          <w:position w:val="0"/>
        </w:rPr>
        <w:t>收取该金融资产现金流量的合同权利终止。</w:t>
      </w:r>
    </w:p>
    <w:p>
      <w:pPr>
        <w:pStyle w:val="Style22"/>
        <w:keepNext w:val="0"/>
        <w:keepLines w:val="0"/>
        <w:widowControl w:val="0"/>
        <w:shd w:val="clear" w:color="auto" w:fill="auto"/>
        <w:tabs>
          <w:tab w:pos="789" w:val="left"/>
        </w:tabs>
        <w:bidi w:val="0"/>
        <w:spacing w:before="0" w:after="0"/>
        <w:ind w:left="0" w:right="0" w:firstLine="440"/>
        <w:jc w:val="both"/>
      </w:pPr>
      <w:bookmarkStart w:id="850" w:name="bookmark850"/>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w:t>
        <w:tab/>
      </w:r>
      <w:r>
        <w:rPr>
          <w:color w:val="000000"/>
          <w:spacing w:val="0"/>
          <w:w w:val="100"/>
          <w:position w:val="0"/>
        </w:rPr>
        <w:t>该金融资产已转移，且该转移满足金融资产终止确认的规定。</w:t>
      </w:r>
    </w:p>
    <w:p>
      <w:pPr>
        <w:pStyle w:val="Style22"/>
        <w:keepNext w:val="0"/>
        <w:keepLines w:val="0"/>
        <w:widowControl w:val="0"/>
        <w:shd w:val="clear" w:color="auto" w:fill="auto"/>
        <w:tabs>
          <w:tab w:pos="805" w:val="left"/>
        </w:tabs>
        <w:bidi w:val="0"/>
        <w:spacing w:before="0" w:after="0" w:line="316" w:lineRule="exact"/>
        <w:ind w:left="0" w:right="0" w:firstLine="36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2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2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2"/>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22"/>
        <w:keepNext w:val="0"/>
        <w:keepLines w:val="0"/>
        <w:widowControl w:val="0"/>
        <w:numPr>
          <w:ilvl w:val="0"/>
          <w:numId w:val="31"/>
        </w:numPr>
        <w:shd w:val="clear" w:color="auto" w:fill="auto"/>
        <w:tabs>
          <w:tab w:pos="680" w:val="left"/>
        </w:tabs>
        <w:bidi w:val="0"/>
        <w:spacing w:before="0" w:after="0"/>
        <w:ind w:left="0" w:right="0" w:firstLine="360"/>
        <w:jc w:val="both"/>
      </w:pPr>
      <w:bookmarkStart w:id="852" w:name="bookmark852"/>
      <w:bookmarkEnd w:id="852"/>
      <w:r>
        <w:rPr>
          <w:color w:val="000000"/>
          <w:spacing w:val="0"/>
          <w:w w:val="100"/>
          <w:position w:val="0"/>
        </w:rPr>
        <w:t>金融资产转移的确认依据和计量方法</w:t>
      </w:r>
    </w:p>
    <w:p>
      <w:pPr>
        <w:pStyle w:val="Style2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22"/>
        <w:keepNext w:val="0"/>
        <w:keepLines w:val="0"/>
        <w:widowControl w:val="0"/>
        <w:shd w:val="clear" w:color="auto" w:fill="auto"/>
        <w:tabs>
          <w:tab w:pos="762" w:val="left"/>
        </w:tabs>
        <w:bidi w:val="0"/>
        <w:spacing w:before="0" w:after="100" w:line="316" w:lineRule="exact"/>
        <w:ind w:left="0" w:right="0" w:firstLine="360"/>
        <w:jc w:val="both"/>
      </w:pPr>
      <w:bookmarkStart w:id="853" w:name="bookmark853"/>
      <w:r>
        <w:rPr>
          <w:rFonts w:ascii="Times New Roman" w:eastAsia="Times New Roman" w:hAnsi="Times New Roman" w:cs="Times New Roman"/>
          <w:color w:val="000000"/>
          <w:spacing w:val="0"/>
          <w:w w:val="100"/>
          <w:position w:val="0"/>
        </w:rPr>
        <w:t>（</w:t>
      </w:r>
      <w:bookmarkEnd w:id="853"/>
      <w:r>
        <w:rPr>
          <w:rFonts w:ascii="Times New Roman" w:eastAsia="Times New Roman" w:hAnsi="Times New Roman" w:cs="Times New Roman"/>
          <w:color w:val="000000"/>
          <w:spacing w:val="0"/>
          <w:w w:val="100"/>
          <w:position w:val="0"/>
        </w:rPr>
        <w:t>1）</w:t>
        <w:tab/>
      </w:r>
      <w:r>
        <w:rPr>
          <w:color w:val="000000"/>
          <w:spacing w:val="0"/>
          <w:w w:val="100"/>
          <w:position w:val="0"/>
        </w:rPr>
        <w:t>转移了金融资产所有权上几乎所有风险和报酬的，则终止确认该金融资产，并将转移中产生或保留的权利和义务单 独确认为资产或负债。</w:t>
      </w:r>
    </w:p>
    <w:p>
      <w:pPr>
        <w:pStyle w:val="Style22"/>
        <w:keepNext w:val="0"/>
        <w:keepLines w:val="0"/>
        <w:widowControl w:val="0"/>
        <w:shd w:val="clear" w:color="auto" w:fill="auto"/>
        <w:tabs>
          <w:tab w:pos="766" w:val="left"/>
        </w:tabs>
        <w:bidi w:val="0"/>
        <w:spacing w:before="0" w:after="0"/>
        <w:ind w:left="0" w:right="0" w:firstLine="360"/>
        <w:jc w:val="both"/>
      </w:pPr>
      <w:bookmarkStart w:id="854" w:name="bookmark854"/>
      <w:r>
        <w:rPr>
          <w:rFonts w:ascii="Times New Roman" w:eastAsia="Times New Roman" w:hAnsi="Times New Roman" w:cs="Times New Roman"/>
          <w:color w:val="000000"/>
          <w:spacing w:val="0"/>
          <w:w w:val="100"/>
          <w:position w:val="0"/>
        </w:rPr>
        <w:t>（</w:t>
      </w:r>
      <w:bookmarkEnd w:id="854"/>
      <w:r>
        <w:rPr>
          <w:rFonts w:ascii="Times New Roman" w:eastAsia="Times New Roman" w:hAnsi="Times New Roman" w:cs="Times New Roman"/>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22"/>
        <w:keepNext w:val="0"/>
        <w:keepLines w:val="0"/>
        <w:widowControl w:val="0"/>
        <w:shd w:val="clear" w:color="auto" w:fill="auto"/>
        <w:tabs>
          <w:tab w:pos="762" w:val="left"/>
        </w:tabs>
        <w:bidi w:val="0"/>
        <w:spacing w:before="0" w:after="100" w:line="316" w:lineRule="exact"/>
        <w:ind w:left="0" w:right="0" w:firstLine="360"/>
        <w:jc w:val="both"/>
      </w:pPr>
      <w:bookmarkStart w:id="855" w:name="bookmark855"/>
      <w:r>
        <w:rPr>
          <w:rFonts w:ascii="Times New Roman" w:eastAsia="Times New Roman" w:hAnsi="Times New Roman" w:cs="Times New Roman"/>
          <w:color w:val="000000"/>
          <w:spacing w:val="0"/>
          <w:w w:val="100"/>
          <w:position w:val="0"/>
        </w:rPr>
        <w:t>（</w:t>
      </w:r>
      <w:bookmarkEnd w:id="855"/>
      <w:r>
        <w:rPr>
          <w:rFonts w:ascii="Times New Roman" w:eastAsia="Times New Roman" w:hAnsi="Times New Roman" w:cs="Times New Roman"/>
          <w:color w:val="000000"/>
          <w:spacing w:val="0"/>
          <w:w w:val="100"/>
          <w:position w:val="0"/>
        </w:rPr>
        <w:t>3）</w:t>
        <w:tab/>
      </w:r>
      <w:r>
        <w:rPr>
          <w:color w:val="000000"/>
          <w:spacing w:val="0"/>
          <w:w w:val="100"/>
          <w:position w:val="0"/>
        </w:rPr>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）之外的其他情形），则根 据其是否保留了对金融资产的控制，分别下列情形处理：</w:t>
      </w:r>
    </w:p>
    <w:p>
      <w:pPr>
        <w:pStyle w:val="Style22"/>
        <w:keepNext w:val="0"/>
        <w:keepLines w:val="0"/>
        <w:widowControl w:val="0"/>
        <w:shd w:val="clear" w:color="auto" w:fill="auto"/>
        <w:tabs>
          <w:tab w:pos="690" w:val="left"/>
        </w:tabs>
        <w:bidi w:val="0"/>
        <w:spacing w:before="0" w:after="0"/>
        <w:ind w:left="0" w:right="0" w:firstLine="360"/>
        <w:jc w:val="both"/>
      </w:pPr>
      <w:bookmarkStart w:id="856" w:name="bookmark856"/>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w:t>
        <w:tab/>
      </w:r>
      <w:r>
        <w:rPr>
          <w:color w:val="000000"/>
          <w:spacing w:val="0"/>
          <w:w w:val="100"/>
          <w:position w:val="0"/>
        </w:rPr>
        <w:t>未保留对该金融资产控制的，则终止确认该金融资产，并将转移中产生或保留的权利和义务单独确认为资产或负债。</w:t>
      </w:r>
    </w:p>
    <w:p>
      <w:pPr>
        <w:pStyle w:val="Style22"/>
        <w:keepNext w:val="0"/>
        <w:keepLines w:val="0"/>
        <w:widowControl w:val="0"/>
        <w:shd w:val="clear" w:color="auto" w:fill="auto"/>
        <w:tabs>
          <w:tab w:pos="699" w:val="left"/>
        </w:tabs>
        <w:bidi w:val="0"/>
        <w:spacing w:before="0" w:after="0" w:line="316" w:lineRule="exact"/>
        <w:ind w:left="0" w:right="0" w:firstLine="360"/>
        <w:jc w:val="both"/>
      </w:pPr>
      <w:bookmarkStart w:id="857" w:name="bookmark857"/>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w:t>
        <w:tab/>
      </w:r>
      <w:r>
        <w:rPr>
          <w:color w:val="000000"/>
          <w:spacing w:val="0"/>
          <w:w w:val="100"/>
          <w:position w:val="0"/>
        </w:rPr>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22"/>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2"/>
        <w:keepNext w:val="0"/>
        <w:keepLines w:val="0"/>
        <w:widowControl w:val="0"/>
        <w:shd w:val="clear" w:color="auto" w:fill="auto"/>
        <w:tabs>
          <w:tab w:pos="766" w:val="left"/>
        </w:tabs>
        <w:bidi w:val="0"/>
        <w:spacing w:before="0" w:after="0"/>
        <w:ind w:left="0" w:right="0" w:firstLine="360"/>
        <w:jc w:val="both"/>
      </w:pPr>
      <w:bookmarkStart w:id="858" w:name="bookmark858"/>
      <w:r>
        <w:rPr>
          <w:rFonts w:ascii="Times New Roman" w:eastAsia="Times New Roman" w:hAnsi="Times New Roman" w:cs="Times New Roman"/>
          <w:color w:val="000000"/>
          <w:spacing w:val="0"/>
          <w:w w:val="100"/>
          <w:position w:val="0"/>
        </w:rPr>
        <w:t>（</w:t>
      </w:r>
      <w:bookmarkEnd w:id="858"/>
      <w:r>
        <w:rPr>
          <w:rFonts w:ascii="Times New Roman" w:eastAsia="Times New Roman" w:hAnsi="Times New Roman" w:cs="Times New Roman"/>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22"/>
        <w:keepNext w:val="0"/>
        <w:keepLines w:val="0"/>
        <w:widowControl w:val="0"/>
        <w:shd w:val="clear" w:color="auto" w:fill="auto"/>
        <w:tabs>
          <w:tab w:pos="690" w:val="left"/>
        </w:tabs>
        <w:bidi w:val="0"/>
        <w:spacing w:before="0" w:after="0"/>
        <w:ind w:left="0" w:right="0" w:firstLine="360"/>
        <w:jc w:val="both"/>
      </w:pPr>
      <w:bookmarkStart w:id="859" w:name="bookmark859"/>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w:t>
        <w:tab/>
      </w:r>
      <w:r>
        <w:rPr>
          <w:color w:val="000000"/>
          <w:spacing w:val="0"/>
          <w:w w:val="100"/>
          <w:position w:val="0"/>
        </w:rPr>
        <w:t>被转移金融资产在终止确认日的账面价值。</w:t>
      </w:r>
    </w:p>
    <w:p>
      <w:pPr>
        <w:pStyle w:val="Style22"/>
        <w:keepNext w:val="0"/>
        <w:keepLines w:val="0"/>
        <w:widowControl w:val="0"/>
        <w:shd w:val="clear" w:color="auto" w:fill="auto"/>
        <w:tabs>
          <w:tab w:pos="699" w:val="left"/>
        </w:tabs>
        <w:bidi w:val="0"/>
        <w:spacing w:before="0" w:after="0" w:line="316" w:lineRule="exact"/>
        <w:ind w:left="0" w:right="0" w:firstLine="360"/>
        <w:jc w:val="both"/>
      </w:pPr>
      <w:bookmarkStart w:id="860" w:name="bookmark860"/>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w:t>
        <w:tab/>
      </w:r>
      <w:r>
        <w:rPr>
          <w:color w:val="000000"/>
          <w:spacing w:val="0"/>
          <w:w w:val="100"/>
          <w:position w:val="0"/>
        </w:rPr>
        <w:t>因转移金融资产而收到的对价，与原直接计入其他综合收益的公允价值变动累计额中对应终止确认部分的金额（涉及 转移的金融资产为以公允价值计量且其变动计入其他综合收益的金融资产）之和。</w:t>
      </w:r>
    </w:p>
    <w:p>
      <w:pPr>
        <w:pStyle w:val="Style22"/>
        <w:keepNext w:val="0"/>
        <w:keepLines w:val="0"/>
        <w:widowControl w:val="0"/>
        <w:shd w:val="clear" w:color="auto" w:fill="auto"/>
        <w:tabs>
          <w:tab w:pos="762" w:val="left"/>
        </w:tabs>
        <w:bidi w:val="0"/>
        <w:spacing w:before="0" w:after="100" w:line="316" w:lineRule="exact"/>
        <w:ind w:left="0" w:right="0" w:firstLine="360"/>
        <w:jc w:val="both"/>
      </w:pPr>
      <w:bookmarkStart w:id="861" w:name="bookmark861"/>
      <w:r>
        <w:rPr>
          <w:rFonts w:ascii="Times New Roman" w:eastAsia="Times New Roman" w:hAnsi="Times New Roman" w:cs="Times New Roman"/>
          <w:color w:val="000000"/>
          <w:spacing w:val="0"/>
          <w:w w:val="100"/>
          <w:position w:val="0"/>
        </w:rPr>
        <w:t>（</w:t>
      </w:r>
      <w:bookmarkEnd w:id="861"/>
      <w:r>
        <w:rPr>
          <w:rFonts w:ascii="Times New Roman" w:eastAsia="Times New Roman" w:hAnsi="Times New Roman" w:cs="Times New Roman"/>
          <w:color w:val="000000"/>
          <w:spacing w:val="0"/>
          <w:w w:val="100"/>
          <w:position w:val="0"/>
        </w:rPr>
        <w:t>2）</w:t>
        <w:tab/>
      </w:r>
      <w:r>
        <w:rPr>
          <w:color w:val="000000"/>
          <w:spacing w:val="0"/>
          <w:w w:val="100"/>
          <w:position w:val="0"/>
        </w:rPr>
        <w:t>金融资产部分转移且该被转移部分整体满足终止确认条件的，将转移前金融资产整体的账面价值，在终止确认部分 和继续确认部分（在此种情形下，所保留的服务资产应当视同继续确认金融资产的一部分）之间，按照转移日各自的相对公 允价值进行分摊，并将下列两项金额的差额计入当期损益：</w:t>
      </w:r>
    </w:p>
    <w:p>
      <w:pPr>
        <w:pStyle w:val="Style22"/>
        <w:keepNext w:val="0"/>
        <w:keepLines w:val="0"/>
        <w:widowControl w:val="0"/>
        <w:shd w:val="clear" w:color="auto" w:fill="auto"/>
        <w:tabs>
          <w:tab w:pos="690" w:val="left"/>
        </w:tabs>
        <w:bidi w:val="0"/>
        <w:spacing w:before="0" w:after="0"/>
        <w:ind w:left="0" w:right="0" w:firstLine="360"/>
        <w:jc w:val="both"/>
      </w:pPr>
      <w:bookmarkStart w:id="862" w:name="bookmark862"/>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w:t>
        <w:tab/>
      </w:r>
      <w:r>
        <w:rPr>
          <w:color w:val="000000"/>
          <w:spacing w:val="0"/>
          <w:w w:val="100"/>
          <w:position w:val="0"/>
        </w:rPr>
        <w:t>终止确认部分在终止确认日的账面价值。</w:t>
      </w:r>
    </w:p>
    <w:p>
      <w:pPr>
        <w:pStyle w:val="Style22"/>
        <w:keepNext w:val="0"/>
        <w:keepLines w:val="0"/>
        <w:widowControl w:val="0"/>
        <w:shd w:val="clear" w:color="auto" w:fill="auto"/>
        <w:tabs>
          <w:tab w:pos="694" w:val="left"/>
        </w:tabs>
        <w:bidi w:val="0"/>
        <w:spacing w:before="0" w:after="0" w:line="316" w:lineRule="exact"/>
        <w:ind w:left="0" w:right="0" w:firstLine="360"/>
        <w:jc w:val="both"/>
      </w:pPr>
      <w:bookmarkStart w:id="863" w:name="bookmark863"/>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w:t>
        <w:tab/>
      </w:r>
      <w:r>
        <w:rPr>
          <w:color w:val="000000"/>
          <w:spacing w:val="0"/>
          <w:w w:val="100"/>
          <w:position w:val="0"/>
        </w:rPr>
        <w:t>终止确认部分收到的对价，与原计入其他综合收益的公允价值变动累计额中对应终止确认部分的金额（涉及转移的金 融资产为以公允价值计量且其变动计入其他综合收益的金融资产）之和。</w:t>
      </w:r>
    </w:p>
    <w:p>
      <w:pPr>
        <w:pStyle w:val="Style22"/>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2"/>
        <w:keepNext w:val="0"/>
        <w:keepLines w:val="0"/>
        <w:widowControl w:val="0"/>
        <w:numPr>
          <w:ilvl w:val="0"/>
          <w:numId w:val="31"/>
        </w:numPr>
        <w:shd w:val="clear" w:color="auto" w:fill="auto"/>
        <w:tabs>
          <w:tab w:pos="680" w:val="left"/>
        </w:tabs>
        <w:bidi w:val="0"/>
        <w:spacing w:before="0" w:after="100"/>
        <w:ind w:left="0" w:right="0" w:firstLine="360"/>
        <w:jc w:val="both"/>
      </w:pPr>
      <w:bookmarkStart w:id="864" w:name="bookmark864"/>
      <w:bookmarkEnd w:id="864"/>
      <w:r>
        <w:rPr>
          <w:color w:val="000000"/>
          <w:spacing w:val="0"/>
          <w:w w:val="100"/>
          <w:position w:val="0"/>
        </w:rPr>
        <w:t>金融资产和金融负债公允价值的确定方法</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22"/>
        <w:keepNext w:val="0"/>
        <w:keepLines w:val="0"/>
        <w:widowControl w:val="0"/>
        <w:shd w:val="clear" w:color="auto" w:fill="auto"/>
        <w:bidi w:val="0"/>
        <w:spacing w:before="0" w:after="100" w:line="315"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2"/>
        <w:keepNext w:val="0"/>
        <w:keepLines w:val="0"/>
        <w:widowControl w:val="0"/>
        <w:numPr>
          <w:ilvl w:val="0"/>
          <w:numId w:val="31"/>
        </w:numPr>
        <w:shd w:val="clear" w:color="auto" w:fill="auto"/>
        <w:bidi w:val="0"/>
        <w:spacing w:before="0" w:after="0"/>
        <w:ind w:left="0" w:right="0"/>
        <w:jc w:val="both"/>
      </w:pPr>
      <w:bookmarkStart w:id="865" w:name="bookmark865"/>
      <w:bookmarkEnd w:id="865"/>
      <w:r>
        <w:rPr>
          <w:color w:val="000000"/>
          <w:spacing w:val="0"/>
          <w:w w:val="100"/>
          <w:position w:val="0"/>
        </w:rPr>
        <w:t>金融工具减值</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本公司对以摊余成本计量的金融资产、分类为以公允价值计量且其变动计入其他综合收益的金融资产、合同资产以及财 务担保合同以预期信用损失为基础进行减值会计处理并确认损失准备。</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2"/>
        <w:keepNext w:val="0"/>
        <w:keepLines w:val="0"/>
        <w:widowControl w:val="0"/>
        <w:numPr>
          <w:ilvl w:val="0"/>
          <w:numId w:val="39"/>
        </w:numPr>
        <w:shd w:val="clear" w:color="auto" w:fill="auto"/>
        <w:tabs>
          <w:tab w:pos="712" w:val="left"/>
        </w:tabs>
        <w:bidi w:val="0"/>
        <w:spacing w:before="0" w:after="0" w:line="315" w:lineRule="exact"/>
        <w:ind w:left="0" w:right="0"/>
        <w:jc w:val="both"/>
      </w:pPr>
      <w:bookmarkStart w:id="866" w:name="bookmark866"/>
      <w:bookmarkEnd w:id="866"/>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 期信用损失的金额计量其损失准备，并按照账面余额和实际利率计算利息收入。</w:t>
      </w:r>
    </w:p>
    <w:p>
      <w:pPr>
        <w:pStyle w:val="Style22"/>
        <w:keepNext w:val="0"/>
        <w:keepLines w:val="0"/>
        <w:widowControl w:val="0"/>
        <w:numPr>
          <w:ilvl w:val="0"/>
          <w:numId w:val="39"/>
        </w:numPr>
        <w:shd w:val="clear" w:color="auto" w:fill="auto"/>
        <w:tabs>
          <w:tab w:pos="712" w:val="left"/>
        </w:tabs>
        <w:bidi w:val="0"/>
        <w:spacing w:before="0" w:after="0" w:line="315" w:lineRule="exact"/>
        <w:ind w:left="0" w:right="0"/>
        <w:jc w:val="both"/>
      </w:pPr>
      <w:bookmarkStart w:id="867" w:name="bookmark867"/>
      <w:bookmarkEnd w:id="867"/>
      <w:r>
        <w:rPr>
          <w:color w:val="000000"/>
          <w:spacing w:val="0"/>
          <w:w w:val="100"/>
          <w:position w:val="0"/>
        </w:rPr>
        <w:t>如果该金融工具的信用风险自初始确认后已显著增加但尚未发生信用减值的，处于第二阶段，则按照相当于该金融 工具整个存续期内预期信用损失的金额计量其损失准备，并按照账面余额和实际利率计算利息收入。</w:t>
      </w:r>
    </w:p>
    <w:p>
      <w:pPr>
        <w:pStyle w:val="Style22"/>
        <w:keepNext w:val="0"/>
        <w:keepLines w:val="0"/>
        <w:widowControl w:val="0"/>
        <w:numPr>
          <w:ilvl w:val="0"/>
          <w:numId w:val="39"/>
        </w:numPr>
        <w:shd w:val="clear" w:color="auto" w:fill="auto"/>
        <w:tabs>
          <w:tab w:pos="712" w:val="left"/>
        </w:tabs>
        <w:bidi w:val="0"/>
        <w:spacing w:before="0" w:after="0" w:line="315" w:lineRule="exact"/>
        <w:ind w:left="0" w:right="0"/>
        <w:jc w:val="both"/>
      </w:pPr>
      <w:bookmarkStart w:id="868" w:name="bookmark868"/>
      <w:bookmarkEnd w:id="868"/>
      <w:r>
        <w:rPr>
          <w:color w:val="000000"/>
          <w:spacing w:val="0"/>
          <w:w w:val="100"/>
          <w:position w:val="0"/>
        </w:rPr>
        <w:t>如果该金融工具自初始确认后已经发生信用减值的，处于第三阶段，本公司按照相当于该金融工具整个存续期内预 期信用损失的金额计量其损失准备，并按照摊余成本和实际利率计算利息收入。</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22"/>
        <w:keepNext w:val="0"/>
        <w:keepLines w:val="0"/>
        <w:widowControl w:val="0"/>
        <w:shd w:val="clear" w:color="auto" w:fill="auto"/>
        <w:bidi w:val="0"/>
        <w:spacing w:before="0" w:after="100" w:line="315"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内预期信用损失的金额计量该金融工具的损失准备，由此形成的损失准备的转回金额作为减值利得计入当期损益。</w:t>
      </w:r>
    </w:p>
    <w:p>
      <w:pPr>
        <w:pStyle w:val="Style2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信用风险显著增加</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22"/>
        <w:keepNext w:val="0"/>
        <w:keepLines w:val="0"/>
        <w:widowControl w:val="0"/>
        <w:shd w:val="clear" w:color="auto" w:fill="auto"/>
        <w:bidi w:val="0"/>
        <w:spacing w:before="0" w:after="100" w:line="315" w:lineRule="exact"/>
        <w:ind w:left="0" w:right="0"/>
        <w:jc w:val="both"/>
      </w:pPr>
      <w:r>
        <w:rPr>
          <w:color w:val="000000"/>
          <w:spacing w:val="0"/>
          <w:w w:val="100"/>
          <w:position w:val="0"/>
        </w:rPr>
        <w:t>本公司在评估信用风险是否显著增加时会考虑如下因素：</w:t>
      </w:r>
    </w:p>
    <w:p>
      <w:pPr>
        <w:pStyle w:val="Style22"/>
        <w:keepNext w:val="0"/>
        <w:keepLines w:val="0"/>
        <w:widowControl w:val="0"/>
        <w:numPr>
          <w:ilvl w:val="0"/>
          <w:numId w:val="41"/>
        </w:numPr>
        <w:shd w:val="clear" w:color="auto" w:fill="auto"/>
        <w:tabs>
          <w:tab w:pos="660" w:val="left"/>
        </w:tabs>
        <w:bidi w:val="0"/>
        <w:spacing w:before="0" w:after="0"/>
        <w:ind w:left="0" w:right="0"/>
        <w:jc w:val="both"/>
      </w:pPr>
      <w:bookmarkStart w:id="869" w:name="bookmark869"/>
      <w:bookmarkEnd w:id="869"/>
      <w:r>
        <w:rPr>
          <w:color w:val="000000"/>
          <w:spacing w:val="0"/>
          <w:w w:val="100"/>
          <w:position w:val="0"/>
        </w:rPr>
        <w:t>债务人经营成果实际或预期是否发生显著变化；</w:t>
      </w:r>
    </w:p>
    <w:p>
      <w:pPr>
        <w:pStyle w:val="Style22"/>
        <w:keepNext w:val="0"/>
        <w:keepLines w:val="0"/>
        <w:widowControl w:val="0"/>
        <w:numPr>
          <w:ilvl w:val="0"/>
          <w:numId w:val="41"/>
        </w:numPr>
        <w:shd w:val="clear" w:color="auto" w:fill="auto"/>
        <w:tabs>
          <w:tab w:pos="679" w:val="left"/>
        </w:tabs>
        <w:bidi w:val="0"/>
        <w:spacing w:before="0" w:after="0"/>
        <w:ind w:left="0" w:right="0"/>
        <w:jc w:val="both"/>
      </w:pPr>
      <w:bookmarkStart w:id="870" w:name="bookmark870"/>
      <w:bookmarkEnd w:id="870"/>
      <w:r>
        <w:rPr>
          <w:color w:val="000000"/>
          <w:spacing w:val="0"/>
          <w:w w:val="100"/>
          <w:position w:val="0"/>
        </w:rPr>
        <w:t>债务人所处的监管、经济或技术环境是否发生显著不利变化；</w:t>
      </w:r>
    </w:p>
    <w:p>
      <w:pPr>
        <w:pStyle w:val="Style22"/>
        <w:keepNext w:val="0"/>
        <w:keepLines w:val="0"/>
        <w:widowControl w:val="0"/>
        <w:numPr>
          <w:ilvl w:val="0"/>
          <w:numId w:val="41"/>
        </w:numPr>
        <w:shd w:val="clear" w:color="auto" w:fill="auto"/>
        <w:tabs>
          <w:tab w:pos="645" w:val="left"/>
        </w:tabs>
        <w:bidi w:val="0"/>
        <w:spacing w:before="0" w:after="60" w:line="315" w:lineRule="exact"/>
        <w:ind w:left="0" w:right="0"/>
        <w:jc w:val="both"/>
      </w:pPr>
      <w:bookmarkStart w:id="871" w:name="bookmark871"/>
      <w:bookmarkEnd w:id="871"/>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22"/>
        <w:keepNext w:val="0"/>
        <w:keepLines w:val="0"/>
        <w:widowControl w:val="0"/>
        <w:shd w:val="clear" w:color="auto" w:fill="auto"/>
        <w:tabs>
          <w:tab w:pos="729" w:val="left"/>
        </w:tabs>
        <w:bidi w:val="0"/>
        <w:spacing w:before="0" w:after="0" w:line="313" w:lineRule="exact"/>
        <w:ind w:left="0" w:right="0"/>
        <w:jc w:val="both"/>
      </w:pPr>
      <w:bookmarkStart w:id="872" w:name="bookmark872"/>
      <w:r>
        <w:rPr>
          <w:rFonts w:ascii="Times New Roman" w:eastAsia="Times New Roman" w:hAnsi="Times New Roman" w:cs="Times New Roman"/>
          <w:color w:val="000000"/>
          <w:spacing w:val="0"/>
          <w:w w:val="100"/>
          <w:position w:val="0"/>
        </w:rPr>
        <w:t>4</w:t>
      </w:r>
      <w:bookmarkEnd w:id="872"/>
      <w:r>
        <w:rPr>
          <w:rFonts w:ascii="Times New Roman" w:eastAsia="Times New Roman" w:hAnsi="Times New Roman" w:cs="Times New Roman"/>
          <w:color w:val="000000"/>
          <w:spacing w:val="0"/>
          <w:w w:val="100"/>
          <w:position w:val="0"/>
        </w:rPr>
        <w:t>）</w:t>
        <w:tab/>
      </w:r>
      <w:r>
        <w:rPr>
          <w:color w:val="000000"/>
          <w:spacing w:val="0"/>
          <w:w w:val="100"/>
          <w:position w:val="0"/>
        </w:rPr>
        <w:t>债务人预期表现和还款行为是否发生显著变化；</w:t>
      </w:r>
    </w:p>
    <w:p>
      <w:pPr>
        <w:pStyle w:val="Style22"/>
        <w:keepNext w:val="0"/>
        <w:keepLines w:val="0"/>
        <w:widowControl w:val="0"/>
        <w:shd w:val="clear" w:color="auto" w:fill="auto"/>
        <w:tabs>
          <w:tab w:pos="729" w:val="left"/>
        </w:tabs>
        <w:bidi w:val="0"/>
        <w:spacing w:before="0" w:after="0" w:line="313" w:lineRule="exact"/>
        <w:ind w:left="0" w:right="0"/>
        <w:jc w:val="both"/>
      </w:pPr>
      <w:bookmarkStart w:id="873" w:name="bookmark873"/>
      <w:r>
        <w:rPr>
          <w:rFonts w:ascii="Times New Roman" w:eastAsia="Times New Roman" w:hAnsi="Times New Roman" w:cs="Times New Roman"/>
          <w:color w:val="000000"/>
          <w:spacing w:val="0"/>
          <w:w w:val="100"/>
          <w:position w:val="0"/>
        </w:rPr>
        <w:t>5</w:t>
      </w:r>
      <w:bookmarkEnd w:id="873"/>
      <w:r>
        <w:rPr>
          <w:rFonts w:ascii="Times New Roman" w:eastAsia="Times New Roman" w:hAnsi="Times New Roman" w:cs="Times New Roman"/>
          <w:color w:val="000000"/>
          <w:spacing w:val="0"/>
          <w:w w:val="100"/>
          <w:position w:val="0"/>
        </w:rPr>
        <w:t>）</w:t>
        <w:tab/>
      </w:r>
      <w:r>
        <w:rPr>
          <w:color w:val="000000"/>
          <w:spacing w:val="0"/>
          <w:w w:val="100"/>
          <w:position w:val="0"/>
        </w:rPr>
        <w:t>本公司对金融工具信用管理方法是否发生变化等。</w:t>
      </w:r>
    </w:p>
    <w:p>
      <w:pPr>
        <w:pStyle w:val="Style22"/>
        <w:keepNext w:val="0"/>
        <w:keepLines w:val="0"/>
        <w:widowControl w:val="0"/>
        <w:shd w:val="clear" w:color="auto" w:fill="auto"/>
        <w:bidi w:val="0"/>
        <w:spacing w:before="0" w:after="80" w:line="313"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2"/>
        <w:keepNext w:val="0"/>
        <w:keepLines w:val="0"/>
        <w:widowControl w:val="0"/>
        <w:shd w:val="clear" w:color="auto" w:fill="auto"/>
        <w:tabs>
          <w:tab w:pos="786" w:val="left"/>
        </w:tabs>
        <w:bidi w:val="0"/>
        <w:spacing w:before="0" w:after="0"/>
        <w:ind w:left="0" w:right="0"/>
        <w:jc w:val="both"/>
      </w:pPr>
      <w:bookmarkStart w:id="874" w:name="bookmark874"/>
      <w:r>
        <w:rPr>
          <w:rFonts w:ascii="Times New Roman" w:eastAsia="Times New Roman" w:hAnsi="Times New Roman" w:cs="Times New Roman"/>
          <w:color w:val="000000"/>
          <w:spacing w:val="0"/>
          <w:w w:val="100"/>
          <w:position w:val="0"/>
        </w:rPr>
        <w:t>（</w:t>
      </w:r>
      <w:bookmarkEnd w:id="874"/>
      <w:r>
        <w:rPr>
          <w:rFonts w:ascii="Times New Roman" w:eastAsia="Times New Roman" w:hAnsi="Times New Roman" w:cs="Times New Roman"/>
          <w:color w:val="000000"/>
          <w:spacing w:val="0"/>
          <w:w w:val="100"/>
          <w:position w:val="0"/>
        </w:rPr>
        <w:t>2）</w:t>
        <w:tab/>
      </w:r>
      <w:r>
        <w:rPr>
          <w:color w:val="000000"/>
          <w:spacing w:val="0"/>
          <w:w w:val="100"/>
          <w:position w:val="0"/>
        </w:rPr>
        <w:t>已发生信用减值的金融资产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2"/>
        <w:keepNext w:val="0"/>
        <w:keepLines w:val="0"/>
        <w:widowControl w:val="0"/>
        <w:shd w:val="clear" w:color="auto" w:fill="auto"/>
        <w:tabs>
          <w:tab w:pos="710" w:val="left"/>
        </w:tabs>
        <w:bidi w:val="0"/>
        <w:spacing w:before="0" w:after="0" w:line="313" w:lineRule="exact"/>
        <w:ind w:left="0" w:right="0"/>
        <w:jc w:val="both"/>
      </w:pPr>
      <w:bookmarkStart w:id="875" w:name="bookmark875"/>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w:t>
        <w:tab/>
      </w:r>
      <w:r>
        <w:rPr>
          <w:color w:val="000000"/>
          <w:spacing w:val="0"/>
          <w:w w:val="100"/>
          <w:position w:val="0"/>
        </w:rPr>
        <w:t>发行方或债务人发生重大财务困难；</w:t>
      </w:r>
    </w:p>
    <w:p>
      <w:pPr>
        <w:pStyle w:val="Style22"/>
        <w:keepNext w:val="0"/>
        <w:keepLines w:val="0"/>
        <w:widowControl w:val="0"/>
        <w:shd w:val="clear" w:color="auto" w:fill="auto"/>
        <w:tabs>
          <w:tab w:pos="729" w:val="left"/>
        </w:tabs>
        <w:bidi w:val="0"/>
        <w:spacing w:before="0" w:after="0" w:line="313" w:lineRule="exact"/>
        <w:ind w:left="0" w:right="0"/>
        <w:jc w:val="both"/>
      </w:pPr>
      <w:bookmarkStart w:id="876" w:name="bookmark876"/>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w:t>
        <w:tab/>
      </w:r>
      <w:r>
        <w:rPr>
          <w:color w:val="000000"/>
          <w:spacing w:val="0"/>
          <w:w w:val="100"/>
          <w:position w:val="0"/>
        </w:rPr>
        <w:t>债务人违反合同，如偿付利息或本金违约或逾期等；</w:t>
      </w:r>
    </w:p>
    <w:p>
      <w:pPr>
        <w:pStyle w:val="Style22"/>
        <w:keepNext w:val="0"/>
        <w:keepLines w:val="0"/>
        <w:widowControl w:val="0"/>
        <w:shd w:val="clear" w:color="auto" w:fill="auto"/>
        <w:tabs>
          <w:tab w:pos="729" w:val="left"/>
        </w:tabs>
        <w:bidi w:val="0"/>
        <w:spacing w:before="0" w:after="0" w:line="313" w:lineRule="exact"/>
        <w:ind w:left="0" w:right="0"/>
        <w:jc w:val="both"/>
      </w:pPr>
      <w:bookmarkStart w:id="877" w:name="bookmark877"/>
      <w:r>
        <w:rPr>
          <w:rFonts w:ascii="Times New Roman" w:eastAsia="Times New Roman" w:hAnsi="Times New Roman" w:cs="Times New Roman"/>
          <w:color w:val="000000"/>
          <w:spacing w:val="0"/>
          <w:w w:val="100"/>
          <w:position w:val="0"/>
        </w:rPr>
        <w:t>3</w:t>
      </w:r>
      <w:bookmarkEnd w:id="877"/>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债权人出于与债务人财务困难有关的经济或合同考虑，给予债务人在任何其他情况下都不会做出的让步；</w:t>
      </w:r>
    </w:p>
    <w:p>
      <w:pPr>
        <w:pStyle w:val="Style22"/>
        <w:keepNext w:val="0"/>
        <w:keepLines w:val="0"/>
        <w:widowControl w:val="0"/>
        <w:shd w:val="clear" w:color="auto" w:fill="auto"/>
        <w:tabs>
          <w:tab w:pos="729" w:val="left"/>
        </w:tabs>
        <w:bidi w:val="0"/>
        <w:spacing w:before="0" w:after="0" w:line="313" w:lineRule="exact"/>
        <w:ind w:left="0" w:right="0"/>
        <w:jc w:val="both"/>
      </w:pPr>
      <w:bookmarkStart w:id="878" w:name="bookmark878"/>
      <w:r>
        <w:rPr>
          <w:rFonts w:ascii="Times New Roman" w:eastAsia="Times New Roman" w:hAnsi="Times New Roman" w:cs="Times New Roman"/>
          <w:color w:val="000000"/>
          <w:spacing w:val="0"/>
          <w:w w:val="100"/>
          <w:position w:val="0"/>
        </w:rPr>
        <w:t>4</w:t>
      </w:r>
      <w:bookmarkEnd w:id="878"/>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22"/>
        <w:keepNext w:val="0"/>
        <w:keepLines w:val="0"/>
        <w:widowControl w:val="0"/>
        <w:shd w:val="clear" w:color="auto" w:fill="auto"/>
        <w:tabs>
          <w:tab w:pos="729" w:val="left"/>
        </w:tabs>
        <w:bidi w:val="0"/>
        <w:spacing w:before="0" w:after="0" w:line="313" w:lineRule="exact"/>
        <w:ind w:left="0" w:right="0"/>
        <w:jc w:val="both"/>
      </w:pPr>
      <w:bookmarkStart w:id="879" w:name="bookmark879"/>
      <w:r>
        <w:rPr>
          <w:rFonts w:ascii="Times New Roman" w:eastAsia="Times New Roman" w:hAnsi="Times New Roman" w:cs="Times New Roman"/>
          <w:color w:val="000000"/>
          <w:spacing w:val="0"/>
          <w:w w:val="100"/>
          <w:position w:val="0"/>
        </w:rPr>
        <w:t>5</w:t>
      </w:r>
      <w:bookmarkEnd w:id="879"/>
      <w:r>
        <w:rPr>
          <w:rFonts w:ascii="Times New Roman" w:eastAsia="Times New Roman" w:hAnsi="Times New Roman" w:cs="Times New Roman"/>
          <w:color w:val="000000"/>
          <w:spacing w:val="0"/>
          <w:w w:val="100"/>
          <w:position w:val="0"/>
        </w:rPr>
        <w:t>）</w:t>
        <w:tab/>
      </w:r>
      <w:r>
        <w:rPr>
          <w:color w:val="000000"/>
          <w:spacing w:val="0"/>
          <w:w w:val="100"/>
          <w:position w:val="0"/>
        </w:rPr>
        <w:t>发行方或债务人财务困难导致该金融资产的活跃市场消失；</w:t>
      </w:r>
    </w:p>
    <w:p>
      <w:pPr>
        <w:pStyle w:val="Style22"/>
        <w:keepNext w:val="0"/>
        <w:keepLines w:val="0"/>
        <w:widowControl w:val="0"/>
        <w:shd w:val="clear" w:color="auto" w:fill="auto"/>
        <w:tabs>
          <w:tab w:pos="729" w:val="left"/>
        </w:tabs>
        <w:bidi w:val="0"/>
        <w:spacing w:before="0" w:after="0" w:line="313" w:lineRule="exact"/>
        <w:ind w:left="0" w:right="0"/>
        <w:jc w:val="both"/>
      </w:pPr>
      <w:bookmarkStart w:id="880" w:name="bookmark880"/>
      <w:r>
        <w:rPr>
          <w:rFonts w:ascii="Times New Roman" w:eastAsia="Times New Roman" w:hAnsi="Times New Roman" w:cs="Times New Roman"/>
          <w:color w:val="000000"/>
          <w:spacing w:val="0"/>
          <w:w w:val="100"/>
          <w:position w:val="0"/>
        </w:rPr>
        <w:t>6</w:t>
      </w:r>
      <w:bookmarkEnd w:id="880"/>
      <w:r>
        <w:rPr>
          <w:rFonts w:ascii="Times New Roman" w:eastAsia="Times New Roman" w:hAnsi="Times New Roman" w:cs="Times New Roman"/>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22"/>
        <w:keepNext w:val="0"/>
        <w:keepLines w:val="0"/>
        <w:widowControl w:val="0"/>
        <w:shd w:val="clear" w:color="auto" w:fill="auto"/>
        <w:tabs>
          <w:tab w:pos="729" w:val="left"/>
        </w:tabs>
        <w:bidi w:val="0"/>
        <w:spacing w:before="0" w:after="80" w:line="313" w:lineRule="exact"/>
        <w:ind w:left="0" w:right="0"/>
        <w:jc w:val="both"/>
      </w:pPr>
      <w:bookmarkStart w:id="881" w:name="bookmark881"/>
      <w:r>
        <w:rPr>
          <w:rFonts w:ascii="Times New Roman" w:eastAsia="Times New Roman" w:hAnsi="Times New Roman" w:cs="Times New Roman"/>
          <w:color w:val="000000"/>
          <w:spacing w:val="0"/>
          <w:w w:val="100"/>
          <w:position w:val="0"/>
        </w:rPr>
        <w:t>7</w:t>
      </w:r>
      <w:bookmarkEnd w:id="881"/>
      <w:r>
        <w:rPr>
          <w:rFonts w:ascii="Times New Roman" w:eastAsia="Times New Roman" w:hAnsi="Times New Roman" w:cs="Times New Roman"/>
          <w:color w:val="000000"/>
          <w:spacing w:val="0"/>
          <w:w w:val="100"/>
          <w:position w:val="0"/>
        </w:rPr>
        <w:t>）</w:t>
        <w:tab/>
      </w:r>
      <w:r>
        <w:rPr>
          <w:color w:val="000000"/>
          <w:spacing w:val="0"/>
          <w:w w:val="100"/>
          <w:position w:val="0"/>
        </w:rPr>
        <w:t>金融资产发生信用减值，有可能是多个事件的共同作用所致，未必是可单独识别的事件所致。</w:t>
      </w:r>
    </w:p>
    <w:p>
      <w:pPr>
        <w:pStyle w:val="Style22"/>
        <w:keepNext w:val="0"/>
        <w:keepLines w:val="0"/>
        <w:widowControl w:val="0"/>
        <w:shd w:val="clear" w:color="auto" w:fill="auto"/>
        <w:tabs>
          <w:tab w:pos="786" w:val="left"/>
        </w:tabs>
        <w:bidi w:val="0"/>
        <w:spacing w:before="0" w:after="0"/>
        <w:ind w:left="0" w:right="0"/>
        <w:jc w:val="both"/>
      </w:pPr>
      <w:bookmarkStart w:id="882" w:name="bookmark882"/>
      <w:r>
        <w:rPr>
          <w:rFonts w:ascii="Times New Roman" w:eastAsia="Times New Roman" w:hAnsi="Times New Roman" w:cs="Times New Roman"/>
          <w:color w:val="000000"/>
          <w:spacing w:val="0"/>
          <w:w w:val="100"/>
          <w:position w:val="0"/>
        </w:rPr>
        <w:t>（</w:t>
      </w:r>
      <w:bookmarkEnd w:id="882"/>
      <w:r>
        <w:rPr>
          <w:rFonts w:ascii="Times New Roman" w:eastAsia="Times New Roman" w:hAnsi="Times New Roman" w:cs="Times New Roman"/>
          <w:color w:val="000000"/>
          <w:spacing w:val="0"/>
          <w:w w:val="100"/>
          <w:position w:val="0"/>
        </w:rPr>
        <w:t>3）</w:t>
        <w:tab/>
      </w:r>
      <w:r>
        <w:rPr>
          <w:color w:val="000000"/>
          <w:spacing w:val="0"/>
          <w:w w:val="100"/>
          <w:position w:val="0"/>
        </w:rPr>
        <w:t>预期信用损失的确定</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本公司按照下列方法确定相关金融工具的预期信用损失：</w:t>
      </w:r>
    </w:p>
    <w:p>
      <w:pPr>
        <w:pStyle w:val="Style22"/>
        <w:keepNext w:val="0"/>
        <w:keepLines w:val="0"/>
        <w:widowControl w:val="0"/>
        <w:shd w:val="clear" w:color="auto" w:fill="auto"/>
        <w:tabs>
          <w:tab w:pos="710" w:val="left"/>
        </w:tabs>
        <w:bidi w:val="0"/>
        <w:spacing w:before="0" w:after="0" w:line="313" w:lineRule="exact"/>
        <w:ind w:left="0" w:right="0"/>
        <w:jc w:val="both"/>
      </w:pPr>
      <w:bookmarkStart w:id="883" w:name="bookmark883"/>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w:t>
        <w:tab/>
      </w:r>
      <w:r>
        <w:rPr>
          <w:color w:val="000000"/>
          <w:spacing w:val="0"/>
          <w:w w:val="100"/>
          <w:position w:val="0"/>
        </w:rPr>
        <w:t>对于金融资产，信用损失为本公司应收取的合同现金流量与预期收取的现金流量之间差额的现值。</w:t>
      </w:r>
    </w:p>
    <w:p>
      <w:pPr>
        <w:pStyle w:val="Style22"/>
        <w:keepNext w:val="0"/>
        <w:keepLines w:val="0"/>
        <w:widowControl w:val="0"/>
        <w:shd w:val="clear" w:color="auto" w:fill="auto"/>
        <w:tabs>
          <w:tab w:pos="685" w:val="left"/>
        </w:tabs>
        <w:bidi w:val="0"/>
        <w:spacing w:before="0" w:after="0" w:line="313" w:lineRule="exact"/>
        <w:ind w:left="0" w:right="0"/>
        <w:jc w:val="both"/>
      </w:pPr>
      <w:bookmarkStart w:id="884" w:name="bookmark884"/>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w:t>
        <w:tab/>
      </w:r>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22"/>
        <w:keepNext w:val="0"/>
        <w:keepLines w:val="0"/>
        <w:widowControl w:val="0"/>
        <w:shd w:val="clear" w:color="auto" w:fill="auto"/>
        <w:tabs>
          <w:tab w:pos="709" w:val="left"/>
        </w:tabs>
        <w:bidi w:val="0"/>
        <w:spacing w:before="0" w:after="0" w:line="313" w:lineRule="exact"/>
        <w:ind w:left="0" w:right="0"/>
        <w:jc w:val="both"/>
      </w:pPr>
      <w:bookmarkStart w:id="885" w:name="bookmark885"/>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w:t>
        <w:tab/>
      </w:r>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22"/>
        <w:keepNext w:val="0"/>
        <w:keepLines w:val="0"/>
        <w:widowControl w:val="0"/>
        <w:shd w:val="clear" w:color="auto" w:fill="auto"/>
        <w:bidi w:val="0"/>
        <w:spacing w:before="0" w:after="80" w:line="313" w:lineRule="exact"/>
        <w:ind w:left="0" w:right="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2"/>
        <w:keepNext w:val="0"/>
        <w:keepLines w:val="0"/>
        <w:widowControl w:val="0"/>
        <w:shd w:val="clear" w:color="auto" w:fill="auto"/>
        <w:tabs>
          <w:tab w:pos="786" w:val="left"/>
        </w:tabs>
        <w:bidi w:val="0"/>
        <w:spacing w:before="0" w:after="0"/>
        <w:ind w:left="0" w:right="0"/>
        <w:jc w:val="both"/>
      </w:pPr>
      <w:bookmarkStart w:id="886" w:name="bookmark886"/>
      <w:r>
        <w:rPr>
          <w:rFonts w:ascii="Times New Roman" w:eastAsia="Times New Roman" w:hAnsi="Times New Roman" w:cs="Times New Roman"/>
          <w:color w:val="000000"/>
          <w:spacing w:val="0"/>
          <w:w w:val="100"/>
          <w:position w:val="0"/>
        </w:rPr>
        <w:t>（</w:t>
      </w:r>
      <w:bookmarkEnd w:id="886"/>
      <w:r>
        <w:rPr>
          <w:rFonts w:ascii="Times New Roman" w:eastAsia="Times New Roman" w:hAnsi="Times New Roman" w:cs="Times New Roman"/>
          <w:color w:val="000000"/>
          <w:spacing w:val="0"/>
          <w:w w:val="100"/>
          <w:position w:val="0"/>
        </w:rPr>
        <w:t>4）</w:t>
        <w:tab/>
      </w:r>
      <w:r>
        <w:rPr>
          <w:color w:val="000000"/>
          <w:spacing w:val="0"/>
          <w:w w:val="100"/>
          <w:position w:val="0"/>
        </w:rPr>
        <w:t>减记金融资产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22"/>
        <w:keepNext w:val="0"/>
        <w:keepLines w:val="0"/>
        <w:widowControl w:val="0"/>
        <w:numPr>
          <w:ilvl w:val="0"/>
          <w:numId w:val="31"/>
        </w:numPr>
        <w:shd w:val="clear" w:color="auto" w:fill="auto"/>
        <w:bidi w:val="0"/>
        <w:spacing w:before="0" w:after="0" w:line="313" w:lineRule="exact"/>
        <w:ind w:left="0" w:right="0"/>
        <w:jc w:val="both"/>
      </w:pPr>
      <w:bookmarkStart w:id="887" w:name="bookmark887"/>
      <w:bookmarkEnd w:id="887"/>
      <w:r>
        <w:rPr>
          <w:color w:val="000000"/>
          <w:spacing w:val="0"/>
          <w:w w:val="100"/>
          <w:position w:val="0"/>
        </w:rPr>
        <w:t>金融资产及金融负债的抵销</w:t>
      </w:r>
    </w:p>
    <w:p>
      <w:pPr>
        <w:pStyle w:val="Style22"/>
        <w:keepNext w:val="0"/>
        <w:keepLines w:val="0"/>
        <w:widowControl w:val="0"/>
        <w:shd w:val="clear" w:color="auto" w:fill="auto"/>
        <w:bidi w:val="0"/>
        <w:spacing w:before="0" w:after="80" w:line="313"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2"/>
        <w:keepNext w:val="0"/>
        <w:keepLines w:val="0"/>
        <w:widowControl w:val="0"/>
        <w:shd w:val="clear" w:color="auto" w:fill="auto"/>
        <w:bidi w:val="0"/>
        <w:spacing w:before="0" w:after="0" w:line="240" w:lineRule="auto"/>
        <w:ind w:left="0" w:right="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 本公司具有抵销已确认金额的法定权利，且该种法定权利是当前可执行的；</w:t>
      </w:r>
    </w:p>
    <w:p>
      <w:pPr>
        <w:pStyle w:val="Style22"/>
        <w:keepNext w:val="0"/>
        <w:keepLines w:val="0"/>
        <w:widowControl w:val="0"/>
        <w:shd w:val="clear" w:color="auto" w:fill="auto"/>
        <w:tabs>
          <w:tab w:pos="825" w:val="left"/>
        </w:tabs>
        <w:bidi w:val="0"/>
        <w:spacing w:before="0" w:after="400" w:line="313" w:lineRule="exact"/>
        <w:ind w:left="0" w:right="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3"/>
        <w:keepNext/>
        <w:keepLines/>
        <w:widowControl w:val="0"/>
        <w:shd w:val="clear" w:color="auto" w:fill="auto"/>
        <w:bidi w:val="0"/>
        <w:spacing w:before="0" w:after="24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90"/>
      <w:bookmarkEnd w:id="891"/>
      <w:bookmarkEnd w:id="893"/>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）6 .</w:t>
      </w:r>
      <w:r>
        <w:rPr>
          <w:color w:val="000000"/>
          <w:spacing w:val="0"/>
          <w:w w:val="100"/>
          <w:position w:val="0"/>
        </w:rPr>
        <w:t>金融工具减值。</w:t>
      </w:r>
    </w:p>
    <w:p>
      <w:pPr>
        <w:pStyle w:val="Style22"/>
        <w:keepNext w:val="0"/>
        <w:keepLines w:val="0"/>
        <w:widowControl w:val="0"/>
        <w:shd w:val="clear" w:color="auto" w:fill="auto"/>
        <w:bidi w:val="0"/>
        <w:spacing w:before="0" w:after="40" w:line="313" w:lineRule="exact"/>
        <w:ind w:left="0" w:right="0"/>
        <w:jc w:val="both"/>
      </w:pPr>
      <w:r>
        <w:rPr>
          <w:color w:val="000000"/>
          <w:spacing w:val="0"/>
          <w:w w:val="100"/>
          <w:position w:val="0"/>
        </w:rPr>
        <w:t>当在单项工具层面无法以合理成本评估预期信用损失的充分证据时，本公司参考历史信用损失经验，结合当前状况以及</w:t>
      </w:r>
      <w:r>
        <w:br w:type="page"/>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对未来经济状况的判断，依据信用风险特征将应收票据划分为若干组合，在组合基础上计算预期信用损失。确定组合的依据 如下：</w:t>
      </w:r>
    </w:p>
    <w:tbl>
      <w:tblPr>
        <w:tblOverlap w:val="never"/>
        <w:jc w:val="center"/>
        <w:tblLayout w:type="fixed"/>
      </w:tblPr>
      <w:tblGrid>
        <w:gridCol w:w="1613"/>
        <w:gridCol w:w="2909"/>
        <w:gridCol w:w="402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 经济状况的预期计量坏账准备</w:t>
            </w:r>
          </w:p>
        </w:tc>
      </w:tr>
      <w:tr>
        <w:trPr>
          <w:trHeight w:val="67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 经济状况的预期计量坏账准备</w:t>
            </w:r>
          </w:p>
        </w:tc>
      </w:tr>
    </w:tbl>
    <w:p>
      <w:pPr>
        <w:widowControl w:val="0"/>
        <w:spacing w:after="639" w:line="1" w:lineRule="exact"/>
      </w:pPr>
    </w:p>
    <w:p>
      <w:pPr>
        <w:pStyle w:val="Style33"/>
        <w:keepNext/>
        <w:keepLines/>
        <w:widowControl w:val="0"/>
        <w:shd w:val="clear" w:color="auto" w:fill="auto"/>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4"/>
      <w:bookmarkEnd w:id="895"/>
      <w:bookmarkEnd w:id="897"/>
    </w:p>
    <w:p>
      <w:pPr>
        <w:pStyle w:val="Style22"/>
        <w:keepNext w:val="0"/>
        <w:keepLines w:val="0"/>
        <w:widowControl w:val="0"/>
        <w:shd w:val="clear" w:color="auto" w:fill="auto"/>
        <w:bidi w:val="0"/>
        <w:spacing w:before="0" w:after="0" w:line="310" w:lineRule="exact"/>
        <w:ind w:left="0" w:right="0"/>
        <w:jc w:val="left"/>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rPr>
        <w:t xml:space="preserve">/ </w:t>
      </w:r>
      <w:r>
        <w:rPr>
          <w:color w:val="000000"/>
          <w:spacing w:val="0"/>
          <w:w w:val="100"/>
          <w:position w:val="0"/>
        </w:rPr>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2"/>
        <w:keepNext w:val="0"/>
        <w:keepLines w:val="0"/>
        <w:widowControl w:val="0"/>
        <w:shd w:val="clear" w:color="auto" w:fill="auto"/>
        <w:bidi w:val="0"/>
        <w:spacing w:before="0" w:after="0" w:line="310" w:lineRule="exact"/>
        <w:ind w:left="0" w:right="0"/>
        <w:jc w:val="left"/>
      </w:pPr>
      <w:r>
        <w:rPr>
          <w:color w:val="000000"/>
          <w:spacing w:val="0"/>
          <w:w w:val="100"/>
          <w:position w:val="0"/>
        </w:rPr>
        <w:t>本公司对单项金额重大且在初始确认后已经发生信用减值的应收账款单独确定其信用损失。</w:t>
      </w:r>
    </w:p>
    <w:p>
      <w:pPr>
        <w:pStyle w:val="Style22"/>
        <w:keepNext w:val="0"/>
        <w:keepLines w:val="0"/>
        <w:widowControl w:val="0"/>
        <w:shd w:val="clear" w:color="auto" w:fill="auto"/>
        <w:bidi w:val="0"/>
        <w:spacing w:before="0" w:after="6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left"/>
        <w:tblLayout w:type="fixed"/>
      </w:tblPr>
      <w:tblGrid>
        <w:gridCol w:w="1589"/>
        <w:gridCol w:w="2866"/>
        <w:gridCol w:w="39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按账龄与整个存续期预期信用损失率对照表计提</w:t>
            </w:r>
          </w:p>
        </w:tc>
      </w:tr>
      <w:tr>
        <w:trPr>
          <w:trHeight w:val="129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组合二：并表关联方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合并范围内单位之间的应收款项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除明显证据表明存在坏账风险，并对其单项测试计 提减值损失外，本公司参考历史信用损失经验，结 合当前状况以及对未来经济状况的预期，对该组合 计量坏账准备</w:t>
            </w:r>
          </w:p>
        </w:tc>
      </w:tr>
    </w:tbl>
    <w:p>
      <w:pPr>
        <w:widowControl w:val="0"/>
        <w:spacing w:after="639" w:line="1" w:lineRule="exact"/>
      </w:pPr>
    </w:p>
    <w:p>
      <w:pPr>
        <w:pStyle w:val="Style33"/>
        <w:keepNext/>
        <w:keepLines/>
        <w:widowControl w:val="0"/>
        <w:shd w:val="clear" w:color="auto" w:fill="auto"/>
        <w:tabs>
          <w:tab w:pos="474"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8"/>
      <w:bookmarkEnd w:id="899"/>
      <w:bookmarkEnd w:id="901"/>
    </w:p>
    <w:p>
      <w:pPr>
        <w:pStyle w:val="Style22"/>
        <w:keepNext w:val="0"/>
        <w:keepLines w:val="0"/>
        <w:widowControl w:val="0"/>
        <w:shd w:val="clear" w:color="auto" w:fill="auto"/>
        <w:bidi w:val="0"/>
        <w:spacing w:before="0" w:after="380" w:line="310" w:lineRule="exact"/>
        <w:ind w:left="0" w:right="0"/>
        <w:jc w:val="left"/>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rPr>
        <w:t xml:space="preserve">/ </w:t>
      </w:r>
      <w:r>
        <w:rPr>
          <w:color w:val="000000"/>
          <w:spacing w:val="0"/>
          <w:w w:val="100"/>
          <w:position w:val="0"/>
        </w:rPr>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keepLines/>
        <w:widowControl w:val="0"/>
        <w:shd w:val="clear" w:color="auto" w:fill="auto"/>
        <w:tabs>
          <w:tab w:pos="474"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02"/>
      <w:bookmarkEnd w:id="903"/>
      <w:bookmarkEnd w:id="905"/>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rPr>
        <w:t xml:space="preserve">/ </w:t>
      </w:r>
      <w:r>
        <w:rPr>
          <w:color w:val="000000"/>
          <w:spacing w:val="0"/>
          <w:w w:val="100"/>
          <w:position w:val="0"/>
        </w:rPr>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本公司对单项金额重大且在初始确认后已经发生信用减值的其他应收款单独确定其信用损失。</w:t>
      </w:r>
    </w:p>
    <w:p>
      <w:pPr>
        <w:pStyle w:val="Style22"/>
        <w:keepNext w:val="0"/>
        <w:keepLines w:val="0"/>
        <w:widowControl w:val="0"/>
        <w:shd w:val="clear" w:color="auto" w:fill="auto"/>
        <w:bidi w:val="0"/>
        <w:spacing w:before="0" w:after="6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left"/>
        <w:tblLayout w:type="fixed"/>
      </w:tblPr>
      <w:tblGrid>
        <w:gridCol w:w="1872"/>
        <w:gridCol w:w="1867"/>
        <w:gridCol w:w="4685"/>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组合一：押金、备用金、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押金、员工备用金、履 约保证金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除明显证据表明存在坏账风险，并对其单项测试计提减值损 失外，本公司参考历史信用损失经验，结合当前状况以及对 未来经济状况的预期，对该组合计量坏账准备</w:t>
            </w:r>
          </w:p>
        </w:tc>
      </w:tr>
      <w:tr>
        <w:trPr>
          <w:trHeight w:val="98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组合二：并表范围内其 他应收款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除明显证据表明存在坏账风险，并对其单项测试计提减值损 失外，本公司参考历史信用损失经验，结合当前状况以及对 未来经济状况的预期，对该组合计量坏账准备</w:t>
            </w:r>
          </w:p>
        </w:tc>
      </w:tr>
    </w:tbl>
    <w:p>
      <w:pPr>
        <w:widowControl w:val="0"/>
        <w:spacing w:line="1" w:lineRule="exact"/>
      </w:pPr>
    </w:p>
    <w:tbl>
      <w:tblPr>
        <w:tblOverlap w:val="never"/>
        <w:jc w:val="left"/>
        <w:tblLayout w:type="fixed"/>
      </w:tblPr>
      <w:tblGrid>
        <w:gridCol w:w="1872"/>
        <w:gridCol w:w="1867"/>
        <w:gridCol w:w="4685"/>
      </w:tblGrid>
      <w:tr>
        <w:trPr>
          <w:trHeight w:val="98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组合三：除上述组合之 外的其他应收款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除上述组合之外的其他 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本公司参考历史信用损失经验，并结合当前状况以及未来经 济状况的预测，编制组合账龄与未来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 预期信用损失率，计算预期信用损失。</w:t>
            </w:r>
          </w:p>
        </w:tc>
      </w:tr>
    </w:tbl>
    <w:p>
      <w:pPr>
        <w:widowControl w:val="0"/>
        <w:spacing w:after="639" w:line="1" w:lineRule="exact"/>
      </w:pPr>
    </w:p>
    <w:p>
      <w:pPr>
        <w:pStyle w:val="Style33"/>
        <w:keepNext/>
        <w:keepLines/>
        <w:widowControl w:val="0"/>
        <w:shd w:val="clear" w:color="auto" w:fill="auto"/>
        <w:tabs>
          <w:tab w:pos="474"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06"/>
      <w:bookmarkEnd w:id="907"/>
      <w:bookmarkEnd w:id="909"/>
    </w:p>
    <w:p>
      <w:pPr>
        <w:pStyle w:val="Style22"/>
        <w:keepNext w:val="0"/>
        <w:keepLines w:val="0"/>
        <w:widowControl w:val="0"/>
        <w:numPr>
          <w:ilvl w:val="0"/>
          <w:numId w:val="43"/>
        </w:numPr>
        <w:shd w:val="clear" w:color="auto" w:fill="auto"/>
        <w:tabs>
          <w:tab w:pos="601" w:val="left"/>
        </w:tabs>
        <w:bidi w:val="0"/>
        <w:spacing w:before="0" w:after="0" w:line="313" w:lineRule="exact"/>
        <w:ind w:left="0" w:right="0" w:firstLine="300"/>
        <w:jc w:val="left"/>
      </w:pPr>
      <w:bookmarkStart w:id="910" w:name="bookmark910"/>
      <w:bookmarkEnd w:id="910"/>
      <w:r>
        <w:rPr>
          <w:color w:val="000000"/>
          <w:spacing w:val="0"/>
          <w:w w:val="100"/>
          <w:position w:val="0"/>
        </w:rPr>
        <w:t>存货的分类</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耗用的材料和物料等。主要包括原材料、周转材料、库存商品、发出商品及劳务成本等。</w:t>
      </w:r>
    </w:p>
    <w:p>
      <w:pPr>
        <w:pStyle w:val="Style22"/>
        <w:keepNext w:val="0"/>
        <w:keepLines w:val="0"/>
        <w:widowControl w:val="0"/>
        <w:numPr>
          <w:ilvl w:val="0"/>
          <w:numId w:val="43"/>
        </w:numPr>
        <w:shd w:val="clear" w:color="auto" w:fill="auto"/>
        <w:tabs>
          <w:tab w:pos="620" w:val="left"/>
        </w:tabs>
        <w:bidi w:val="0"/>
        <w:spacing w:before="0" w:after="0" w:line="313" w:lineRule="exact"/>
        <w:ind w:left="0" w:right="0" w:firstLine="300"/>
        <w:jc w:val="left"/>
      </w:pPr>
      <w:bookmarkStart w:id="911" w:name="bookmark911"/>
      <w:bookmarkEnd w:id="911"/>
      <w:r>
        <w:rPr>
          <w:color w:val="000000"/>
          <w:spacing w:val="0"/>
          <w:w w:val="100"/>
          <w:position w:val="0"/>
        </w:rPr>
        <w:t>存货的计价方法</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存货在取得时，按成本进行初始计量，包括采购成本、加工成本和其他成本。存货发出时按月末一次加权平均法计价。</w:t>
      </w:r>
    </w:p>
    <w:p>
      <w:pPr>
        <w:pStyle w:val="Style22"/>
        <w:keepNext w:val="0"/>
        <w:keepLines w:val="0"/>
        <w:widowControl w:val="0"/>
        <w:numPr>
          <w:ilvl w:val="0"/>
          <w:numId w:val="43"/>
        </w:numPr>
        <w:shd w:val="clear" w:color="auto" w:fill="auto"/>
        <w:tabs>
          <w:tab w:pos="620" w:val="left"/>
        </w:tabs>
        <w:bidi w:val="0"/>
        <w:spacing w:before="0" w:after="0" w:line="313" w:lineRule="exact"/>
        <w:ind w:left="0" w:right="0" w:firstLine="300"/>
        <w:jc w:val="left"/>
      </w:pPr>
      <w:bookmarkStart w:id="912" w:name="bookmark912"/>
      <w:bookmarkEnd w:id="912"/>
      <w:r>
        <w:rPr>
          <w:color w:val="000000"/>
          <w:spacing w:val="0"/>
          <w:w w:val="100"/>
          <w:position w:val="0"/>
        </w:rPr>
        <w:t>存货可变现净值的确定依据及存货跌价准备的计提方法</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2"/>
        <w:keepNext w:val="0"/>
        <w:keepLines w:val="0"/>
        <w:widowControl w:val="0"/>
        <w:numPr>
          <w:ilvl w:val="0"/>
          <w:numId w:val="43"/>
        </w:numPr>
        <w:shd w:val="clear" w:color="auto" w:fill="auto"/>
        <w:tabs>
          <w:tab w:pos="620" w:val="left"/>
        </w:tabs>
        <w:bidi w:val="0"/>
        <w:spacing w:before="0" w:after="0" w:line="313" w:lineRule="exact"/>
        <w:ind w:left="0" w:right="0" w:firstLine="300"/>
        <w:jc w:val="left"/>
      </w:pPr>
      <w:bookmarkStart w:id="913" w:name="bookmark913"/>
      <w:bookmarkEnd w:id="913"/>
      <w:r>
        <w:rPr>
          <w:color w:val="000000"/>
          <w:spacing w:val="0"/>
          <w:w w:val="100"/>
          <w:position w:val="0"/>
        </w:rPr>
        <w:t>存货的盘存制度</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采用永续盘存制</w:t>
      </w:r>
    </w:p>
    <w:p>
      <w:pPr>
        <w:pStyle w:val="Style22"/>
        <w:keepNext w:val="0"/>
        <w:keepLines w:val="0"/>
        <w:widowControl w:val="0"/>
        <w:numPr>
          <w:ilvl w:val="0"/>
          <w:numId w:val="43"/>
        </w:numPr>
        <w:shd w:val="clear" w:color="auto" w:fill="auto"/>
        <w:bidi w:val="0"/>
        <w:spacing w:before="0" w:after="0" w:line="313" w:lineRule="exact"/>
        <w:ind w:left="0" w:right="0"/>
        <w:jc w:val="both"/>
      </w:pPr>
      <w:bookmarkStart w:id="914" w:name="bookmark914"/>
      <w:bookmarkEnd w:id="914"/>
      <w:r>
        <w:rPr>
          <w:color w:val="000000"/>
          <w:spacing w:val="0"/>
          <w:w w:val="100"/>
          <w:position w:val="0"/>
        </w:rPr>
        <w:t>低值易耗品和包装物的摊销方法</w:t>
      </w:r>
    </w:p>
    <w:p>
      <w:pPr>
        <w:pStyle w:val="Style22"/>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采用一次转销法</w:t>
      </w:r>
    </w:p>
    <w:p>
      <w:pPr>
        <w:pStyle w:val="Style33"/>
        <w:keepNext/>
        <w:keepLines/>
        <w:widowControl w:val="0"/>
        <w:shd w:val="clear" w:color="auto" w:fill="auto"/>
        <w:tabs>
          <w:tab w:pos="474" w:val="left"/>
        </w:tabs>
        <w:bidi w:val="0"/>
        <w:spacing w:before="0" w:after="2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15"/>
      <w:bookmarkEnd w:id="916"/>
      <w:bookmarkEnd w:id="918"/>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rPr>
        <w:t xml:space="preserve">/ </w:t>
      </w:r>
      <w:r>
        <w:rPr>
          <w:color w:val="000000"/>
          <w:spacing w:val="0"/>
          <w:w w:val="100"/>
          <w:position w:val="0"/>
        </w:rPr>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keepLines/>
        <w:widowControl w:val="0"/>
        <w:shd w:val="clear" w:color="auto" w:fill="auto"/>
        <w:tabs>
          <w:tab w:pos="474" w:val="left"/>
        </w:tabs>
        <w:bidi w:val="0"/>
        <w:spacing w:before="0" w:after="2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19"/>
      <w:bookmarkEnd w:id="920"/>
      <w:bookmarkEnd w:id="922"/>
    </w:p>
    <w:p>
      <w:pPr>
        <w:pStyle w:val="Style22"/>
        <w:keepNext w:val="0"/>
        <w:keepLines w:val="0"/>
        <w:widowControl w:val="0"/>
        <w:numPr>
          <w:ilvl w:val="0"/>
          <w:numId w:val="45"/>
        </w:numPr>
        <w:shd w:val="clear" w:color="auto" w:fill="auto"/>
        <w:bidi w:val="0"/>
        <w:spacing w:before="0" w:after="0" w:line="314" w:lineRule="exact"/>
        <w:ind w:left="0" w:right="0"/>
        <w:jc w:val="both"/>
      </w:pPr>
      <w:bookmarkStart w:id="923" w:name="bookmark923"/>
      <w:bookmarkEnd w:id="923"/>
      <w:r>
        <w:rPr>
          <w:color w:val="000000"/>
          <w:spacing w:val="0"/>
          <w:w w:val="100"/>
          <w:position w:val="0"/>
        </w:rPr>
        <w:t>合同履约成本</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2"/>
        <w:keepNext w:val="0"/>
        <w:keepLines w:val="0"/>
        <w:widowControl w:val="0"/>
        <w:shd w:val="clear" w:color="auto" w:fill="auto"/>
        <w:tabs>
          <w:tab w:pos="901" w:val="left"/>
        </w:tabs>
        <w:bidi w:val="0"/>
        <w:spacing w:before="0" w:after="0" w:line="314" w:lineRule="exact"/>
        <w:ind w:left="0" w:right="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2"/>
        <w:keepNext w:val="0"/>
        <w:keepLines w:val="0"/>
        <w:widowControl w:val="0"/>
        <w:shd w:val="clear" w:color="auto" w:fill="auto"/>
        <w:tabs>
          <w:tab w:pos="825" w:val="left"/>
        </w:tabs>
        <w:bidi w:val="0"/>
        <w:spacing w:before="0" w:after="0" w:line="314"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22"/>
        <w:keepNext w:val="0"/>
        <w:keepLines w:val="0"/>
        <w:widowControl w:val="0"/>
        <w:shd w:val="clear" w:color="auto" w:fill="auto"/>
        <w:tabs>
          <w:tab w:pos="825" w:val="left"/>
        </w:tabs>
        <w:bidi w:val="0"/>
        <w:spacing w:before="0" w:after="280" w:line="314"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2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该资产根据其初始确认时摊销期限是否超过一个正常营业周期在存货或其他非流动资产中列报。</w:t>
      </w:r>
    </w:p>
    <w:p>
      <w:pPr>
        <w:pStyle w:val="Style22"/>
        <w:keepNext w:val="0"/>
        <w:keepLines w:val="0"/>
        <w:widowControl w:val="0"/>
        <w:numPr>
          <w:ilvl w:val="0"/>
          <w:numId w:val="45"/>
        </w:numPr>
        <w:shd w:val="clear" w:color="auto" w:fill="auto"/>
        <w:tabs>
          <w:tab w:pos="660" w:val="left"/>
        </w:tabs>
        <w:bidi w:val="0"/>
        <w:spacing w:before="0" w:after="0"/>
        <w:ind w:left="0" w:right="0" w:firstLine="340"/>
        <w:jc w:val="both"/>
      </w:pPr>
      <w:bookmarkStart w:id="927" w:name="bookmark927"/>
      <w:bookmarkEnd w:id="927"/>
      <w:r>
        <w:rPr>
          <w:color w:val="000000"/>
          <w:spacing w:val="0"/>
          <w:w w:val="100"/>
          <w:position w:val="0"/>
        </w:rPr>
        <w:t>合同取得成本</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2"/>
        <w:keepNext w:val="0"/>
        <w:keepLines w:val="0"/>
        <w:widowControl w:val="0"/>
        <w:numPr>
          <w:ilvl w:val="0"/>
          <w:numId w:val="45"/>
        </w:numPr>
        <w:shd w:val="clear" w:color="auto" w:fill="auto"/>
        <w:tabs>
          <w:tab w:pos="700" w:val="left"/>
        </w:tabs>
        <w:bidi w:val="0"/>
        <w:spacing w:before="0" w:after="0"/>
        <w:ind w:left="0" w:right="0"/>
        <w:jc w:val="both"/>
      </w:pPr>
      <w:bookmarkStart w:id="928" w:name="bookmark928"/>
      <w:bookmarkEnd w:id="928"/>
      <w:r>
        <w:rPr>
          <w:color w:val="000000"/>
          <w:spacing w:val="0"/>
          <w:w w:val="100"/>
          <w:position w:val="0"/>
        </w:rPr>
        <w:t>合同成本摊销</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2"/>
        <w:keepNext w:val="0"/>
        <w:keepLines w:val="0"/>
        <w:widowControl w:val="0"/>
        <w:numPr>
          <w:ilvl w:val="0"/>
          <w:numId w:val="45"/>
        </w:numPr>
        <w:shd w:val="clear" w:color="auto" w:fill="auto"/>
        <w:tabs>
          <w:tab w:pos="700" w:val="left"/>
        </w:tabs>
        <w:bidi w:val="0"/>
        <w:spacing w:before="0" w:after="0"/>
        <w:ind w:left="0" w:right="0"/>
        <w:jc w:val="both"/>
      </w:pPr>
      <w:bookmarkStart w:id="929" w:name="bookmark929"/>
      <w:bookmarkEnd w:id="929"/>
      <w:r>
        <w:rPr>
          <w:color w:val="000000"/>
          <w:spacing w:val="0"/>
          <w:w w:val="100"/>
          <w:position w:val="0"/>
        </w:rPr>
        <w:t>合同成本减值</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计提减值准备后，如果以前期间减值的因素发生变化，使得上述两项差额高于该资产账面价值的，转回原已计提的资产减值 准备，并计入当期损益，但转回后的资产账面价值不超过假定不计提减值准备情况下该资产在转回日的账面价值。</w:t>
      </w:r>
    </w:p>
    <w:p>
      <w:pPr>
        <w:pStyle w:val="Style33"/>
        <w:keepNext/>
        <w:keepLines/>
        <w:widowControl w:val="0"/>
        <w:shd w:val="clear" w:color="auto" w:fill="auto"/>
        <w:tabs>
          <w:tab w:pos="474" w:val="left"/>
        </w:tabs>
        <w:bidi w:val="0"/>
        <w:spacing w:before="0" w:after="380" w:line="240" w:lineRule="auto"/>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30"/>
      <w:bookmarkEnd w:id="931"/>
      <w:bookmarkEnd w:id="933"/>
    </w:p>
    <w:p>
      <w:pPr>
        <w:pStyle w:val="Style22"/>
        <w:keepNext w:val="0"/>
        <w:keepLines w:val="0"/>
        <w:widowControl w:val="0"/>
        <w:numPr>
          <w:ilvl w:val="0"/>
          <w:numId w:val="47"/>
        </w:numPr>
        <w:shd w:val="clear" w:color="auto" w:fill="auto"/>
        <w:bidi w:val="0"/>
        <w:spacing w:before="0" w:after="0"/>
        <w:ind w:left="0" w:right="0" w:firstLine="340"/>
        <w:jc w:val="left"/>
      </w:pPr>
      <w:bookmarkStart w:id="934" w:name="bookmark934"/>
      <w:bookmarkEnd w:id="934"/>
      <w:r>
        <w:rPr>
          <w:color w:val="000000"/>
          <w:spacing w:val="0"/>
          <w:w w:val="100"/>
          <w:position w:val="0"/>
        </w:rPr>
        <w:t>划分为持有待售确认标准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公司将同时满足下列条件的非流动资产或处置组确认为持有待售组成部分：</w:t>
      </w:r>
    </w:p>
    <w:p>
      <w:pPr>
        <w:pStyle w:val="Style22"/>
        <w:keepNext w:val="0"/>
        <w:keepLines w:val="0"/>
        <w:widowControl w:val="0"/>
        <w:shd w:val="clear" w:color="auto" w:fill="auto"/>
        <w:tabs>
          <w:tab w:pos="825" w:val="left"/>
        </w:tabs>
        <w:bidi w:val="0"/>
        <w:spacing w:before="0" w:after="0" w:line="313" w:lineRule="exact"/>
        <w:ind w:left="0" w:right="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22"/>
        <w:keepNext w:val="0"/>
        <w:keepLines w:val="0"/>
        <w:widowControl w:val="0"/>
        <w:shd w:val="clear" w:color="auto" w:fill="auto"/>
        <w:tabs>
          <w:tab w:pos="825" w:val="left"/>
        </w:tabs>
        <w:bidi w:val="0"/>
        <w:spacing w:before="0" w:after="0" w:line="313" w:lineRule="exact"/>
        <w:ind w:left="0" w:right="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出售极可能发生，即公司已经就一项出售计划作出决议，且获得确定的购买承诺，预计出售将在一年内完成。</w:t>
      </w:r>
    </w:p>
    <w:p>
      <w:pPr>
        <w:pStyle w:val="Style22"/>
        <w:keepNext w:val="0"/>
        <w:keepLines w:val="0"/>
        <w:widowControl w:val="0"/>
        <w:shd w:val="clear" w:color="auto" w:fill="auto"/>
        <w:bidi w:val="0"/>
        <w:spacing w:before="0" w:after="140" w:line="317" w:lineRule="exact"/>
        <w:ind w:left="0" w:right="0"/>
        <w:jc w:val="both"/>
      </w:pPr>
      <w:r>
        <w:rPr>
          <w:color w:val="000000"/>
          <w:spacing w:val="0"/>
          <w:w w:val="100"/>
          <w:position w:val="0"/>
        </w:rPr>
        <w:t>确定的购买承诺，是指公司与其他方签订的具有法律约束力的购买协议，该协议包含交易价格、时间和足够严厉的违约 惩罚等重要条款，使协议出现重大调整或者撤销的可能性极小。</w:t>
      </w:r>
    </w:p>
    <w:p>
      <w:pPr>
        <w:pStyle w:val="Style22"/>
        <w:keepNext w:val="0"/>
        <w:keepLines w:val="0"/>
        <w:widowControl w:val="0"/>
        <w:numPr>
          <w:ilvl w:val="0"/>
          <w:numId w:val="47"/>
        </w:numPr>
        <w:shd w:val="clear" w:color="auto" w:fill="auto"/>
        <w:bidi w:val="0"/>
        <w:spacing w:before="0" w:after="0"/>
        <w:ind w:left="0" w:right="0" w:firstLine="300"/>
        <w:jc w:val="left"/>
      </w:pPr>
      <w:bookmarkStart w:id="937" w:name="bookmark937"/>
      <w:bookmarkEnd w:id="937"/>
      <w:r>
        <w:rPr>
          <w:color w:val="000000"/>
          <w:spacing w:val="0"/>
          <w:w w:val="100"/>
          <w:position w:val="0"/>
        </w:rPr>
        <w:t>持有待售核算方法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公司对于持有待售的非流动资产或处置组不计提折旧或摊销，其账面价值高于公允价值减去出售费用后的净额的，应当 将账面价值减记至公允价值减去出售费用后的净额，减记的金额确认为资产减值损失，计入当期损益，同时计提持有待售资 产减值准备。</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3"/>
        <w:keepNext/>
        <w:keepLines/>
        <w:widowControl w:val="0"/>
        <w:shd w:val="clear" w:color="auto" w:fill="auto"/>
        <w:tabs>
          <w:tab w:pos="474" w:val="left"/>
        </w:tabs>
        <w:bidi w:val="0"/>
        <w:spacing w:before="0" w:after="3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8"/>
      <w:bookmarkEnd w:id="939"/>
      <w:bookmarkEnd w:id="941"/>
    </w:p>
    <w:p>
      <w:pPr>
        <w:pStyle w:val="Style33"/>
        <w:keepNext/>
        <w:keepLines/>
        <w:widowControl w:val="0"/>
        <w:shd w:val="clear" w:color="auto" w:fill="auto"/>
        <w:tabs>
          <w:tab w:pos="483" w:val="left"/>
        </w:tabs>
        <w:bidi w:val="0"/>
        <w:spacing w:before="0" w:after="260" w:line="240" w:lineRule="auto"/>
        <w:ind w:left="0" w:right="0" w:firstLine="0"/>
        <w:jc w:val="both"/>
      </w:pPr>
      <w:bookmarkStart w:id="938" w:name="bookmark938"/>
      <w:bookmarkStart w:id="939" w:name="bookmark939"/>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8"/>
      <w:bookmarkEnd w:id="939"/>
      <w:bookmarkEnd w:id="943"/>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rPr>
        <w:t xml:space="preserve">/ </w:t>
      </w:r>
      <w:r>
        <w:rPr>
          <w:color w:val="000000"/>
          <w:spacing w:val="0"/>
          <w:w w:val="100"/>
          <w:position w:val="0"/>
        </w:rPr>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keepLines/>
        <w:widowControl w:val="0"/>
        <w:shd w:val="clear" w:color="auto" w:fill="auto"/>
        <w:tabs>
          <w:tab w:pos="483" w:val="left"/>
        </w:tabs>
        <w:bidi w:val="0"/>
        <w:spacing w:before="0" w:after="38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44"/>
      <w:bookmarkEnd w:id="945"/>
      <w:bookmarkEnd w:id="947"/>
    </w:p>
    <w:p>
      <w:pPr>
        <w:pStyle w:val="Style33"/>
        <w:keepNext/>
        <w:keepLines/>
        <w:widowControl w:val="0"/>
        <w:shd w:val="clear" w:color="auto" w:fill="auto"/>
        <w:tabs>
          <w:tab w:pos="483" w:val="left"/>
        </w:tabs>
        <w:bidi w:val="0"/>
        <w:spacing w:before="0" w:after="380" w:line="240" w:lineRule="auto"/>
        <w:ind w:left="0" w:right="0" w:firstLine="0"/>
        <w:jc w:val="both"/>
      </w:pPr>
      <w:bookmarkStart w:id="944" w:name="bookmark944"/>
      <w:bookmarkStart w:id="945" w:name="bookmark945"/>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44"/>
      <w:bookmarkEnd w:id="945"/>
      <w:bookmarkEnd w:id="949"/>
    </w:p>
    <w:p>
      <w:pPr>
        <w:pStyle w:val="Style22"/>
        <w:keepNext w:val="0"/>
        <w:keepLines w:val="0"/>
        <w:widowControl w:val="0"/>
        <w:numPr>
          <w:ilvl w:val="0"/>
          <w:numId w:val="49"/>
        </w:numPr>
        <w:shd w:val="clear" w:color="auto" w:fill="auto"/>
        <w:bidi w:val="0"/>
        <w:spacing w:before="0" w:after="0" w:line="374" w:lineRule="auto"/>
        <w:ind w:left="0" w:right="0" w:firstLine="440"/>
        <w:jc w:val="both"/>
      </w:pPr>
      <w:bookmarkStart w:id="950" w:name="bookmark950"/>
      <w:bookmarkEnd w:id="950"/>
      <w:r>
        <w:rPr>
          <w:color w:val="000000"/>
          <w:spacing w:val="0"/>
          <w:w w:val="100"/>
          <w:position w:val="0"/>
        </w:rPr>
        <w:t>初始投资成本的确定</w:t>
      </w:r>
    </w:p>
    <w:p>
      <w:pPr>
        <w:pStyle w:val="Style22"/>
        <w:keepNext w:val="0"/>
        <w:keepLines w:val="0"/>
        <w:widowControl w:val="0"/>
        <w:shd w:val="clear" w:color="auto" w:fill="auto"/>
        <w:bidi w:val="0"/>
        <w:spacing w:before="0" w:after="200" w:line="322"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）企业合并形成的长期股权投资，具体会计政策详见本附注五/（五）同一控制下和非同一控制下企业合并的会计 处理方法。</w:t>
      </w:r>
    </w:p>
    <w:p>
      <w:pPr>
        <w:pStyle w:val="Style22"/>
        <w:keepNext w:val="0"/>
        <w:keepLines w:val="0"/>
        <w:widowControl w:val="0"/>
        <w:shd w:val="clear" w:color="auto" w:fill="auto"/>
        <w:bidi w:val="0"/>
        <w:spacing w:before="0" w:after="0" w:line="312" w:lineRule="exact"/>
        <w:ind w:left="0" w:right="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通过债务重组取得的长期股权投资，其初始投资成本按照公允价值为基础确定。</w:t>
      </w:r>
    </w:p>
    <w:p>
      <w:pPr>
        <w:pStyle w:val="Style22"/>
        <w:keepNext w:val="0"/>
        <w:keepLines w:val="0"/>
        <w:widowControl w:val="0"/>
        <w:numPr>
          <w:ilvl w:val="0"/>
          <w:numId w:val="49"/>
        </w:numPr>
        <w:shd w:val="clear" w:color="auto" w:fill="auto"/>
        <w:tabs>
          <w:tab w:pos="725" w:val="left"/>
        </w:tabs>
        <w:bidi w:val="0"/>
        <w:spacing w:before="0" w:after="0"/>
        <w:ind w:left="0" w:right="0" w:firstLine="440"/>
        <w:jc w:val="both"/>
      </w:pPr>
      <w:bookmarkStart w:id="953" w:name="bookmark953"/>
      <w:bookmarkEnd w:id="953"/>
      <w:r>
        <w:rPr>
          <w:color w:val="000000"/>
          <w:spacing w:val="0"/>
          <w:w w:val="100"/>
          <w:position w:val="0"/>
        </w:rPr>
        <w:t>后续计量及损益确认</w:t>
      </w:r>
    </w:p>
    <w:p>
      <w:pPr>
        <w:pStyle w:val="Style22"/>
        <w:keepNext w:val="0"/>
        <w:keepLines w:val="0"/>
        <w:widowControl w:val="0"/>
        <w:shd w:val="clear" w:color="auto" w:fill="auto"/>
        <w:tabs>
          <w:tab w:pos="790" w:val="left"/>
        </w:tabs>
        <w:bidi w:val="0"/>
        <w:spacing w:before="0" w:after="0" w:line="312" w:lineRule="exact"/>
        <w:ind w:left="0" w:right="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2"/>
        <w:keepNext w:val="0"/>
        <w:keepLines w:val="0"/>
        <w:widowControl w:val="0"/>
        <w:shd w:val="clear" w:color="auto" w:fill="auto"/>
        <w:tabs>
          <w:tab w:pos="790" w:val="left"/>
        </w:tabs>
        <w:bidi w:val="0"/>
        <w:spacing w:before="0" w:after="0" w:line="312" w:lineRule="exact"/>
        <w:ind w:left="0" w:right="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2"/>
        <w:keepNext w:val="0"/>
        <w:keepLines w:val="0"/>
        <w:widowControl w:val="0"/>
        <w:numPr>
          <w:ilvl w:val="0"/>
          <w:numId w:val="49"/>
        </w:numPr>
        <w:shd w:val="clear" w:color="auto" w:fill="auto"/>
        <w:tabs>
          <w:tab w:pos="725" w:val="left"/>
        </w:tabs>
        <w:bidi w:val="0"/>
        <w:spacing w:before="0" w:after="0"/>
        <w:ind w:left="0" w:right="0" w:firstLine="440"/>
        <w:jc w:val="both"/>
      </w:pPr>
      <w:bookmarkStart w:id="956" w:name="bookmark956"/>
      <w:bookmarkEnd w:id="956"/>
      <w:r>
        <w:rPr>
          <w:color w:val="000000"/>
          <w:spacing w:val="0"/>
          <w:w w:val="100"/>
          <w:position w:val="0"/>
        </w:rPr>
        <w:t>长期股权投资核算方法的转换</w:t>
      </w:r>
    </w:p>
    <w:p>
      <w:pPr>
        <w:pStyle w:val="Style22"/>
        <w:keepNext w:val="0"/>
        <w:keepLines w:val="0"/>
        <w:widowControl w:val="0"/>
        <w:shd w:val="clear" w:color="auto" w:fill="auto"/>
        <w:tabs>
          <w:tab w:pos="845" w:val="left"/>
        </w:tabs>
        <w:bidi w:val="0"/>
        <w:spacing w:before="0" w:after="0" w:line="312"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公允价值计量转权益法核算</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2"/>
        <w:keepNext w:val="0"/>
        <w:keepLines w:val="0"/>
        <w:widowControl w:val="0"/>
        <w:shd w:val="clear" w:color="auto" w:fill="auto"/>
        <w:tabs>
          <w:tab w:pos="845" w:val="left"/>
        </w:tabs>
        <w:bidi w:val="0"/>
        <w:spacing w:before="0" w:after="0" w:line="312" w:lineRule="exact"/>
        <w:ind w:left="0" w:right="0" w:firstLine="44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22"/>
        <w:keepNext w:val="0"/>
        <w:keepLines w:val="0"/>
        <w:widowControl w:val="0"/>
        <w:shd w:val="clear" w:color="auto" w:fill="auto"/>
        <w:bidi w:val="0"/>
        <w:spacing w:before="0" w:after="40" w:line="312"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号——金融工具确认和计量》核算，其在丧失共同控制或重大影响之日的公允价值与账面价值之间的差额计入当期损 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 理，其在丧失控制之日的公允价值与账面价值间的差额计入当期损益。</w:t>
      </w:r>
    </w:p>
    <w:p>
      <w:pPr>
        <w:pStyle w:val="Style22"/>
        <w:keepNext w:val="0"/>
        <w:keepLines w:val="0"/>
        <w:widowControl w:val="0"/>
        <w:numPr>
          <w:ilvl w:val="0"/>
          <w:numId w:val="49"/>
        </w:numPr>
        <w:shd w:val="clear" w:color="auto" w:fill="auto"/>
        <w:bidi w:val="0"/>
        <w:spacing w:before="0" w:after="0"/>
        <w:ind w:left="0" w:right="0" w:firstLine="440"/>
        <w:jc w:val="both"/>
      </w:pPr>
      <w:bookmarkStart w:id="962" w:name="bookmark962"/>
      <w:bookmarkEnd w:id="962"/>
      <w:r>
        <w:rPr>
          <w:color w:val="000000"/>
          <w:spacing w:val="0"/>
          <w:w w:val="100"/>
          <w:position w:val="0"/>
        </w:rPr>
        <w:t>长期股权投资的处置</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2"/>
        <w:keepNext w:val="0"/>
        <w:keepLines w:val="0"/>
        <w:widowControl w:val="0"/>
        <w:shd w:val="clear" w:color="auto" w:fill="auto"/>
        <w:tabs>
          <w:tab w:pos="841" w:val="left"/>
        </w:tabs>
        <w:bidi w:val="0"/>
        <w:spacing w:before="0" w:after="0" w:line="313"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2"/>
        <w:keepNext w:val="0"/>
        <w:keepLines w:val="0"/>
        <w:widowControl w:val="0"/>
        <w:shd w:val="clear" w:color="auto" w:fill="auto"/>
        <w:bidi w:val="0"/>
        <w:spacing w:before="0" w:after="0" w:line="313" w:lineRule="exact"/>
        <w:ind w:left="0" w:right="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 和计量》的有关规定进行会计处理，其在丧失控制之日的公允价值与账面价值间的差额计入当期损益。</w:t>
      </w:r>
    </w:p>
    <w:p>
      <w:pPr>
        <w:pStyle w:val="Style22"/>
        <w:keepNext w:val="0"/>
        <w:keepLines w:val="0"/>
        <w:widowControl w:val="0"/>
        <w:shd w:val="clear" w:color="auto" w:fill="auto"/>
        <w:tabs>
          <w:tab w:pos="862" w:val="left"/>
        </w:tabs>
        <w:bidi w:val="0"/>
        <w:spacing w:before="0" w:after="0" w:line="313" w:lineRule="exact"/>
        <w:ind w:left="0" w:right="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2"/>
        <w:keepNext w:val="0"/>
        <w:keepLines w:val="0"/>
        <w:widowControl w:val="0"/>
        <w:shd w:val="clear" w:color="auto" w:fill="auto"/>
        <w:tabs>
          <w:tab w:pos="867" w:val="left"/>
        </w:tabs>
        <w:bidi w:val="0"/>
        <w:spacing w:before="0" w:after="0" w:line="313"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22"/>
        <w:keepNext w:val="0"/>
        <w:keepLines w:val="0"/>
        <w:widowControl w:val="0"/>
        <w:shd w:val="clear" w:color="auto" w:fill="auto"/>
        <w:tabs>
          <w:tab w:pos="406" w:val="left"/>
        </w:tabs>
        <w:bidi w:val="0"/>
        <w:spacing w:before="0" w:after="100" w:line="313" w:lineRule="exact"/>
        <w:ind w:left="0" w:right="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在合并财务报表中，在丧失控制权之前每一次处置价款与处置投资对应的享有该子公司净资产份额的差额，确认 </w:t>
      </w:r>
      <w:r>
        <w:rPr>
          <w:color w:val="000000"/>
          <w:spacing w:val="0"/>
          <w:w w:val="100"/>
          <w:position w:val="0"/>
        </w:rPr>
        <w:t>为其他综合收益，在丧失控制权时一并转入丧失控制权当期的损益。</w:t>
      </w:r>
    </w:p>
    <w:p>
      <w:pPr>
        <w:pStyle w:val="Style22"/>
        <w:keepNext w:val="0"/>
        <w:keepLines w:val="0"/>
        <w:widowControl w:val="0"/>
        <w:numPr>
          <w:ilvl w:val="0"/>
          <w:numId w:val="49"/>
        </w:numPr>
        <w:shd w:val="clear" w:color="auto" w:fill="auto"/>
        <w:bidi w:val="0"/>
        <w:spacing w:before="0" w:after="0"/>
        <w:ind w:left="0" w:right="0" w:firstLine="440"/>
        <w:jc w:val="both"/>
      </w:pPr>
      <w:bookmarkStart w:id="971" w:name="bookmark971"/>
      <w:bookmarkEnd w:id="971"/>
      <w:r>
        <w:rPr>
          <w:color w:val="000000"/>
          <w:spacing w:val="0"/>
          <w:w w:val="100"/>
          <w:position w:val="0"/>
        </w:rPr>
        <w:t>共同控制、重大影响的判断标准</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2"/>
        <w:keepNext w:val="0"/>
        <w:keepLines w:val="0"/>
        <w:widowControl w:val="0"/>
        <w:shd w:val="clear" w:color="auto" w:fill="auto"/>
        <w:bidi w:val="0"/>
        <w:spacing w:before="0" w:after="380" w:line="311"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3"/>
        <w:keepNext/>
        <w:keepLines/>
        <w:widowControl w:val="0"/>
        <w:shd w:val="clear" w:color="auto" w:fill="auto"/>
        <w:bidi w:val="0"/>
        <w:spacing w:before="0" w:after="2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72"/>
      <w:bookmarkEnd w:id="973"/>
      <w:bookmarkEnd w:id="975"/>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成本法计量</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折旧或摊销方法</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left"/>
        <w:tblLayout w:type="fixed"/>
      </w:tblPr>
      <w:tblGrid>
        <w:gridCol w:w="1997"/>
        <w:gridCol w:w="1982"/>
        <w:gridCol w:w="2270"/>
        <w:gridCol w:w="2155"/>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color w:val="000000"/>
                <w:spacing w:val="0"/>
                <w:w w:val="100"/>
                <w:position w:val="0"/>
              </w:rPr>
              <w:t>％</w:t>
            </w: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w:t>
            </w:r>
          </w:p>
        </w:tc>
      </w:tr>
    </w:tbl>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3"/>
        <w:keepNext/>
        <w:keepLines/>
        <w:widowControl w:val="0"/>
        <w:shd w:val="clear" w:color="auto" w:fill="auto"/>
        <w:bidi w:val="0"/>
        <w:spacing w:before="0" w:after="3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76"/>
      <w:bookmarkEnd w:id="977"/>
      <w:bookmarkEnd w:id="979"/>
    </w:p>
    <w:p>
      <w:pPr>
        <w:pStyle w:val="Style33"/>
        <w:keepNext/>
        <w:keepLines/>
        <w:widowControl w:val="0"/>
        <w:shd w:val="clear" w:color="auto" w:fill="auto"/>
        <w:bidi w:val="0"/>
        <w:spacing w:before="0" w:after="280" w:line="240" w:lineRule="auto"/>
        <w:ind w:left="0" w:right="0" w:firstLine="0"/>
        <w:jc w:val="left"/>
      </w:pPr>
      <w:bookmarkStart w:id="976" w:name="bookmark976"/>
      <w:bookmarkStart w:id="977" w:name="bookmark977"/>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76"/>
      <w:bookmarkEnd w:id="977"/>
      <w:bookmarkEnd w:id="981"/>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2"/>
        <w:keepNext w:val="0"/>
        <w:keepLines w:val="0"/>
        <w:widowControl w:val="0"/>
        <w:shd w:val="clear" w:color="auto" w:fill="auto"/>
        <w:tabs>
          <w:tab w:pos="817" w:val="left"/>
        </w:tabs>
        <w:bidi w:val="0"/>
        <w:spacing w:before="0" w:after="0" w:line="312" w:lineRule="exact"/>
        <w:ind w:left="0" w:right="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2"/>
        <w:keepNext w:val="0"/>
        <w:keepLines w:val="0"/>
        <w:widowControl w:val="0"/>
        <w:shd w:val="clear" w:color="auto" w:fill="auto"/>
        <w:tabs>
          <w:tab w:pos="817" w:val="left"/>
        </w:tabs>
        <w:bidi w:val="0"/>
        <w:spacing w:before="0" w:after="60" w:line="312" w:lineRule="exact"/>
        <w:ind w:left="0" w:right="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3"/>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4"/>
      <w:bookmarkEnd w:id="985"/>
      <w:bookmarkEnd w:id="987"/>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19.00%-23.75%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19.00%-23.75%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88"/>
      <w:bookmarkEnd w:id="989"/>
      <w:bookmarkEnd w:id="991"/>
    </w:p>
    <w:p>
      <w:pPr>
        <w:pStyle w:val="Style33"/>
        <w:keepNext/>
        <w:keepLines/>
        <w:widowControl w:val="0"/>
        <w:shd w:val="clear" w:color="auto" w:fill="auto"/>
        <w:tabs>
          <w:tab w:pos="493" w:val="left"/>
        </w:tabs>
        <w:bidi w:val="0"/>
        <w:spacing w:before="0" w:after="400" w:line="240" w:lineRule="auto"/>
        <w:ind w:left="0" w:right="0" w:firstLine="0"/>
        <w:jc w:val="left"/>
      </w:pPr>
      <w:bookmarkStart w:id="988" w:name="bookmark988"/>
      <w:bookmarkStart w:id="989" w:name="bookmark989"/>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88"/>
      <w:bookmarkEnd w:id="989"/>
      <w:bookmarkEnd w:id="993"/>
    </w:p>
    <w:p>
      <w:pPr>
        <w:pStyle w:val="Style22"/>
        <w:keepNext w:val="0"/>
        <w:keepLines w:val="0"/>
        <w:widowControl w:val="0"/>
        <w:numPr>
          <w:ilvl w:val="0"/>
          <w:numId w:val="51"/>
        </w:numPr>
        <w:shd w:val="clear" w:color="auto" w:fill="auto"/>
        <w:tabs>
          <w:tab w:pos="681" w:val="left"/>
        </w:tabs>
        <w:bidi w:val="0"/>
        <w:spacing w:before="0" w:after="0"/>
        <w:ind w:left="0" w:right="0"/>
        <w:jc w:val="left"/>
      </w:pPr>
      <w:bookmarkStart w:id="994" w:name="bookmark994"/>
      <w:bookmarkEnd w:id="994"/>
      <w:r>
        <w:rPr>
          <w:color w:val="000000"/>
          <w:spacing w:val="0"/>
          <w:w w:val="100"/>
          <w:position w:val="0"/>
        </w:rPr>
        <w:t>在建工程初始计量</w:t>
      </w:r>
    </w:p>
    <w:p>
      <w:pPr>
        <w:pStyle w:val="Style22"/>
        <w:keepNext w:val="0"/>
        <w:keepLines w:val="0"/>
        <w:widowControl w:val="0"/>
        <w:shd w:val="clear" w:color="auto" w:fill="auto"/>
        <w:bidi w:val="0"/>
        <w:spacing w:before="0" w:after="100" w:line="313"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2"/>
        <w:keepNext w:val="0"/>
        <w:keepLines w:val="0"/>
        <w:widowControl w:val="0"/>
        <w:numPr>
          <w:ilvl w:val="0"/>
          <w:numId w:val="51"/>
        </w:numPr>
        <w:shd w:val="clear" w:color="auto" w:fill="auto"/>
        <w:tabs>
          <w:tab w:pos="700" w:val="left"/>
        </w:tabs>
        <w:bidi w:val="0"/>
        <w:spacing w:before="0" w:after="0"/>
        <w:ind w:left="0" w:right="0"/>
        <w:jc w:val="left"/>
      </w:pPr>
      <w:bookmarkStart w:id="995" w:name="bookmark995"/>
      <w:bookmarkEnd w:id="995"/>
      <w:r>
        <w:rPr>
          <w:color w:val="000000"/>
          <w:spacing w:val="0"/>
          <w:w w:val="100"/>
          <w:position w:val="0"/>
        </w:rPr>
        <w:t>在建工程结转为固定资产的标准和时点</w:t>
      </w:r>
    </w:p>
    <w:p>
      <w:pPr>
        <w:pStyle w:val="Style22"/>
        <w:keepNext w:val="0"/>
        <w:keepLines w:val="0"/>
        <w:widowControl w:val="0"/>
        <w:shd w:val="clear" w:color="auto" w:fill="auto"/>
        <w:bidi w:val="0"/>
        <w:spacing w:before="0" w:after="400" w:line="313"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3"/>
        <w:keepNext/>
        <w:keepLines/>
        <w:widowControl w:val="0"/>
        <w:shd w:val="clear" w:color="auto" w:fill="auto"/>
        <w:tabs>
          <w:tab w:pos="493" w:val="left"/>
        </w:tabs>
        <w:bidi w:val="0"/>
        <w:spacing w:before="0" w:after="40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96"/>
      <w:bookmarkEnd w:id="997"/>
      <w:bookmarkEnd w:id="999"/>
    </w:p>
    <w:p>
      <w:pPr>
        <w:pStyle w:val="Style22"/>
        <w:keepNext w:val="0"/>
        <w:keepLines w:val="0"/>
        <w:widowControl w:val="0"/>
        <w:numPr>
          <w:ilvl w:val="0"/>
          <w:numId w:val="53"/>
        </w:numPr>
        <w:shd w:val="clear" w:color="auto" w:fill="auto"/>
        <w:tabs>
          <w:tab w:pos="681" w:val="left"/>
        </w:tabs>
        <w:bidi w:val="0"/>
        <w:spacing w:before="0" w:after="0"/>
        <w:ind w:left="0" w:right="0"/>
        <w:jc w:val="left"/>
      </w:pPr>
      <w:bookmarkStart w:id="1000" w:name="bookmark1000"/>
      <w:bookmarkEnd w:id="1000"/>
      <w:r>
        <w:rPr>
          <w:color w:val="000000"/>
          <w:spacing w:val="0"/>
          <w:w w:val="100"/>
          <w:position w:val="0"/>
        </w:rPr>
        <w:t>借款费用资本化的确认原则</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借款费用同时满足下列条件时开始资本化：</w:t>
      </w:r>
    </w:p>
    <w:p>
      <w:pPr>
        <w:pStyle w:val="Style22"/>
        <w:keepNext w:val="0"/>
        <w:keepLines w:val="0"/>
        <w:widowControl w:val="0"/>
        <w:shd w:val="clear" w:color="auto" w:fill="auto"/>
        <w:tabs>
          <w:tab w:pos="901" w:val="left"/>
        </w:tabs>
        <w:bidi w:val="0"/>
        <w:spacing w:before="0" w:after="0" w:line="316" w:lineRule="exact"/>
        <w:ind w:left="0" w:right="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2"/>
        <w:keepNext w:val="0"/>
        <w:keepLines w:val="0"/>
        <w:widowControl w:val="0"/>
        <w:shd w:val="clear" w:color="auto" w:fill="auto"/>
        <w:tabs>
          <w:tab w:pos="825" w:val="left"/>
        </w:tabs>
        <w:bidi w:val="0"/>
        <w:spacing w:before="0" w:after="0" w:line="316" w:lineRule="exact"/>
        <w:ind w:left="0" w:right="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2"/>
        <w:keepNext w:val="0"/>
        <w:keepLines w:val="0"/>
        <w:widowControl w:val="0"/>
        <w:shd w:val="clear" w:color="auto" w:fill="auto"/>
        <w:tabs>
          <w:tab w:pos="825" w:val="left"/>
        </w:tabs>
        <w:bidi w:val="0"/>
        <w:spacing w:before="0" w:after="100" w:line="316" w:lineRule="exact"/>
        <w:ind w:left="0" w:right="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2"/>
        <w:keepNext w:val="0"/>
        <w:keepLines w:val="0"/>
        <w:widowControl w:val="0"/>
        <w:numPr>
          <w:ilvl w:val="0"/>
          <w:numId w:val="53"/>
        </w:numPr>
        <w:shd w:val="clear" w:color="auto" w:fill="auto"/>
        <w:tabs>
          <w:tab w:pos="700" w:val="left"/>
        </w:tabs>
        <w:bidi w:val="0"/>
        <w:spacing w:before="0" w:after="0"/>
        <w:ind w:left="0" w:right="0"/>
        <w:jc w:val="both"/>
      </w:pPr>
      <w:bookmarkStart w:id="1004" w:name="bookmark1004"/>
      <w:bookmarkEnd w:id="1004"/>
      <w:r>
        <w:rPr>
          <w:color w:val="000000"/>
          <w:spacing w:val="0"/>
          <w:w w:val="100"/>
          <w:position w:val="0"/>
        </w:rPr>
        <w:t>借款费用资本化期间</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2"/>
        <w:keepNext w:val="0"/>
        <w:keepLines w:val="0"/>
        <w:widowControl w:val="0"/>
        <w:shd w:val="clear" w:color="auto" w:fill="auto"/>
        <w:bidi w:val="0"/>
        <w:spacing w:before="0" w:after="100" w:line="316"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2"/>
        <w:keepNext w:val="0"/>
        <w:keepLines w:val="0"/>
        <w:widowControl w:val="0"/>
        <w:numPr>
          <w:ilvl w:val="0"/>
          <w:numId w:val="53"/>
        </w:numPr>
        <w:shd w:val="clear" w:color="auto" w:fill="auto"/>
        <w:tabs>
          <w:tab w:pos="700" w:val="left"/>
        </w:tabs>
        <w:bidi w:val="0"/>
        <w:spacing w:before="0" w:after="0"/>
        <w:ind w:left="0" w:right="0"/>
        <w:jc w:val="left"/>
      </w:pPr>
      <w:bookmarkStart w:id="1005" w:name="bookmark1005"/>
      <w:bookmarkEnd w:id="1005"/>
      <w:r>
        <w:rPr>
          <w:color w:val="000000"/>
          <w:spacing w:val="0"/>
          <w:w w:val="100"/>
          <w:position w:val="0"/>
        </w:rPr>
        <w:t>暂停资本化期间</w:t>
      </w:r>
    </w:p>
    <w:p>
      <w:pPr>
        <w:pStyle w:val="Style22"/>
        <w:keepNext w:val="0"/>
        <w:keepLines w:val="0"/>
        <w:widowControl w:val="0"/>
        <w:shd w:val="clear" w:color="auto" w:fill="auto"/>
        <w:bidi w:val="0"/>
        <w:spacing w:before="0" w:after="36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2"/>
        <w:keepNext w:val="0"/>
        <w:keepLines w:val="0"/>
        <w:widowControl w:val="0"/>
        <w:numPr>
          <w:ilvl w:val="0"/>
          <w:numId w:val="53"/>
        </w:numPr>
        <w:shd w:val="clear" w:color="auto" w:fill="auto"/>
        <w:bidi w:val="0"/>
        <w:spacing w:before="0" w:after="0" w:line="312" w:lineRule="exact"/>
        <w:ind w:left="0" w:right="0"/>
        <w:jc w:val="both"/>
      </w:pPr>
      <w:bookmarkStart w:id="1006" w:name="bookmark1006"/>
      <w:bookmarkEnd w:id="1006"/>
      <w:r>
        <w:rPr>
          <w:color w:val="000000"/>
          <w:spacing w:val="0"/>
          <w:w w:val="100"/>
          <w:position w:val="0"/>
        </w:rPr>
        <w:t>借款费用资本化金额的计算方法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3"/>
        <w:keepNext/>
        <w:keepLines/>
        <w:widowControl w:val="0"/>
        <w:shd w:val="clear" w:color="auto" w:fill="auto"/>
        <w:tabs>
          <w:tab w:pos="483"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07"/>
      <w:bookmarkEnd w:id="1008"/>
      <w:bookmarkEnd w:id="1010"/>
    </w:p>
    <w:p>
      <w:pPr>
        <w:pStyle w:val="Style33"/>
        <w:keepNext/>
        <w:keepLines/>
        <w:widowControl w:val="0"/>
        <w:shd w:val="clear" w:color="auto" w:fill="auto"/>
        <w:tabs>
          <w:tab w:pos="483" w:val="left"/>
        </w:tabs>
        <w:bidi w:val="0"/>
        <w:spacing w:before="0" w:line="240" w:lineRule="auto"/>
        <w:ind w:left="0" w:right="0" w:firstLine="0"/>
        <w:jc w:val="left"/>
      </w:pPr>
      <w:bookmarkStart w:id="1007" w:name="bookmark1007"/>
      <w:bookmarkStart w:id="1008" w:name="bookmark1008"/>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07"/>
      <w:bookmarkEnd w:id="1008"/>
      <w:bookmarkEnd w:id="1012"/>
    </w:p>
    <w:p>
      <w:pPr>
        <w:pStyle w:val="Style33"/>
        <w:keepNext/>
        <w:keepLines/>
        <w:widowControl w:val="0"/>
        <w:shd w:val="clear" w:color="auto" w:fill="auto"/>
        <w:tabs>
          <w:tab w:pos="483" w:val="left"/>
        </w:tabs>
        <w:bidi w:val="0"/>
        <w:spacing w:before="0" w:after="280" w:line="240" w:lineRule="auto"/>
        <w:ind w:left="0" w:right="0" w:firstLine="0"/>
        <w:jc w:val="left"/>
      </w:pPr>
      <w:bookmarkStart w:id="1007" w:name="bookmark1007"/>
      <w:bookmarkStart w:id="1008" w:name="bookmark1008"/>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07"/>
      <w:bookmarkEnd w:id="1008"/>
      <w:bookmarkEnd w:id="1014"/>
    </w:p>
    <w:p>
      <w:pPr>
        <w:pStyle w:val="Style22"/>
        <w:keepNext w:val="0"/>
        <w:keepLines w:val="0"/>
        <w:widowControl w:val="0"/>
        <w:shd w:val="clear" w:color="auto" w:fill="auto"/>
        <w:bidi w:val="0"/>
        <w:spacing w:before="0" w:after="100" w:line="317" w:lineRule="exact"/>
        <w:ind w:left="0" w:right="0"/>
        <w:jc w:val="left"/>
      </w:pPr>
      <w:r>
        <w:rPr>
          <w:color w:val="000000"/>
          <w:spacing w:val="0"/>
          <w:w w:val="100"/>
          <w:position w:val="0"/>
        </w:rPr>
        <w:t>本公司对使用权资产按照成本进行初始计量，该成本包括：</w:t>
      </w:r>
    </w:p>
    <w:p>
      <w:pPr>
        <w:pStyle w:val="Style22"/>
        <w:keepNext w:val="0"/>
        <w:keepLines w:val="0"/>
        <w:widowControl w:val="0"/>
        <w:numPr>
          <w:ilvl w:val="0"/>
          <w:numId w:val="55"/>
        </w:numPr>
        <w:shd w:val="clear" w:color="auto" w:fill="auto"/>
        <w:tabs>
          <w:tab w:pos="681" w:val="left"/>
        </w:tabs>
        <w:bidi w:val="0"/>
        <w:spacing w:before="0" w:after="0"/>
        <w:ind w:left="0" w:right="0"/>
        <w:jc w:val="left"/>
      </w:pPr>
      <w:bookmarkStart w:id="1015" w:name="bookmark1015"/>
      <w:bookmarkEnd w:id="1015"/>
      <w:r>
        <w:rPr>
          <w:color w:val="000000"/>
          <w:spacing w:val="0"/>
          <w:w w:val="100"/>
          <w:position w:val="0"/>
        </w:rPr>
        <w:t>租赁负债的初始计量金额；</w:t>
      </w:r>
    </w:p>
    <w:p>
      <w:pPr>
        <w:pStyle w:val="Style22"/>
        <w:keepNext w:val="0"/>
        <w:keepLines w:val="0"/>
        <w:widowControl w:val="0"/>
        <w:numPr>
          <w:ilvl w:val="0"/>
          <w:numId w:val="55"/>
        </w:numPr>
        <w:shd w:val="clear" w:color="auto" w:fill="auto"/>
        <w:tabs>
          <w:tab w:pos="700" w:val="left"/>
        </w:tabs>
        <w:bidi w:val="0"/>
        <w:spacing w:before="0" w:after="0"/>
        <w:ind w:left="0" w:right="0"/>
        <w:jc w:val="left"/>
      </w:pPr>
      <w:bookmarkStart w:id="1016" w:name="bookmark1016"/>
      <w:bookmarkEnd w:id="1016"/>
      <w:r>
        <w:rPr>
          <w:color w:val="000000"/>
          <w:spacing w:val="0"/>
          <w:w w:val="100"/>
          <w:position w:val="0"/>
        </w:rPr>
        <w:t>在租赁期开始日或之前支付的租赁付款额，存在租赁激励的，扣除已享受的租赁激励相关金额；</w:t>
      </w:r>
    </w:p>
    <w:p>
      <w:pPr>
        <w:pStyle w:val="Style22"/>
        <w:keepNext w:val="0"/>
        <w:keepLines w:val="0"/>
        <w:widowControl w:val="0"/>
        <w:numPr>
          <w:ilvl w:val="0"/>
          <w:numId w:val="55"/>
        </w:numPr>
        <w:shd w:val="clear" w:color="auto" w:fill="auto"/>
        <w:tabs>
          <w:tab w:pos="700" w:val="left"/>
        </w:tabs>
        <w:bidi w:val="0"/>
        <w:spacing w:before="0" w:after="0"/>
        <w:ind w:left="0" w:right="0"/>
        <w:jc w:val="left"/>
      </w:pPr>
      <w:bookmarkStart w:id="1017" w:name="bookmark1017"/>
      <w:bookmarkEnd w:id="1017"/>
      <w:r>
        <w:rPr>
          <w:color w:val="000000"/>
          <w:spacing w:val="0"/>
          <w:w w:val="100"/>
          <w:position w:val="0"/>
        </w:rPr>
        <w:t>本公司发生的初始直接费用；</w:t>
      </w:r>
    </w:p>
    <w:p>
      <w:pPr>
        <w:pStyle w:val="Style22"/>
        <w:keepNext w:val="0"/>
        <w:keepLines w:val="0"/>
        <w:widowControl w:val="0"/>
        <w:numPr>
          <w:ilvl w:val="0"/>
          <w:numId w:val="55"/>
        </w:numPr>
        <w:shd w:val="clear" w:color="auto" w:fill="auto"/>
        <w:bidi w:val="0"/>
        <w:spacing w:before="0" w:after="0" w:line="317" w:lineRule="exact"/>
        <w:ind w:left="0" w:right="0"/>
        <w:jc w:val="both"/>
      </w:pPr>
      <w:bookmarkStart w:id="1018" w:name="bookmark1018"/>
      <w:bookmarkEnd w:id="1018"/>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本公司为拆卸及移除租赁资产、复原租赁资产所在场地或将租赁资产恢复至租赁条款约定状态预计将发生的成本（不 包括为生产存货而发生的成本）。</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在租赁期开始日后，本公司采用成本模式对使用权资产进行后续计量。</w:t>
      </w:r>
    </w:p>
    <w:p>
      <w:pPr>
        <w:pStyle w:val="Style22"/>
        <w:keepNext w:val="0"/>
        <w:keepLines w:val="0"/>
        <w:widowControl w:val="0"/>
        <w:shd w:val="clear" w:color="auto" w:fill="auto"/>
        <w:bidi w:val="0"/>
        <w:spacing w:before="0" w:after="360" w:line="317" w:lineRule="exact"/>
        <w:ind w:left="0" w:right="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33"/>
        <w:keepNext/>
        <w:keepLines/>
        <w:widowControl w:val="0"/>
        <w:shd w:val="clear" w:color="auto" w:fill="auto"/>
        <w:tabs>
          <w:tab w:pos="483"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19"/>
      <w:bookmarkEnd w:id="1020"/>
      <w:bookmarkEnd w:id="1022"/>
    </w:p>
    <w:p>
      <w:pPr>
        <w:pStyle w:val="Style33"/>
        <w:keepNext/>
        <w:keepLines/>
        <w:widowControl w:val="0"/>
        <w:shd w:val="clear" w:color="auto" w:fill="auto"/>
        <w:bidi w:val="0"/>
        <w:spacing w:before="0" w:after="280" w:line="240" w:lineRule="auto"/>
        <w:ind w:left="0" w:right="0" w:firstLine="0"/>
        <w:jc w:val="left"/>
      </w:pPr>
      <w:bookmarkStart w:id="1019" w:name="bookmark1019"/>
      <w:bookmarkStart w:id="1020" w:name="bookmark1020"/>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19"/>
      <w:bookmarkEnd w:id="1020"/>
      <w:bookmarkEnd w:id="1024"/>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无形资产是指本公司拥有或者控制的没有实物形态的可辨认非货币性资产，包括土地使用权、办公软件等。</w:t>
      </w:r>
    </w:p>
    <w:p>
      <w:pPr>
        <w:pStyle w:val="Style22"/>
        <w:keepNext w:val="0"/>
        <w:keepLines w:val="0"/>
        <w:widowControl w:val="0"/>
        <w:numPr>
          <w:ilvl w:val="0"/>
          <w:numId w:val="57"/>
        </w:numPr>
        <w:shd w:val="clear" w:color="auto" w:fill="auto"/>
        <w:tabs>
          <w:tab w:pos="681" w:val="left"/>
        </w:tabs>
        <w:bidi w:val="0"/>
        <w:spacing w:before="0" w:after="0"/>
        <w:ind w:left="0" w:right="0"/>
        <w:jc w:val="both"/>
      </w:pPr>
      <w:bookmarkStart w:id="1025" w:name="bookmark1025"/>
      <w:bookmarkEnd w:id="1025"/>
      <w:r>
        <w:rPr>
          <w:color w:val="000000"/>
          <w:spacing w:val="0"/>
          <w:w w:val="100"/>
          <w:position w:val="0"/>
        </w:rPr>
        <w:t>无形资产的初始计量</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2"/>
        <w:keepNext w:val="0"/>
        <w:keepLines w:val="0"/>
        <w:widowControl w:val="0"/>
        <w:numPr>
          <w:ilvl w:val="0"/>
          <w:numId w:val="57"/>
        </w:numPr>
        <w:shd w:val="clear" w:color="auto" w:fill="auto"/>
        <w:tabs>
          <w:tab w:pos="700" w:val="left"/>
        </w:tabs>
        <w:bidi w:val="0"/>
        <w:spacing w:before="0" w:after="0"/>
        <w:ind w:left="0" w:right="0"/>
        <w:jc w:val="both"/>
      </w:pPr>
      <w:bookmarkStart w:id="1026" w:name="bookmark1026"/>
      <w:bookmarkEnd w:id="1026"/>
      <w:r>
        <w:rPr>
          <w:color w:val="000000"/>
          <w:spacing w:val="0"/>
          <w:w w:val="100"/>
          <w:position w:val="0"/>
        </w:rPr>
        <w:t>无形资产的后续计量</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22"/>
        <w:keepNext w:val="0"/>
        <w:keepLines w:val="0"/>
        <w:widowControl w:val="0"/>
        <w:shd w:val="clear" w:color="auto" w:fill="auto"/>
        <w:bidi w:val="0"/>
        <w:spacing w:before="0" w:after="0" w:line="313" w:lineRule="exact"/>
        <w:ind w:left="0" w:right="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22"/>
        <w:keepNext w:val="0"/>
        <w:keepLines w:val="0"/>
        <w:widowControl w:val="0"/>
        <w:shd w:val="clear" w:color="auto" w:fill="auto"/>
        <w:bidi w:val="0"/>
        <w:spacing w:before="0" w:after="280" w:line="313" w:lineRule="exact"/>
        <w:ind w:left="0" w:right="0"/>
        <w:jc w:val="both"/>
      </w:pPr>
      <w:r>
        <w:rPr>
          <w:color w:val="000000"/>
          <w:spacing w:val="0"/>
          <w:w w:val="100"/>
          <w:position w:val="0"/>
        </w:rPr>
        <w:t>对于使用寿命有限的无形资产，在为企业带来经济利益的期限内按直线法摊销。使用寿命有限的无形资产预计寿命及依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center"/>
        <w:tblLayout w:type="fixed"/>
      </w:tblPr>
      <w:tblGrid>
        <w:gridCol w:w="2818"/>
        <w:gridCol w:w="1872"/>
        <w:gridCol w:w="374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软件预计使用寿命</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土地使用证载使用年限</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每期末，对使用寿命有限的无形资产的使用寿命及摊销方法进行复核，如与原先估计数存在差异的，进行相应的调整。</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经复核，本期期末无形资产的使用寿命及摊销方法与以前估计未有不同。</w:t>
      </w:r>
    </w:p>
    <w:p>
      <w:pPr>
        <w:pStyle w:val="Style22"/>
        <w:keepNext w:val="0"/>
        <w:keepLines w:val="0"/>
        <w:widowControl w:val="0"/>
        <w:shd w:val="clear" w:color="auto" w:fill="auto"/>
        <w:bidi w:val="0"/>
        <w:spacing w:before="0" w:after="0" w:line="312"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无法预见无形资产为企业带来经济利益期限的，视为使用寿命不确定的无形资产。</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33"/>
        <w:keepNext/>
        <w:keepLines/>
        <w:widowControl w:val="0"/>
        <w:shd w:val="clear" w:color="auto" w:fill="auto"/>
        <w:bidi w:val="0"/>
        <w:spacing w:before="0" w:after="40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29"/>
      <w:bookmarkEnd w:id="1030"/>
      <w:bookmarkEnd w:id="1032"/>
    </w:p>
    <w:p>
      <w:pPr>
        <w:pStyle w:val="Style22"/>
        <w:keepNext w:val="0"/>
        <w:keepLines w:val="0"/>
        <w:widowControl w:val="0"/>
        <w:numPr>
          <w:ilvl w:val="0"/>
          <w:numId w:val="59"/>
        </w:numPr>
        <w:shd w:val="clear" w:color="auto" w:fill="auto"/>
        <w:tabs>
          <w:tab w:pos="681" w:val="left"/>
        </w:tabs>
        <w:bidi w:val="0"/>
        <w:spacing w:before="0" w:after="0"/>
        <w:ind w:left="0" w:right="0"/>
        <w:jc w:val="both"/>
      </w:pPr>
      <w:bookmarkStart w:id="1033" w:name="bookmark1033"/>
      <w:bookmarkEnd w:id="1033"/>
      <w:r>
        <w:rPr>
          <w:color w:val="000000"/>
          <w:spacing w:val="0"/>
          <w:w w:val="100"/>
          <w:position w:val="0"/>
        </w:rPr>
        <w:t>划分公司内部研究开发项目的研究阶段和开发阶段具体标准</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2"/>
        <w:keepNext w:val="0"/>
        <w:keepLines w:val="0"/>
        <w:widowControl w:val="0"/>
        <w:shd w:val="clear" w:color="auto" w:fill="auto"/>
        <w:bidi w:val="0"/>
        <w:spacing w:before="0" w:after="100" w:line="318" w:lineRule="exact"/>
        <w:ind w:left="0" w:right="0"/>
        <w:jc w:val="both"/>
      </w:pPr>
      <w:r>
        <w:rPr>
          <w:color w:val="000000"/>
          <w:spacing w:val="0"/>
          <w:w w:val="100"/>
          <w:position w:val="0"/>
        </w:rPr>
        <w:t>内部研究开发项目研究阶段的支出，在发生时计入当期损益。</w:t>
      </w:r>
    </w:p>
    <w:p>
      <w:pPr>
        <w:pStyle w:val="Style22"/>
        <w:keepNext w:val="0"/>
        <w:keepLines w:val="0"/>
        <w:widowControl w:val="0"/>
        <w:numPr>
          <w:ilvl w:val="0"/>
          <w:numId w:val="59"/>
        </w:numPr>
        <w:shd w:val="clear" w:color="auto" w:fill="auto"/>
        <w:tabs>
          <w:tab w:pos="700" w:val="left"/>
        </w:tabs>
        <w:bidi w:val="0"/>
        <w:spacing w:before="0" w:after="0"/>
        <w:ind w:left="0" w:right="0"/>
        <w:jc w:val="both"/>
      </w:pPr>
      <w:bookmarkStart w:id="1034" w:name="bookmark1034"/>
      <w:bookmarkEnd w:id="1034"/>
      <w:r>
        <w:rPr>
          <w:color w:val="000000"/>
          <w:spacing w:val="0"/>
          <w:w w:val="100"/>
          <w:position w:val="0"/>
        </w:rPr>
        <w:t>开发阶段支出符合资本化的具体标准</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内部研究开发项目开发阶段的支出，同时满足下列条件时确认为无形资产：</w:t>
      </w:r>
    </w:p>
    <w:p>
      <w:pPr>
        <w:pStyle w:val="Style22"/>
        <w:keepNext w:val="0"/>
        <w:keepLines w:val="0"/>
        <w:widowControl w:val="0"/>
        <w:shd w:val="clear" w:color="auto" w:fill="auto"/>
        <w:tabs>
          <w:tab w:pos="825" w:val="left"/>
        </w:tabs>
        <w:bidi w:val="0"/>
        <w:spacing w:before="0" w:after="0" w:line="318" w:lineRule="exact"/>
        <w:ind w:left="0" w:right="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2"/>
        <w:keepNext w:val="0"/>
        <w:keepLines w:val="0"/>
        <w:widowControl w:val="0"/>
        <w:shd w:val="clear" w:color="auto" w:fill="auto"/>
        <w:tabs>
          <w:tab w:pos="825" w:val="left"/>
        </w:tabs>
        <w:bidi w:val="0"/>
        <w:spacing w:before="0" w:after="0" w:line="318"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2"/>
        <w:keepNext w:val="0"/>
        <w:keepLines w:val="0"/>
        <w:widowControl w:val="0"/>
        <w:shd w:val="clear" w:color="auto" w:fill="auto"/>
        <w:tabs>
          <w:tab w:pos="901" w:val="left"/>
        </w:tabs>
        <w:bidi w:val="0"/>
        <w:spacing w:before="0" w:after="0" w:line="318"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22"/>
        <w:keepNext w:val="0"/>
        <w:keepLines w:val="0"/>
        <w:widowControl w:val="0"/>
        <w:shd w:val="clear" w:color="auto" w:fill="auto"/>
        <w:tabs>
          <w:tab w:pos="825" w:val="left"/>
        </w:tabs>
        <w:bidi w:val="0"/>
        <w:spacing w:before="0" w:after="0" w:line="318" w:lineRule="exact"/>
        <w:ind w:left="0" w:right="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有足够的技术、财务资源和其他资源支持，以完成该无形资产的开发，并有能力使用或出售该无形资产；</w:t>
      </w:r>
    </w:p>
    <w:p>
      <w:pPr>
        <w:pStyle w:val="Style22"/>
        <w:keepNext w:val="0"/>
        <w:keepLines w:val="0"/>
        <w:widowControl w:val="0"/>
        <w:shd w:val="clear" w:color="auto" w:fill="auto"/>
        <w:tabs>
          <w:tab w:pos="825" w:val="left"/>
        </w:tabs>
        <w:bidi w:val="0"/>
        <w:spacing w:before="0" w:after="0" w:line="318" w:lineRule="exact"/>
        <w:ind w:left="0" w:right="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2"/>
        <w:keepNext w:val="0"/>
        <w:keepLines w:val="0"/>
        <w:widowControl w:val="0"/>
        <w:shd w:val="clear" w:color="auto" w:fill="auto"/>
        <w:bidi w:val="0"/>
        <w:spacing w:before="0" w:after="400" w:line="318"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3"/>
        <w:keepNext/>
        <w:keepLines/>
        <w:widowControl w:val="0"/>
        <w:shd w:val="clear" w:color="auto" w:fill="auto"/>
        <w:bidi w:val="0"/>
        <w:spacing w:before="0" w:after="26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40"/>
      <w:bookmarkEnd w:id="1041"/>
      <w:bookmarkEnd w:id="1043"/>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w:t>
      </w:r>
      <w:r>
        <w:rPr>
          <w:color w:val="000000"/>
          <w:spacing w:val="0"/>
          <w:w w:val="100"/>
          <w:position w:val="0"/>
        </w:rPr>
        <w:t>值部分）与其可收回金额，如相关资产组或者资产组组合的可收回金额低于其账面价值的，确认商誉的减值损失。</w:t>
      </w:r>
    </w:p>
    <w:p>
      <w:pPr>
        <w:pStyle w:val="Style33"/>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44"/>
      <w:bookmarkEnd w:id="1045"/>
      <w:bookmarkEnd w:id="1047"/>
    </w:p>
    <w:p>
      <w:pPr>
        <w:pStyle w:val="Style22"/>
        <w:keepNext w:val="0"/>
        <w:keepLines w:val="0"/>
        <w:widowControl w:val="0"/>
        <w:numPr>
          <w:ilvl w:val="0"/>
          <w:numId w:val="61"/>
        </w:numPr>
        <w:shd w:val="clear" w:color="auto" w:fill="auto"/>
        <w:bidi w:val="0"/>
        <w:spacing w:before="0" w:after="80" w:line="240" w:lineRule="auto"/>
        <w:ind w:left="0" w:right="0"/>
        <w:jc w:val="both"/>
      </w:pPr>
      <w:bookmarkStart w:id="1048" w:name="bookmark1048"/>
      <w:bookmarkEnd w:id="1048"/>
      <w:r>
        <w:rPr>
          <w:color w:val="000000"/>
          <w:spacing w:val="0"/>
          <w:w w:val="100"/>
          <w:position w:val="0"/>
        </w:rPr>
        <w:t>摊销方法</w:t>
      </w:r>
    </w:p>
    <w:p>
      <w:pPr>
        <w:pStyle w:val="Style22"/>
        <w:keepNext w:val="0"/>
        <w:keepLines w:val="0"/>
        <w:widowControl w:val="0"/>
        <w:shd w:val="clear" w:color="auto" w:fill="auto"/>
        <w:bidi w:val="0"/>
        <w:spacing w:before="0" w:after="80" w:line="240" w:lineRule="auto"/>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年以上的各项费用。长期待摊费用在受</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益期内按直线法分期摊销。</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摊销年限</w:t>
      </w:r>
    </w:p>
    <w:tbl>
      <w:tblPr>
        <w:tblOverlap w:val="never"/>
        <w:jc w:val="left"/>
        <w:tblLayout w:type="fixed"/>
      </w:tblPr>
      <w:tblGrid>
        <w:gridCol w:w="2851"/>
        <w:gridCol w:w="2846"/>
        <w:gridCol w:w="285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按照收益期确定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按照收益期确定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按照收益期确定</w:t>
            </w:r>
          </w:p>
        </w:tc>
      </w:tr>
    </w:tbl>
    <w:p>
      <w:pPr>
        <w:widowControl w:val="0"/>
        <w:spacing w:after="639" w:line="1" w:lineRule="exact"/>
      </w:pPr>
    </w:p>
    <w:p>
      <w:pPr>
        <w:pStyle w:val="Style33"/>
        <w:keepNext/>
        <w:keepLines/>
        <w:widowControl w:val="0"/>
        <w:shd w:val="clear" w:color="auto" w:fill="auto"/>
        <w:tabs>
          <w:tab w:pos="483" w:val="left"/>
        </w:tabs>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49"/>
      <w:bookmarkEnd w:id="1050"/>
      <w:bookmarkEnd w:id="1052"/>
    </w:p>
    <w:p>
      <w:pPr>
        <w:pStyle w:val="Style22"/>
        <w:keepNext w:val="0"/>
        <w:keepLines w:val="0"/>
        <w:widowControl w:val="0"/>
        <w:shd w:val="clear" w:color="auto" w:fill="auto"/>
        <w:bidi w:val="0"/>
        <w:spacing w:before="0" w:after="380" w:line="313" w:lineRule="exact"/>
        <w:ind w:left="0" w:right="0"/>
        <w:jc w:val="left"/>
      </w:pPr>
      <w:r>
        <w:rPr>
          <w:color w:val="000000"/>
          <w:spacing w:val="0"/>
          <w:w w:val="100"/>
          <w:position w:val="0"/>
        </w:rPr>
        <w:t>本公司将已收或应收客户对价而应向客户转让商品的义务部分确认为合同负债。</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53"/>
      <w:bookmarkEnd w:id="1054"/>
      <w:bookmarkEnd w:id="1056"/>
    </w:p>
    <w:p>
      <w:pPr>
        <w:pStyle w:val="Style33"/>
        <w:keepNext/>
        <w:keepLines/>
        <w:widowControl w:val="0"/>
        <w:shd w:val="clear" w:color="auto" w:fill="auto"/>
        <w:tabs>
          <w:tab w:pos="493" w:val="left"/>
        </w:tabs>
        <w:bidi w:val="0"/>
        <w:spacing w:before="0" w:after="280" w:line="240" w:lineRule="auto"/>
        <w:ind w:left="0" w:right="0" w:firstLine="0"/>
        <w:jc w:val="left"/>
      </w:pPr>
      <w:bookmarkStart w:id="1053" w:name="bookmark1053"/>
      <w:bookmarkStart w:id="1054" w:name="bookmark1054"/>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53"/>
      <w:bookmarkEnd w:id="1054"/>
      <w:bookmarkEnd w:id="1058"/>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59"/>
      <w:bookmarkEnd w:id="1060"/>
      <w:bookmarkEnd w:id="1062"/>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本公司的离职后福利计划全部为设定提存计划。</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2"/>
        <w:keepNext w:val="0"/>
        <w:keepLines w:val="0"/>
        <w:widowControl w:val="0"/>
        <w:shd w:val="clear" w:color="auto" w:fill="auto"/>
        <w:bidi w:val="0"/>
        <w:spacing w:before="0" w:after="380" w:line="312" w:lineRule="exact"/>
        <w:ind w:left="0" w:right="0"/>
        <w:jc w:val="left"/>
      </w:pPr>
      <w:r>
        <w:rPr>
          <w:color w:val="000000"/>
          <w:spacing w:val="0"/>
          <w:w w:val="100"/>
          <w:position w:val="0"/>
        </w:rPr>
        <w:t>本公司按照国家规定的标准定期缴付上述款项后，不再有其他的支付义务。</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63"/>
      <w:bookmarkEnd w:id="1064"/>
      <w:bookmarkEnd w:id="1066"/>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2"/>
        <w:keepNext w:val="0"/>
        <w:keepLines w:val="0"/>
        <w:widowControl w:val="0"/>
        <w:shd w:val="clear" w:color="auto" w:fill="auto"/>
        <w:bidi w:val="0"/>
        <w:spacing w:before="0" w:after="380" w:line="313"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33"/>
        <w:keepNext/>
        <w:keepLines/>
        <w:widowControl w:val="0"/>
        <w:shd w:val="clear" w:color="auto" w:fill="auto"/>
        <w:bidi w:val="0"/>
        <w:spacing w:before="0" w:after="2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67"/>
      <w:bookmarkEnd w:id="1068"/>
      <w:bookmarkEnd w:id="1070"/>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其他长期职工福利是指除短期薪酬、离职后福利、辞退福利之外的其他所有职工福利。</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对符合设定提存计划条件的其他长期职工福利，在职工为本公司提供服务的会计期间，将应缴存金额确认为负债，并计 入当期损益或相关资产成本。</w:t>
      </w:r>
    </w:p>
    <w:p>
      <w:pPr>
        <w:pStyle w:val="Style33"/>
        <w:keepNext/>
        <w:keepLines/>
        <w:widowControl w:val="0"/>
        <w:shd w:val="clear" w:color="auto" w:fill="auto"/>
        <w:tabs>
          <w:tab w:pos="493" w:val="left"/>
        </w:tabs>
        <w:bidi w:val="0"/>
        <w:spacing w:before="0" w:after="2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71"/>
      <w:bookmarkEnd w:id="1072"/>
      <w:bookmarkEnd w:id="1074"/>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22"/>
        <w:keepNext w:val="0"/>
        <w:keepLines w:val="0"/>
        <w:widowControl w:val="0"/>
        <w:numPr>
          <w:ilvl w:val="0"/>
          <w:numId w:val="63"/>
        </w:numPr>
        <w:shd w:val="clear" w:color="auto" w:fill="auto"/>
        <w:tabs>
          <w:tab w:pos="681" w:val="left"/>
        </w:tabs>
        <w:bidi w:val="0"/>
        <w:spacing w:before="0" w:after="0" w:line="322" w:lineRule="exact"/>
        <w:ind w:left="0" w:right="0"/>
        <w:jc w:val="both"/>
      </w:pPr>
      <w:bookmarkStart w:id="1075" w:name="bookmark1075"/>
      <w:bookmarkEnd w:id="1075"/>
      <w:r>
        <w:rPr>
          <w:color w:val="000000"/>
          <w:spacing w:val="0"/>
          <w:w w:val="100"/>
          <w:position w:val="0"/>
        </w:rPr>
        <w:t>扣除租赁激励相关金额后的固定付款额及实质固定付款额；</w:t>
      </w:r>
    </w:p>
    <w:p>
      <w:pPr>
        <w:pStyle w:val="Style22"/>
        <w:keepNext w:val="0"/>
        <w:keepLines w:val="0"/>
        <w:widowControl w:val="0"/>
        <w:numPr>
          <w:ilvl w:val="0"/>
          <w:numId w:val="63"/>
        </w:numPr>
        <w:shd w:val="clear" w:color="auto" w:fill="auto"/>
        <w:tabs>
          <w:tab w:pos="700" w:val="left"/>
        </w:tabs>
        <w:bidi w:val="0"/>
        <w:spacing w:before="0" w:after="0" w:line="322" w:lineRule="exact"/>
        <w:ind w:left="0" w:right="0"/>
        <w:jc w:val="both"/>
      </w:pPr>
      <w:bookmarkStart w:id="1076" w:name="bookmark1076"/>
      <w:bookmarkEnd w:id="1076"/>
      <w:r>
        <w:rPr>
          <w:color w:val="000000"/>
          <w:spacing w:val="0"/>
          <w:w w:val="100"/>
          <w:position w:val="0"/>
        </w:rPr>
        <w:t>取决于指数或比率的可变租赁付款额；</w:t>
      </w:r>
    </w:p>
    <w:p>
      <w:pPr>
        <w:pStyle w:val="Style22"/>
        <w:keepNext w:val="0"/>
        <w:keepLines w:val="0"/>
        <w:widowControl w:val="0"/>
        <w:numPr>
          <w:ilvl w:val="0"/>
          <w:numId w:val="63"/>
        </w:numPr>
        <w:shd w:val="clear" w:color="auto" w:fill="auto"/>
        <w:bidi w:val="0"/>
        <w:spacing w:before="0" w:after="0" w:line="322" w:lineRule="exact"/>
        <w:ind w:left="0" w:right="0"/>
        <w:jc w:val="both"/>
      </w:pPr>
      <w:bookmarkStart w:id="1077" w:name="bookmark1077"/>
      <w:bookmarkEnd w:id="1077"/>
      <w:r>
        <w:rPr>
          <w:rFonts w:ascii="Times New Roman" w:eastAsia="Times New Roman" w:hAnsi="Times New Roman" w:cs="Times New Roman"/>
          <w:color w:val="000000"/>
          <w:spacing w:val="0"/>
          <w:w w:val="100"/>
          <w:position w:val="0"/>
        </w:rPr>
        <w:t xml:space="preserve"> </w:t>
      </w:r>
      <w:r>
        <w:rPr>
          <w:color w:val="000000"/>
          <w:spacing w:val="0"/>
          <w:w w:val="100"/>
          <w:position w:val="0"/>
        </w:rPr>
        <w:t>在本公司合理确定将行使该选择权的情况下，租赁付款额包括购买选择权的行权价格；</w:t>
      </w:r>
    </w:p>
    <w:p>
      <w:pPr>
        <w:pStyle w:val="Style22"/>
        <w:keepNext w:val="0"/>
        <w:keepLines w:val="0"/>
        <w:widowControl w:val="0"/>
        <w:numPr>
          <w:ilvl w:val="0"/>
          <w:numId w:val="63"/>
        </w:numPr>
        <w:shd w:val="clear" w:color="auto" w:fill="auto"/>
        <w:tabs>
          <w:tab w:pos="700" w:val="left"/>
        </w:tabs>
        <w:bidi w:val="0"/>
        <w:spacing w:before="0" w:after="0" w:line="322" w:lineRule="exact"/>
        <w:ind w:left="0" w:right="0"/>
        <w:jc w:val="both"/>
      </w:pPr>
      <w:bookmarkStart w:id="1078" w:name="bookmark1078"/>
      <w:bookmarkEnd w:id="1078"/>
      <w:r>
        <w:rPr>
          <w:color w:val="000000"/>
          <w:spacing w:val="0"/>
          <w:w w:val="100"/>
          <w:position w:val="0"/>
        </w:rPr>
        <w:t>在租赁期反映出本公司将行使终止租赁选择权的情况下，租赁付款额包括行使终止租赁选择权需支付的款项；</w:t>
      </w:r>
    </w:p>
    <w:p>
      <w:pPr>
        <w:pStyle w:val="Style22"/>
        <w:keepNext w:val="0"/>
        <w:keepLines w:val="0"/>
        <w:widowControl w:val="0"/>
        <w:numPr>
          <w:ilvl w:val="0"/>
          <w:numId w:val="63"/>
        </w:numPr>
        <w:shd w:val="clear" w:color="auto" w:fill="auto"/>
        <w:tabs>
          <w:tab w:pos="700" w:val="left"/>
        </w:tabs>
        <w:bidi w:val="0"/>
        <w:spacing w:before="0" w:after="0" w:line="322" w:lineRule="exact"/>
        <w:ind w:left="0" w:right="0"/>
        <w:jc w:val="both"/>
      </w:pPr>
      <w:bookmarkStart w:id="1079" w:name="bookmark1079"/>
      <w:bookmarkEnd w:id="1079"/>
      <w:r>
        <w:rPr>
          <w:color w:val="000000"/>
          <w:spacing w:val="0"/>
          <w:w w:val="100"/>
          <w:position w:val="0"/>
        </w:rPr>
        <w:t>根据本公司提供的担保余值预计应支付的款项。</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本公司按照固定的折现率计算租赁负债在租赁期内各期间的利息费用，并计入当期损益或相关资产成本。</w:t>
      </w:r>
    </w:p>
    <w:p>
      <w:pPr>
        <w:pStyle w:val="Style22"/>
        <w:keepNext w:val="0"/>
        <w:keepLines w:val="0"/>
        <w:widowControl w:val="0"/>
        <w:shd w:val="clear" w:color="auto" w:fill="auto"/>
        <w:bidi w:val="0"/>
        <w:spacing w:before="0" w:after="380" w:line="322" w:lineRule="exact"/>
        <w:ind w:left="0" w:right="0"/>
        <w:jc w:val="both"/>
      </w:pPr>
      <w:r>
        <w:rPr>
          <w:color w:val="000000"/>
          <w:spacing w:val="0"/>
          <w:w w:val="100"/>
          <w:position w:val="0"/>
        </w:rPr>
        <w:t>未纳入租赁负债计量的可变租赁付款额应当在实际发生时计入当期损益或相关资产成本。</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80"/>
      <w:bookmarkEnd w:id="1081"/>
      <w:bookmarkEnd w:id="1083"/>
    </w:p>
    <w:p>
      <w:pPr>
        <w:pStyle w:val="Style22"/>
        <w:keepNext w:val="0"/>
        <w:keepLines w:val="0"/>
        <w:widowControl w:val="0"/>
        <w:numPr>
          <w:ilvl w:val="0"/>
          <w:numId w:val="65"/>
        </w:numPr>
        <w:shd w:val="clear" w:color="auto" w:fill="auto"/>
        <w:tabs>
          <w:tab w:pos="681" w:val="left"/>
        </w:tabs>
        <w:bidi w:val="0"/>
        <w:spacing w:before="0" w:after="0"/>
        <w:ind w:left="0" w:right="0"/>
        <w:jc w:val="both"/>
      </w:pPr>
      <w:bookmarkStart w:id="1084" w:name="bookmark1084"/>
      <w:bookmarkEnd w:id="1084"/>
      <w:r>
        <w:rPr>
          <w:color w:val="000000"/>
          <w:spacing w:val="0"/>
          <w:w w:val="100"/>
          <w:position w:val="0"/>
        </w:rPr>
        <w:t>预计负债的确认标准</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与或有事项相关的义务同时满足下列条件时，本公司确认为预计负债：</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该义务是本公司承担的现时义务；</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履行该义务很可能导致经济利益流出本公司；</w:t>
      </w:r>
    </w:p>
    <w:p>
      <w:pPr>
        <w:pStyle w:val="Style22"/>
        <w:keepNext w:val="0"/>
        <w:keepLines w:val="0"/>
        <w:widowControl w:val="0"/>
        <w:shd w:val="clear" w:color="auto" w:fill="auto"/>
        <w:bidi w:val="0"/>
        <w:spacing w:before="0" w:after="100" w:line="311" w:lineRule="exact"/>
        <w:ind w:left="0" w:right="0"/>
        <w:jc w:val="both"/>
      </w:pPr>
      <w:r>
        <w:rPr>
          <w:color w:val="000000"/>
          <w:spacing w:val="0"/>
          <w:w w:val="100"/>
          <w:position w:val="0"/>
        </w:rPr>
        <w:t>该义务的金额能够可靠地计量。</w:t>
      </w:r>
    </w:p>
    <w:p>
      <w:pPr>
        <w:pStyle w:val="Style22"/>
        <w:keepNext w:val="0"/>
        <w:keepLines w:val="0"/>
        <w:widowControl w:val="0"/>
        <w:numPr>
          <w:ilvl w:val="0"/>
          <w:numId w:val="65"/>
        </w:numPr>
        <w:shd w:val="clear" w:color="auto" w:fill="auto"/>
        <w:tabs>
          <w:tab w:pos="700" w:val="left"/>
        </w:tabs>
        <w:bidi w:val="0"/>
        <w:spacing w:before="0" w:after="0"/>
        <w:ind w:left="0" w:right="0"/>
        <w:jc w:val="both"/>
      </w:pPr>
      <w:bookmarkStart w:id="1085" w:name="bookmark1085"/>
      <w:bookmarkEnd w:id="1085"/>
      <w:r>
        <w:rPr>
          <w:color w:val="000000"/>
          <w:spacing w:val="0"/>
          <w:w w:val="100"/>
          <w:position w:val="0"/>
        </w:rPr>
        <w:t>预计负债的计量方法</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本公司预计负债按履行相关现时义务所需的支出的最佳估计数进行初始计量。</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最佳估计数分别以下情况处理：</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2"/>
        <w:keepNext w:val="0"/>
        <w:keepLines w:val="0"/>
        <w:widowControl w:val="0"/>
        <w:shd w:val="clear" w:color="auto" w:fill="auto"/>
        <w:bidi w:val="0"/>
        <w:spacing w:before="0" w:after="380" w:line="311"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86"/>
      <w:bookmarkEnd w:id="1087"/>
      <w:bookmarkEnd w:id="1089"/>
    </w:p>
    <w:p>
      <w:pPr>
        <w:pStyle w:val="Style22"/>
        <w:keepNext w:val="0"/>
        <w:keepLines w:val="0"/>
        <w:widowControl w:val="0"/>
        <w:numPr>
          <w:ilvl w:val="0"/>
          <w:numId w:val="67"/>
        </w:numPr>
        <w:shd w:val="clear" w:color="auto" w:fill="auto"/>
        <w:tabs>
          <w:tab w:pos="681" w:val="left"/>
        </w:tabs>
        <w:bidi w:val="0"/>
        <w:spacing w:before="0" w:after="0"/>
        <w:ind w:left="0" w:right="0"/>
        <w:jc w:val="both"/>
      </w:pPr>
      <w:bookmarkStart w:id="1090" w:name="bookmark1090"/>
      <w:bookmarkEnd w:id="1090"/>
      <w:r>
        <w:rPr>
          <w:color w:val="000000"/>
          <w:spacing w:val="0"/>
          <w:w w:val="100"/>
          <w:position w:val="0"/>
        </w:rPr>
        <w:t>股份支付的种类</w:t>
      </w:r>
    </w:p>
    <w:p>
      <w:pPr>
        <w:pStyle w:val="Style22"/>
        <w:keepNext w:val="0"/>
        <w:keepLines w:val="0"/>
        <w:widowControl w:val="0"/>
        <w:shd w:val="clear" w:color="auto" w:fill="auto"/>
        <w:bidi w:val="0"/>
        <w:spacing w:before="0" w:after="100" w:line="311" w:lineRule="exact"/>
        <w:ind w:left="0" w:right="0"/>
        <w:jc w:val="both"/>
      </w:pPr>
      <w:r>
        <w:rPr>
          <w:color w:val="000000"/>
          <w:spacing w:val="0"/>
          <w:w w:val="100"/>
          <w:position w:val="0"/>
        </w:rPr>
        <w:t>本公司的股份支付分为以权益结算的股份支付和以现金结算的股份支付。</w:t>
      </w:r>
    </w:p>
    <w:p>
      <w:pPr>
        <w:pStyle w:val="Style22"/>
        <w:keepNext w:val="0"/>
        <w:keepLines w:val="0"/>
        <w:widowControl w:val="0"/>
        <w:numPr>
          <w:ilvl w:val="0"/>
          <w:numId w:val="67"/>
        </w:numPr>
        <w:shd w:val="clear" w:color="auto" w:fill="auto"/>
        <w:tabs>
          <w:tab w:pos="700" w:val="left"/>
        </w:tabs>
        <w:bidi w:val="0"/>
        <w:spacing w:before="0" w:after="0"/>
        <w:ind w:left="0" w:right="0"/>
        <w:jc w:val="both"/>
      </w:pPr>
      <w:bookmarkStart w:id="1091" w:name="bookmark1091"/>
      <w:bookmarkEnd w:id="1091"/>
      <w:r>
        <w:rPr>
          <w:color w:val="000000"/>
          <w:spacing w:val="0"/>
          <w:w w:val="100"/>
          <w:position w:val="0"/>
        </w:rPr>
        <w:t>权益工具公允价值的确定方法</w:t>
      </w:r>
    </w:p>
    <w:p>
      <w:pPr>
        <w:pStyle w:val="Style22"/>
        <w:keepNext w:val="0"/>
        <w:keepLines w:val="0"/>
        <w:widowControl w:val="0"/>
        <w:shd w:val="clear" w:color="auto" w:fill="auto"/>
        <w:bidi w:val="0"/>
        <w:spacing w:before="0" w:after="0" w:line="302"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 xml:space="preserve">）期 </w:t>
      </w:r>
      <w:r>
        <w:rPr>
          <w:color w:val="000000"/>
          <w:spacing w:val="0"/>
          <w:w w:val="100"/>
          <w:position w:val="0"/>
        </w:rPr>
        <w:t>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22"/>
        <w:keepNext w:val="0"/>
        <w:keepLines w:val="0"/>
        <w:widowControl w:val="0"/>
        <w:numPr>
          <w:ilvl w:val="0"/>
          <w:numId w:val="67"/>
        </w:numPr>
        <w:shd w:val="clear" w:color="auto" w:fill="auto"/>
        <w:tabs>
          <w:tab w:pos="661" w:val="left"/>
        </w:tabs>
        <w:bidi w:val="0"/>
        <w:spacing w:before="0" w:after="0" w:line="313" w:lineRule="exact"/>
        <w:ind w:left="0" w:right="0"/>
        <w:jc w:val="both"/>
      </w:pPr>
      <w:bookmarkStart w:id="1092" w:name="bookmark1092"/>
      <w:bookmarkEnd w:id="1092"/>
      <w:r>
        <w:rPr>
          <w:color w:val="000000"/>
          <w:spacing w:val="0"/>
          <w:w w:val="100"/>
          <w:position w:val="0"/>
        </w:rPr>
        <w:t>确定可行权权益工具最佳估计的依据</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22"/>
        <w:keepNext w:val="0"/>
        <w:keepLines w:val="0"/>
        <w:widowControl w:val="0"/>
        <w:numPr>
          <w:ilvl w:val="0"/>
          <w:numId w:val="67"/>
        </w:numPr>
        <w:shd w:val="clear" w:color="auto" w:fill="auto"/>
        <w:tabs>
          <w:tab w:pos="671" w:val="left"/>
        </w:tabs>
        <w:bidi w:val="0"/>
        <w:spacing w:before="0" w:after="0" w:line="313" w:lineRule="exact"/>
        <w:ind w:left="0" w:right="0"/>
        <w:jc w:val="both"/>
      </w:pPr>
      <w:bookmarkStart w:id="1093" w:name="bookmark1093"/>
      <w:bookmarkEnd w:id="1093"/>
      <w:r>
        <w:rPr>
          <w:color w:val="000000"/>
          <w:spacing w:val="0"/>
          <w:w w:val="100"/>
          <w:position w:val="0"/>
        </w:rPr>
        <w:t>会计处理方法</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3"/>
        <w:keepNext/>
        <w:keepLines/>
        <w:widowControl w:val="0"/>
        <w:shd w:val="clear" w:color="auto" w:fill="auto"/>
        <w:tabs>
          <w:tab w:pos="490" w:val="left"/>
        </w:tabs>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4"/>
      <w:bookmarkEnd w:id="1095"/>
      <w:bookmarkEnd w:id="1097"/>
    </w:p>
    <w:p>
      <w:pPr>
        <w:pStyle w:val="Style33"/>
        <w:keepNext/>
        <w:keepLines/>
        <w:widowControl w:val="0"/>
        <w:shd w:val="clear" w:color="auto" w:fill="auto"/>
        <w:tabs>
          <w:tab w:pos="490" w:val="left"/>
        </w:tabs>
        <w:bidi w:val="0"/>
        <w:spacing w:before="0" w:after="260" w:line="240" w:lineRule="auto"/>
        <w:ind w:left="0" w:right="0" w:firstLine="0"/>
        <w:jc w:val="left"/>
      </w:pPr>
      <w:bookmarkStart w:id="1094" w:name="bookmark1094"/>
      <w:bookmarkStart w:id="1095" w:name="bookmark1095"/>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94"/>
      <w:bookmarkEnd w:id="1095"/>
      <w:bookmarkEnd w:id="1099"/>
    </w:p>
    <w:p>
      <w:pPr>
        <w:pStyle w:val="Style22"/>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本公司的收入主要来源于产品化软件销售收入和硬件及耗材销售收入、软件开发收入和技术服务收入等。</w:t>
      </w:r>
    </w:p>
    <w:p>
      <w:pPr>
        <w:pStyle w:val="Style22"/>
        <w:keepNext w:val="0"/>
        <w:keepLines w:val="0"/>
        <w:widowControl w:val="0"/>
        <w:numPr>
          <w:ilvl w:val="0"/>
          <w:numId w:val="69"/>
        </w:numPr>
        <w:shd w:val="clear" w:color="auto" w:fill="auto"/>
        <w:tabs>
          <w:tab w:pos="651" w:val="left"/>
        </w:tabs>
        <w:bidi w:val="0"/>
        <w:spacing w:before="0" w:after="0" w:line="313" w:lineRule="exact"/>
        <w:ind w:left="0" w:right="0"/>
        <w:jc w:val="both"/>
      </w:pPr>
      <w:bookmarkStart w:id="1100" w:name="bookmark1100"/>
      <w:bookmarkEnd w:id="1100"/>
      <w:r>
        <w:rPr>
          <w:color w:val="000000"/>
          <w:spacing w:val="0"/>
          <w:w w:val="100"/>
          <w:position w:val="0"/>
        </w:rPr>
        <w:t>收入确认的一般原则</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履约义务，是指合同中本公司向客户转让可明确区分商品或服务的承诺。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取得相关商品控制权，是指能够主导该商品的使用并从中获得几乎全部的经济利益。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 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对于在某一时段内履行的履约义务，本公司根据商品和劳务的性质，采用投入法确定恰当的履约进度。投入法是根据公 司为履行履约义务的投入确定履约进度。当履约进度不能合理确定时，公司已经发生的成本预计能够得到补偿的，按照已经 发生的成本金额确认收入，直到履约进度能够合理确定为止。</w:t>
      </w:r>
    </w:p>
    <w:p>
      <w:pPr>
        <w:pStyle w:val="Style22"/>
        <w:keepNext w:val="0"/>
        <w:keepLines w:val="0"/>
        <w:widowControl w:val="0"/>
        <w:numPr>
          <w:ilvl w:val="0"/>
          <w:numId w:val="69"/>
        </w:numPr>
        <w:shd w:val="clear" w:color="auto" w:fill="auto"/>
        <w:tabs>
          <w:tab w:pos="671" w:val="left"/>
        </w:tabs>
        <w:bidi w:val="0"/>
        <w:spacing w:before="0" w:after="0" w:line="313" w:lineRule="exact"/>
        <w:ind w:left="0" w:right="0"/>
        <w:jc w:val="both"/>
      </w:pPr>
      <w:bookmarkStart w:id="1101" w:name="bookmark1101"/>
      <w:bookmarkEnd w:id="1101"/>
      <w:r>
        <w:rPr>
          <w:color w:val="000000"/>
          <w:spacing w:val="0"/>
          <w:w w:val="100"/>
          <w:position w:val="0"/>
        </w:rPr>
        <w:t>收入确认的具体方法</w:t>
      </w:r>
    </w:p>
    <w:p>
      <w:pPr>
        <w:pStyle w:val="Style22"/>
        <w:keepNext w:val="0"/>
        <w:keepLines w:val="0"/>
        <w:widowControl w:val="0"/>
        <w:shd w:val="clear" w:color="auto" w:fill="auto"/>
        <w:bidi w:val="0"/>
        <w:spacing w:before="0" w:after="0" w:line="313" w:lineRule="exact"/>
        <w:ind w:left="0" w:right="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）销售商品收入，主要包括产品化软件销售和硬件及耗材销售，具体确认原则如下：</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产品化软件销售收入是指本公司销售自主研发的软件产品收入。公司自主研发的软件产品是指获得了软件产品登记证 书，具有较强的行业通用性，客户需求差异性较小，并且可以批量复制销售的应用软件。对于产品化软件销售，本公司在按 </w:t>
      </w:r>
      <w:r>
        <w:rPr>
          <w:color w:val="000000"/>
          <w:spacing w:val="0"/>
          <w:w w:val="100"/>
          <w:position w:val="0"/>
        </w:rPr>
        <w:t>照合同约定内容向购买方移交，并完成安装、调试工作，取得了购买方的确认单，并同时满足上述销售商品收入确认条件时 确认软件产品销售收入。</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硬件及耗材销售收入是指公司应客户要求代其外购硬件系统及相关第三方软件等，并安装调试所获得的收入。硬件销售 收入在按照合同约定内容向购买方移交了所提供的代购硬件设备或第三方软件的所有权，取得了购买方的验收单，并同时满 足上述销售商品收入确认条件时确认硬件销售收入。</w:t>
      </w:r>
    </w:p>
    <w:p>
      <w:pPr>
        <w:pStyle w:val="Style22"/>
        <w:keepNext w:val="0"/>
        <w:keepLines w:val="0"/>
        <w:widowControl w:val="0"/>
        <w:shd w:val="clear" w:color="auto" w:fill="auto"/>
        <w:bidi w:val="0"/>
        <w:spacing w:before="0" w:after="0" w:line="313" w:lineRule="exact"/>
        <w:ind w:left="0" w:right="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）提供劳务的收入，主要包括软件开发和技术服务，具体确认原则如下：</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软件开发收入是指公司接受客户委托，针对客户提出的软件需求进行研究开发所获得的收入。公司在劳务已经提供，收 到价款或取得收款的依据，获取了开发项目服务成果确认资料后确认收入的实现。</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技术服务收入是指公司向客户提供专业的技术服务实现的收入。本公司的技术服务收入通常包含但不限于向客户提供的 与</w:t>
      </w:r>
      <w:r>
        <w:rPr>
          <w:rFonts w:ascii="Times New Roman" w:eastAsia="Times New Roman" w:hAnsi="Times New Roman" w:cs="Times New Roman"/>
          <w:color w:val="000000"/>
          <w:spacing w:val="0"/>
          <w:w w:val="100"/>
          <w:position w:val="0"/>
        </w:rPr>
        <w:t>IT</w:t>
      </w:r>
      <w:r>
        <w:rPr>
          <w:color w:val="000000"/>
          <w:spacing w:val="0"/>
          <w:w w:val="100"/>
          <w:position w:val="0"/>
        </w:rPr>
        <w:t>运维管理相关的技术支持、技术咨询、系统维护、运营管理、</w:t>
      </w:r>
      <w:r>
        <w:rPr>
          <w:rFonts w:ascii="Times New Roman" w:eastAsia="Times New Roman" w:hAnsi="Times New Roman" w:cs="Times New Roman"/>
          <w:color w:val="000000"/>
          <w:spacing w:val="0"/>
          <w:w w:val="100"/>
          <w:position w:val="0"/>
        </w:rPr>
        <w:t>SaaS</w:t>
      </w:r>
      <w:r>
        <w:rPr>
          <w:color w:val="000000"/>
          <w:spacing w:val="0"/>
          <w:w w:val="100"/>
          <w:position w:val="0"/>
        </w:rPr>
        <w:t>等服务内容。公司根据与客户签订的相关合同约定的 合同总额与服务期间，按提供劳务的进度确认收入。合同明确约定服务成果需经客户验收确认的，根据取得的客户验收单据 确认收入。</w:t>
      </w:r>
    </w:p>
    <w:p>
      <w:pPr>
        <w:pStyle w:val="Style22"/>
        <w:keepNext w:val="0"/>
        <w:keepLines w:val="0"/>
        <w:widowControl w:val="0"/>
        <w:numPr>
          <w:ilvl w:val="0"/>
          <w:numId w:val="69"/>
        </w:numPr>
        <w:shd w:val="clear" w:color="auto" w:fill="auto"/>
        <w:bidi w:val="0"/>
        <w:spacing w:before="0" w:after="0"/>
        <w:ind w:left="0" w:right="0"/>
        <w:jc w:val="both"/>
      </w:pPr>
      <w:bookmarkStart w:id="1104" w:name="bookmark1104"/>
      <w:bookmarkEnd w:id="1104"/>
      <w:r>
        <w:rPr>
          <w:color w:val="000000"/>
          <w:spacing w:val="0"/>
          <w:w w:val="100"/>
          <w:position w:val="0"/>
        </w:rPr>
        <w:t>特定交易的收入处理原则</w:t>
      </w:r>
    </w:p>
    <w:p>
      <w:pPr>
        <w:pStyle w:val="Style22"/>
        <w:keepNext w:val="0"/>
        <w:keepLines w:val="0"/>
        <w:widowControl w:val="0"/>
        <w:shd w:val="clear" w:color="auto" w:fill="auto"/>
        <w:tabs>
          <w:tab w:pos="776" w:val="left"/>
        </w:tabs>
        <w:bidi w:val="0"/>
        <w:spacing w:before="0" w:after="0" w:line="313" w:lineRule="exact"/>
        <w:ind w:left="0" w:right="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w:t>
        <w:tab/>
        <w:t>附有销售退回条款的合同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在客户取得相关商品控制权时，按照因向客户转让商品而预期有权收取的对价金额（即，不包含预期因销售退回将退还 的金额）确认收入，按照预期因销售退回将退还的金额确认负债。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销售商品时预期将退回商品的账面价值，扣除收回该商品预计发生的成本（包括退回商品的价值减损）后的余额，在</w:t>
      </w:r>
      <w:r>
        <w:rPr>
          <w:rFonts w:ascii="Times New Roman" w:eastAsia="Times New Roman" w:hAnsi="Times New Roman" w:cs="Times New Roman"/>
          <w:color w:val="000000"/>
          <w:spacing w:val="0"/>
          <w:w w:val="100"/>
          <w:position w:val="0"/>
        </w:rPr>
        <w:t>“</w:t>
      </w:r>
      <w:r>
        <w:rPr>
          <w:color w:val="000000"/>
          <w:spacing w:val="0"/>
          <w:w w:val="100"/>
          <w:position w:val="0"/>
        </w:rPr>
        <w:t>应 收退货成本</w:t>
      </w:r>
      <w:r>
        <w:rPr>
          <w:rFonts w:ascii="Times New Roman" w:eastAsia="Times New Roman" w:hAnsi="Times New Roman" w:cs="Times New Roman"/>
          <w:color w:val="000000"/>
          <w:spacing w:val="0"/>
          <w:w w:val="100"/>
          <w:position w:val="0"/>
        </w:rPr>
        <w:t>”</w:t>
      </w:r>
      <w:r>
        <w:rPr>
          <w:color w:val="000000"/>
          <w:spacing w:val="0"/>
          <w:w w:val="100"/>
          <w:position w:val="0"/>
        </w:rPr>
        <w:t>项下核算。</w:t>
      </w:r>
    </w:p>
    <w:p>
      <w:pPr>
        <w:pStyle w:val="Style22"/>
        <w:keepNext w:val="0"/>
        <w:keepLines w:val="0"/>
        <w:widowControl w:val="0"/>
        <w:shd w:val="clear" w:color="auto" w:fill="auto"/>
        <w:tabs>
          <w:tab w:pos="776" w:val="left"/>
        </w:tabs>
        <w:bidi w:val="0"/>
        <w:spacing w:before="0" w:after="0" w:line="313" w:lineRule="exact"/>
        <w:ind w:left="0" w:right="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附有质量保证条款的合同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评估该质量保证是否在向客户保证所销售商品符合既定标准之外提供了一项单独的服务。公司提供额外服务的，则作为 单项履约义务，按照收入准则规定进行会计处理；否则，质量保证责任按照或有事项的会计准则规定进行会计处理。</w:t>
      </w:r>
    </w:p>
    <w:p>
      <w:pPr>
        <w:pStyle w:val="Style22"/>
        <w:keepNext w:val="0"/>
        <w:keepLines w:val="0"/>
        <w:widowControl w:val="0"/>
        <w:shd w:val="clear" w:color="auto" w:fill="auto"/>
        <w:tabs>
          <w:tab w:pos="776" w:val="left"/>
        </w:tabs>
        <w:bidi w:val="0"/>
        <w:spacing w:before="0" w:after="0" w:line="313" w:lineRule="exact"/>
        <w:ind w:left="0" w:right="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w:t>
        <w:tab/>
        <w:t>附有客户额外购买选择权的销售合同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公司评估该选择权是否向客户提供了一项重大权利。提供重大权利的，则作为单项履约义务，将交易价格分摊至该履约 义务，在客户未来行使购买选择权取得相关商品控制权时，或者该选择权失效时，确认相应的收入。客户额外购买选择权的 单独售价无法直接观察的，则综合考虑客户行使和不行使该选择权所能获得的折扣的差异、客户行使该选择权的可能性等全 部相关信息后，予以合理估计。</w:t>
      </w:r>
    </w:p>
    <w:p>
      <w:pPr>
        <w:pStyle w:val="Style22"/>
        <w:keepNext w:val="0"/>
        <w:keepLines w:val="0"/>
        <w:widowControl w:val="0"/>
        <w:shd w:val="clear" w:color="auto" w:fill="auto"/>
        <w:tabs>
          <w:tab w:pos="776" w:val="left"/>
        </w:tabs>
        <w:bidi w:val="0"/>
        <w:spacing w:before="0" w:after="0" w:line="313" w:lineRule="exact"/>
        <w:ind w:left="0" w:right="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w:t>
        <w:tab/>
        <w:t>向客户授予知识产权许可的合同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评估该知识产权许可是否构成单项履约义务，构成单项履约义务的，则进一步确定其是在某一时段内履行还是在某一时 点履行。向客户授予知识产权许可，并约定按客户实际销售或使用情况收取特许权使用费的，则在下列两项孰晚的时点确认 收入：客户后续销售或使用行为实际发生；公司履行相关履约义务。</w:t>
      </w:r>
    </w:p>
    <w:p>
      <w:pPr>
        <w:pStyle w:val="Style22"/>
        <w:keepNext w:val="0"/>
        <w:keepLines w:val="0"/>
        <w:widowControl w:val="0"/>
        <w:shd w:val="clear" w:color="auto" w:fill="auto"/>
        <w:tabs>
          <w:tab w:pos="776" w:val="left"/>
        </w:tabs>
        <w:bidi w:val="0"/>
        <w:spacing w:before="0" w:after="0" w:line="313" w:lineRule="exact"/>
        <w:ind w:left="0" w:right="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5</w:t>
      </w:r>
      <w:r>
        <w:rPr>
          <w:color w:val="000000"/>
          <w:spacing w:val="0"/>
          <w:w w:val="100"/>
          <w:position w:val="0"/>
        </w:rPr>
        <w:t>）</w:t>
        <w:tab/>
        <w:t>售后回购</w:t>
      </w:r>
    </w:p>
    <w:p>
      <w:pPr>
        <w:pStyle w:val="Style22"/>
        <w:keepNext w:val="0"/>
        <w:keepLines w:val="0"/>
        <w:widowControl w:val="0"/>
        <w:shd w:val="clear" w:color="auto" w:fill="auto"/>
        <w:bidi w:val="0"/>
        <w:spacing w:before="0" w:after="0" w:line="313" w:lineRule="exact"/>
        <w:ind w:left="0" w:right="0"/>
        <w:jc w:val="both"/>
      </w:pPr>
      <w:bookmarkStart w:id="1110" w:name="bookmark1110"/>
      <w:r>
        <w:rPr>
          <w:rFonts w:ascii="Times New Roman" w:eastAsia="Times New Roman" w:hAnsi="Times New Roman" w:cs="Times New Roman"/>
          <w:color w:val="000000"/>
          <w:spacing w:val="0"/>
          <w:w w:val="100"/>
          <w:position w:val="0"/>
        </w:rPr>
        <w:t>1</w:t>
      </w:r>
      <w:bookmarkEnd w:id="1110"/>
      <w:r>
        <w:rPr>
          <w:color w:val="000000"/>
          <w:spacing w:val="0"/>
          <w:w w:val="100"/>
          <w:position w:val="0"/>
        </w:rPr>
        <w:t>） 因与客户的远期安排而负有回购义务的合同：这种情况下客户在销售时点并未取得相关商品控制权，因此作为租赁 交易或融资交易进行相应的会计处理。其中，回购价格低于原售价的视为租赁交易，按照企业会计准则对租赁的相关规定进 行会计处理；回购价格不低于原售价的视为融资交易，在收到客户款项时确认金融负债，并将该款项和回购价格的差额在回 购期间内确认为利息费用等。公司到期未行使回购权利的，则在该回购权利到期时终止确认金融负债，同时确认收入。</w:t>
      </w:r>
    </w:p>
    <w:p>
      <w:pPr>
        <w:pStyle w:val="Style22"/>
        <w:keepNext w:val="0"/>
        <w:keepLines w:val="0"/>
        <w:widowControl w:val="0"/>
        <w:shd w:val="clear" w:color="auto" w:fill="auto"/>
        <w:tabs>
          <w:tab w:pos="718" w:val="left"/>
        </w:tabs>
        <w:bidi w:val="0"/>
        <w:spacing w:before="0" w:after="0" w:line="313" w:lineRule="exact"/>
        <w:ind w:left="0" w:right="0"/>
        <w:jc w:val="both"/>
      </w:pPr>
      <w:bookmarkStart w:id="1111" w:name="bookmark1111"/>
      <w:r>
        <w:rPr>
          <w:rFonts w:ascii="Times New Roman" w:eastAsia="Times New Roman" w:hAnsi="Times New Roman" w:cs="Times New Roman"/>
          <w:color w:val="000000"/>
          <w:spacing w:val="0"/>
          <w:w w:val="100"/>
          <w:position w:val="0"/>
        </w:rPr>
        <w:t>2</w:t>
      </w:r>
      <w:bookmarkEnd w:id="1111"/>
      <w:r>
        <w:rPr>
          <w:color w:val="000000"/>
          <w:spacing w:val="0"/>
          <w:w w:val="100"/>
          <w:position w:val="0"/>
        </w:rPr>
        <w:t>）</w:t>
        <w:tab/>
        <w:t>应客户要求产生的回购义务的合同：经评估客户具有重大经济动因的，将售后回购作为租赁交易或融资交易，按照 本条</w:t>
      </w:r>
      <w:r>
        <w:rPr>
          <w:rFonts w:ascii="Times New Roman" w:eastAsia="Times New Roman" w:hAnsi="Times New Roman" w:cs="Times New Roman"/>
          <w:color w:val="000000"/>
          <w:spacing w:val="0"/>
          <w:w w:val="100"/>
          <w:position w:val="0"/>
        </w:rPr>
        <w:t>1</w:t>
      </w:r>
      <w:r>
        <w:rPr>
          <w:color w:val="000000"/>
          <w:spacing w:val="0"/>
          <w:w w:val="100"/>
          <w:position w:val="0"/>
        </w:rPr>
        <w:t>）规定进行会计处理；否则将其作为附有销售退回条款的销售交易进行处理。</w:t>
      </w:r>
    </w:p>
    <w:p>
      <w:pPr>
        <w:pStyle w:val="Style22"/>
        <w:keepNext w:val="0"/>
        <w:keepLines w:val="0"/>
        <w:widowControl w:val="0"/>
        <w:shd w:val="clear" w:color="auto" w:fill="auto"/>
        <w:tabs>
          <w:tab w:pos="776" w:val="left"/>
        </w:tabs>
        <w:bidi w:val="0"/>
        <w:spacing w:before="0" w:after="0" w:line="313" w:lineRule="exact"/>
        <w:ind w:left="0" w:right="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6</w:t>
      </w:r>
      <w:r>
        <w:rPr>
          <w:color w:val="000000"/>
          <w:spacing w:val="0"/>
          <w:w w:val="100"/>
          <w:position w:val="0"/>
        </w:rPr>
        <w:t>）</w:t>
        <w:tab/>
        <w:t>向客户收取无需退回的初始费的合同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在合同开始（或接近合同开始）日向客户收取的无需退回的初始费应当计入交易价格。公司经评估，该初始费与向客户 转让已承诺的商品相关，并且该商品构成单项履约义务的，则在转让该商品时，按照分摊至该商品的交易价格确认收入；该 初始费与向客户转让已承诺的商品相关，但该商品不构成单项履约义务的，则在包含该商品的单项履约义务履行时，按照分 摊至该单项履约义务的交易价格确认收入；该初始费与向客户转让已承诺的商品不相关的，该初始费则作为未来将转让商品 的预收款，在未来转让该商品时确认为收入。</w:t>
      </w:r>
    </w:p>
    <w:p>
      <w:pPr>
        <w:pStyle w:val="Style33"/>
        <w:keepNext/>
        <w:keepLines/>
        <w:widowControl w:val="0"/>
        <w:shd w:val="clear" w:color="auto" w:fill="auto"/>
        <w:bidi w:val="0"/>
        <w:spacing w:before="0" w:after="40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4</w:t>
      </w:r>
      <w:bookmarkEnd w:id="111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13"/>
      <w:bookmarkEnd w:id="1114"/>
      <w:bookmarkEnd w:id="1116"/>
    </w:p>
    <w:p>
      <w:pPr>
        <w:pStyle w:val="Style22"/>
        <w:keepNext w:val="0"/>
        <w:keepLines w:val="0"/>
        <w:widowControl w:val="0"/>
        <w:numPr>
          <w:ilvl w:val="0"/>
          <w:numId w:val="71"/>
        </w:numPr>
        <w:shd w:val="clear" w:color="auto" w:fill="auto"/>
        <w:tabs>
          <w:tab w:pos="681" w:val="left"/>
        </w:tabs>
        <w:bidi w:val="0"/>
        <w:spacing w:before="0" w:after="0"/>
        <w:ind w:left="0" w:right="0"/>
        <w:jc w:val="both"/>
      </w:pPr>
      <w:bookmarkStart w:id="1117" w:name="bookmark1117"/>
      <w:bookmarkEnd w:id="1117"/>
      <w:r>
        <w:rPr>
          <w:color w:val="000000"/>
          <w:spacing w:val="0"/>
          <w:w w:val="100"/>
          <w:position w:val="0"/>
        </w:rPr>
        <w:t>类型</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2"/>
        <w:keepNext w:val="0"/>
        <w:keepLines w:val="0"/>
        <w:widowControl w:val="0"/>
        <w:numPr>
          <w:ilvl w:val="0"/>
          <w:numId w:val="71"/>
        </w:numPr>
        <w:shd w:val="clear" w:color="auto" w:fill="auto"/>
        <w:tabs>
          <w:tab w:pos="700" w:val="left"/>
        </w:tabs>
        <w:bidi w:val="0"/>
        <w:spacing w:before="0" w:after="0" w:line="313" w:lineRule="exact"/>
        <w:ind w:left="0" w:right="0"/>
        <w:jc w:val="both"/>
      </w:pPr>
      <w:bookmarkStart w:id="1118" w:name="bookmark1118"/>
      <w:bookmarkEnd w:id="1118"/>
      <w:r>
        <w:rPr>
          <w:color w:val="000000"/>
          <w:spacing w:val="0"/>
          <w:w w:val="100"/>
          <w:position w:val="0"/>
        </w:rPr>
        <w:t>政府补助的确认</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22"/>
        <w:keepNext w:val="0"/>
        <w:keepLines w:val="0"/>
        <w:widowControl w:val="0"/>
        <w:numPr>
          <w:ilvl w:val="0"/>
          <w:numId w:val="71"/>
        </w:numPr>
        <w:shd w:val="clear" w:color="auto" w:fill="auto"/>
        <w:tabs>
          <w:tab w:pos="700" w:val="left"/>
        </w:tabs>
        <w:bidi w:val="0"/>
        <w:spacing w:before="0" w:after="0" w:line="313" w:lineRule="exact"/>
        <w:ind w:left="0" w:right="0"/>
        <w:jc w:val="both"/>
      </w:pPr>
      <w:bookmarkStart w:id="1119" w:name="bookmark1119"/>
      <w:bookmarkEnd w:id="1119"/>
      <w:r>
        <w:rPr>
          <w:color w:val="000000"/>
          <w:spacing w:val="0"/>
          <w:w w:val="100"/>
          <w:position w:val="0"/>
        </w:rPr>
        <w:t>会计处理方法</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本公司根据经济业务的实质，确定某一类政府补助业务应当采用总额法还是净额法进行会计处理。通常情况下，本公司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对于同类或类似政府补助业务只选用一种方法，且对该业务一贯地运用该方法。</w:t>
      </w:r>
    </w:p>
    <w:tbl>
      <w:tblPr>
        <w:tblOverlap w:val="never"/>
        <w:jc w:val="left"/>
        <w:tblLayout w:type="fixed"/>
      </w:tblPr>
      <w:tblGrid>
        <w:gridCol w:w="2846"/>
        <w:gridCol w:w="547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w:t>
            </w:r>
            <w:r>
              <w:rPr>
                <w:rFonts w:ascii="Times New Roman" w:eastAsia="Times New Roman" w:hAnsi="Times New Roman" w:cs="Times New Roman"/>
                <w:color w:val="000000"/>
                <w:spacing w:val="0"/>
                <w:w w:val="100"/>
                <w:position w:val="0"/>
              </w:rPr>
              <w:t>“</w:t>
            </w:r>
            <w:r>
              <w:rPr>
                <w:color w:val="000000"/>
                <w:spacing w:val="0"/>
                <w:w w:val="100"/>
                <w:position w:val="0"/>
              </w:rPr>
              <w:t>与贷款贴息相关的政府补助</w:t>
            </w:r>
            <w:r>
              <w:rPr>
                <w:rFonts w:ascii="Times New Roman" w:eastAsia="Times New Roman" w:hAnsi="Times New Roman" w:cs="Times New Roman"/>
                <w:color w:val="000000"/>
                <w:spacing w:val="0"/>
                <w:w w:val="100"/>
                <w:position w:val="0"/>
              </w:rPr>
              <w:t>”</w:t>
            </w:r>
            <w:r>
              <w:rPr>
                <w:color w:val="000000"/>
                <w:spacing w:val="0"/>
                <w:w w:val="100"/>
                <w:position w:val="0"/>
              </w:rPr>
              <w:t>外的补助</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与贷款贴息相关的政府补助</w:t>
            </w:r>
          </w:p>
        </w:tc>
      </w:tr>
    </w:tbl>
    <w:p>
      <w:pPr>
        <w:pStyle w:val="Style2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3"/>
        <w:keepNext/>
        <w:keepLines/>
        <w:widowControl w:val="0"/>
        <w:shd w:val="clear" w:color="auto" w:fill="auto"/>
        <w:bidi w:val="0"/>
        <w:spacing w:before="0" w:after="2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0"/>
      <w:bookmarkEnd w:id="1121"/>
      <w:bookmarkEnd w:id="1123"/>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 表日，递延所得税资产和递延所得税负债，按照预期收回该资产或清偿该负债期间的适用税率计量。</w:t>
      </w:r>
    </w:p>
    <w:p>
      <w:pPr>
        <w:pStyle w:val="Style22"/>
        <w:keepNext w:val="0"/>
        <w:keepLines w:val="0"/>
        <w:widowControl w:val="0"/>
        <w:numPr>
          <w:ilvl w:val="0"/>
          <w:numId w:val="73"/>
        </w:numPr>
        <w:shd w:val="clear" w:color="auto" w:fill="auto"/>
        <w:tabs>
          <w:tab w:pos="681" w:val="left"/>
        </w:tabs>
        <w:bidi w:val="0"/>
        <w:spacing w:before="0" w:after="0"/>
        <w:ind w:left="0" w:right="0"/>
        <w:jc w:val="both"/>
      </w:pPr>
      <w:bookmarkStart w:id="1124" w:name="bookmark1124"/>
      <w:bookmarkEnd w:id="1124"/>
      <w:r>
        <w:rPr>
          <w:color w:val="000000"/>
          <w:spacing w:val="0"/>
          <w:w w:val="100"/>
          <w:position w:val="0"/>
        </w:rPr>
        <w:t>确认递延所得税资产的依据</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2"/>
        <w:keepNext w:val="0"/>
        <w:keepLines w:val="0"/>
        <w:widowControl w:val="0"/>
        <w:numPr>
          <w:ilvl w:val="0"/>
          <w:numId w:val="73"/>
        </w:numPr>
        <w:shd w:val="clear" w:color="auto" w:fill="auto"/>
        <w:tabs>
          <w:tab w:pos="700" w:val="left"/>
        </w:tabs>
        <w:bidi w:val="0"/>
        <w:spacing w:before="0" w:after="0"/>
        <w:ind w:left="0" w:right="0"/>
        <w:jc w:val="both"/>
      </w:pPr>
      <w:bookmarkStart w:id="1125" w:name="bookmark1125"/>
      <w:bookmarkEnd w:id="1125"/>
      <w:r>
        <w:rPr>
          <w:color w:val="000000"/>
          <w:spacing w:val="0"/>
          <w:w w:val="100"/>
          <w:position w:val="0"/>
        </w:rPr>
        <w:t>确认递延所得税负债的依据</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公司将当期与以前期间应交未交的应纳税暂时性差异确认为递延所得税负债。但不包括：</w:t>
      </w:r>
    </w:p>
    <w:p>
      <w:pPr>
        <w:pStyle w:val="Style22"/>
        <w:keepNext w:val="0"/>
        <w:keepLines w:val="0"/>
        <w:widowControl w:val="0"/>
        <w:shd w:val="clear" w:color="auto" w:fill="auto"/>
        <w:tabs>
          <w:tab w:pos="825" w:val="left"/>
        </w:tabs>
        <w:bidi w:val="0"/>
        <w:spacing w:before="0" w:after="0" w:line="313" w:lineRule="exact"/>
        <w:ind w:left="0" w:right="0"/>
        <w:jc w:val="both"/>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22"/>
        <w:keepNext w:val="0"/>
        <w:keepLines w:val="0"/>
        <w:widowControl w:val="0"/>
        <w:shd w:val="clear" w:color="auto" w:fill="auto"/>
        <w:tabs>
          <w:tab w:pos="901" w:val="left"/>
        </w:tabs>
        <w:bidi w:val="0"/>
        <w:spacing w:before="0" w:after="0" w:line="313" w:lineRule="exact"/>
        <w:ind w:left="0" w:right="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22"/>
        <w:keepNext w:val="0"/>
        <w:keepLines w:val="0"/>
        <w:widowControl w:val="0"/>
        <w:shd w:val="clear" w:color="auto" w:fill="auto"/>
        <w:tabs>
          <w:tab w:pos="445" w:val="left"/>
        </w:tabs>
        <w:bidi w:val="0"/>
        <w:spacing w:before="0" w:after="380" w:line="313" w:lineRule="exact"/>
        <w:ind w:left="0" w:right="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对于与子公司、联营企业投资相关的应纳税暂时性差异，该暂时性差异转回的时间能够控制并且该暂时性差异在 </w:t>
      </w:r>
      <w:r>
        <w:rPr>
          <w:color w:val="000000"/>
          <w:spacing w:val="0"/>
          <w:w w:val="100"/>
          <w:position w:val="0"/>
        </w:rPr>
        <w:t>可预见的未来很可能不会转回。</w:t>
      </w:r>
    </w:p>
    <w:p>
      <w:pPr>
        <w:pStyle w:val="Style33"/>
        <w:keepNext/>
        <w:keepLines/>
        <w:widowControl w:val="0"/>
        <w:shd w:val="clear" w:color="auto" w:fill="auto"/>
        <w:tabs>
          <w:tab w:pos="613" w:val="left"/>
        </w:tabs>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29"/>
      <w:bookmarkEnd w:id="1130"/>
      <w:bookmarkEnd w:id="1132"/>
    </w:p>
    <w:p>
      <w:pPr>
        <w:pStyle w:val="Style33"/>
        <w:keepNext/>
        <w:keepLines/>
        <w:widowControl w:val="0"/>
        <w:shd w:val="clear" w:color="auto" w:fill="auto"/>
        <w:tabs>
          <w:tab w:pos="613" w:val="left"/>
        </w:tabs>
        <w:bidi w:val="0"/>
        <w:spacing w:before="0" w:after="280" w:line="240" w:lineRule="auto"/>
        <w:ind w:left="0" w:right="0" w:firstLine="0"/>
        <w:jc w:val="left"/>
      </w:pPr>
      <w:bookmarkStart w:id="1129" w:name="bookmark1129"/>
      <w:bookmarkStart w:id="1130" w:name="bookmark1130"/>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29"/>
      <w:bookmarkEnd w:id="1130"/>
      <w:bookmarkEnd w:id="1134"/>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本公司在租赁期内各个期间采用直线法或其他系统合理的方法，将经营租赁的租赁收款额确认为租金收入；发生的与经 营租赁有关的初始直接费用资本化，在租赁期内按照与租金收入确认相同的基础进行分摊，分期计入当期损益；取得的与经 营租赁有关的未计入租赁收款额的可变租赁付款额，在实际发生时计入当期损益。</w:t>
      </w:r>
    </w:p>
    <w:p>
      <w:pPr>
        <w:pStyle w:val="Style33"/>
        <w:keepNext/>
        <w:keepLines/>
        <w:widowControl w:val="0"/>
        <w:shd w:val="clear" w:color="auto" w:fill="auto"/>
        <w:tabs>
          <w:tab w:pos="613" w:val="left"/>
        </w:tabs>
        <w:bidi w:val="0"/>
        <w:spacing w:before="0" w:after="28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35"/>
      <w:bookmarkEnd w:id="1136"/>
      <w:bookmarkEnd w:id="1138"/>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本公司在租赁开始日将租赁分为融资租赁和经营租赁。融资租赁是指实质上转移了与租赁资产所有权有关的几乎全部风 险和报酬的租赁，其所有权最终可能转移，也可能不转移。经营租赁是指除融资租赁以外的其他租赁。</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一项租赁存在下列一种或多种情形的，本公司通常分类为融资租赁：</w:t>
      </w:r>
    </w:p>
    <w:p>
      <w:pPr>
        <w:pStyle w:val="Style22"/>
        <w:keepNext w:val="0"/>
        <w:keepLines w:val="0"/>
        <w:widowControl w:val="0"/>
        <w:shd w:val="clear" w:color="auto" w:fill="auto"/>
        <w:tabs>
          <w:tab w:pos="729" w:val="left"/>
        </w:tabs>
        <w:bidi w:val="0"/>
        <w:spacing w:before="0" w:after="0" w:line="312" w:lineRule="exact"/>
        <w:ind w:left="0" w:right="0"/>
        <w:jc w:val="both"/>
      </w:pPr>
      <w:bookmarkStart w:id="1139" w:name="bookmark1139"/>
      <w:r>
        <w:rPr>
          <w:rFonts w:ascii="Times New Roman" w:eastAsia="Times New Roman" w:hAnsi="Times New Roman" w:cs="Times New Roman"/>
          <w:color w:val="000000"/>
          <w:spacing w:val="0"/>
          <w:w w:val="100"/>
          <w:position w:val="0"/>
        </w:rPr>
        <w:t>1</w:t>
      </w:r>
      <w:bookmarkEnd w:id="1139"/>
      <w:r>
        <w:rPr>
          <w:color w:val="000000"/>
          <w:spacing w:val="0"/>
          <w:w w:val="100"/>
          <w:position w:val="0"/>
        </w:rPr>
        <w:t>）</w:t>
        <w:tab/>
        <w:t>在租赁期届满时，租赁资产的所有权转移给承租人。</w:t>
      </w:r>
    </w:p>
    <w:p>
      <w:pPr>
        <w:pStyle w:val="Style22"/>
        <w:keepNext w:val="0"/>
        <w:keepLines w:val="0"/>
        <w:widowControl w:val="0"/>
        <w:shd w:val="clear" w:color="auto" w:fill="auto"/>
        <w:tabs>
          <w:tab w:pos="718" w:val="left"/>
        </w:tabs>
        <w:bidi w:val="0"/>
        <w:spacing w:before="0" w:after="0" w:line="312" w:lineRule="exact"/>
        <w:ind w:left="0" w:right="0"/>
        <w:jc w:val="both"/>
      </w:pPr>
      <w:bookmarkStart w:id="1140" w:name="bookmark1140"/>
      <w:r>
        <w:rPr>
          <w:rFonts w:ascii="Times New Roman" w:eastAsia="Times New Roman" w:hAnsi="Times New Roman" w:cs="Times New Roman"/>
          <w:color w:val="000000"/>
          <w:spacing w:val="0"/>
          <w:w w:val="100"/>
          <w:position w:val="0"/>
        </w:rPr>
        <w:t>2</w:t>
      </w:r>
      <w:bookmarkEnd w:id="1140"/>
      <w:r>
        <w:rPr>
          <w:color w:val="000000"/>
          <w:spacing w:val="0"/>
          <w:w w:val="100"/>
          <w:position w:val="0"/>
        </w:rPr>
        <w:t>）</w:t>
        <w:tab/>
        <w:t>承租人有购买租赁资产的选择权，所订立的购买价款与预计行使选择权时租赁资产的公允价值相比足够低，因而在 租赁开始日就可以合理确定承租人将行使该选择权。</w:t>
      </w:r>
    </w:p>
    <w:p>
      <w:pPr>
        <w:pStyle w:val="Style22"/>
        <w:keepNext w:val="0"/>
        <w:keepLines w:val="0"/>
        <w:widowControl w:val="0"/>
        <w:shd w:val="clear" w:color="auto" w:fill="auto"/>
        <w:tabs>
          <w:tab w:pos="738" w:val="left"/>
        </w:tabs>
        <w:bidi w:val="0"/>
        <w:spacing w:before="0" w:after="0" w:line="312" w:lineRule="exact"/>
        <w:ind w:left="0" w:right="0"/>
        <w:jc w:val="both"/>
      </w:pPr>
      <w:bookmarkStart w:id="1141" w:name="bookmark1141"/>
      <w:r>
        <w:rPr>
          <w:rFonts w:ascii="Times New Roman" w:eastAsia="Times New Roman" w:hAnsi="Times New Roman" w:cs="Times New Roman"/>
          <w:color w:val="000000"/>
          <w:spacing w:val="0"/>
          <w:w w:val="100"/>
          <w:position w:val="0"/>
        </w:rPr>
        <w:t>3</w:t>
      </w:r>
      <w:bookmarkEnd w:id="1141"/>
      <w:r>
        <w:rPr>
          <w:color w:val="000000"/>
          <w:spacing w:val="0"/>
          <w:w w:val="100"/>
          <w:position w:val="0"/>
        </w:rPr>
        <w:t>）</w:t>
        <w:tab/>
        <w:t>资产的所有权虽然不转移，但租赁期占租赁资产使用寿命的大部分。</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42" w:name="bookmark1142"/>
      <w:r>
        <w:rPr>
          <w:rFonts w:ascii="Times New Roman" w:eastAsia="Times New Roman" w:hAnsi="Times New Roman" w:cs="Times New Roman"/>
          <w:color w:val="000000"/>
          <w:spacing w:val="0"/>
          <w:w w:val="100"/>
          <w:position w:val="0"/>
        </w:rPr>
        <w:t>4</w:t>
      </w:r>
      <w:bookmarkEnd w:id="1142"/>
      <w:r>
        <w:rPr>
          <w:color w:val="000000"/>
          <w:spacing w:val="0"/>
          <w:w w:val="100"/>
          <w:position w:val="0"/>
        </w:rPr>
        <w:t>）</w:t>
        <w:tab/>
        <w:t>在租赁开始日，租赁收款额的现值几乎相当于租赁资产的公允价值。</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43" w:name="bookmark1143"/>
      <w:r>
        <w:rPr>
          <w:rFonts w:ascii="Times New Roman" w:eastAsia="Times New Roman" w:hAnsi="Times New Roman" w:cs="Times New Roman"/>
          <w:color w:val="000000"/>
          <w:spacing w:val="0"/>
          <w:w w:val="100"/>
          <w:position w:val="0"/>
        </w:rPr>
        <w:t>5</w:t>
      </w:r>
      <w:bookmarkEnd w:id="1143"/>
      <w:r>
        <w:rPr>
          <w:color w:val="000000"/>
          <w:spacing w:val="0"/>
          <w:w w:val="100"/>
          <w:position w:val="0"/>
        </w:rPr>
        <w:t>）</w:t>
        <w:tab/>
        <w:t>租赁资产性质特殊，如果不作较大改造，只有承租人才能使用。</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一项租赁存在下列一项或多项迹象的，本公司也可能分类为融资租赁：</w:t>
      </w:r>
    </w:p>
    <w:p>
      <w:pPr>
        <w:pStyle w:val="Style22"/>
        <w:keepNext w:val="0"/>
        <w:keepLines w:val="0"/>
        <w:widowControl w:val="0"/>
        <w:shd w:val="clear" w:color="auto" w:fill="auto"/>
        <w:tabs>
          <w:tab w:pos="729" w:val="left"/>
        </w:tabs>
        <w:bidi w:val="0"/>
        <w:spacing w:before="0" w:after="0" w:line="312" w:lineRule="exact"/>
        <w:ind w:left="0" w:right="0"/>
        <w:jc w:val="both"/>
      </w:pPr>
      <w:bookmarkStart w:id="1144" w:name="bookmark1144"/>
      <w:r>
        <w:rPr>
          <w:rFonts w:ascii="Times New Roman" w:eastAsia="Times New Roman" w:hAnsi="Times New Roman" w:cs="Times New Roman"/>
          <w:color w:val="000000"/>
          <w:spacing w:val="0"/>
          <w:w w:val="100"/>
          <w:position w:val="0"/>
        </w:rPr>
        <w:t>1</w:t>
      </w:r>
      <w:bookmarkEnd w:id="1144"/>
      <w:r>
        <w:rPr>
          <w:color w:val="000000"/>
          <w:spacing w:val="0"/>
          <w:w w:val="100"/>
          <w:position w:val="0"/>
        </w:rPr>
        <w:t>）</w:t>
        <w:tab/>
        <w:t>若承租人撤销租赁，撤销租赁对出租人造成的损失由承租人承担。</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45" w:name="bookmark1145"/>
      <w:r>
        <w:rPr>
          <w:rFonts w:ascii="Times New Roman" w:eastAsia="Times New Roman" w:hAnsi="Times New Roman" w:cs="Times New Roman"/>
          <w:color w:val="000000"/>
          <w:spacing w:val="0"/>
          <w:w w:val="100"/>
          <w:position w:val="0"/>
        </w:rPr>
        <w:t>2</w:t>
      </w:r>
      <w:bookmarkEnd w:id="1145"/>
      <w:r>
        <w:rPr>
          <w:color w:val="000000"/>
          <w:spacing w:val="0"/>
          <w:w w:val="100"/>
          <w:position w:val="0"/>
        </w:rPr>
        <w:t>）</w:t>
        <w:tab/>
        <w:t>资产余值的公允价值波动所产生的利得或损失归属于承租人。</w:t>
      </w:r>
    </w:p>
    <w:p>
      <w:pPr>
        <w:pStyle w:val="Style22"/>
        <w:keepNext w:val="0"/>
        <w:keepLines w:val="0"/>
        <w:widowControl w:val="0"/>
        <w:shd w:val="clear" w:color="auto" w:fill="auto"/>
        <w:tabs>
          <w:tab w:pos="738" w:val="left"/>
        </w:tabs>
        <w:bidi w:val="0"/>
        <w:spacing w:before="0" w:after="0" w:line="312" w:lineRule="exact"/>
        <w:ind w:left="0" w:right="0"/>
        <w:jc w:val="both"/>
      </w:pPr>
      <w:bookmarkStart w:id="1146" w:name="bookmark1146"/>
      <w:r>
        <w:rPr>
          <w:rFonts w:ascii="Times New Roman" w:eastAsia="Times New Roman" w:hAnsi="Times New Roman" w:cs="Times New Roman"/>
          <w:color w:val="000000"/>
          <w:spacing w:val="0"/>
          <w:w w:val="100"/>
          <w:position w:val="0"/>
        </w:rPr>
        <w:t>3</w:t>
      </w:r>
      <w:bookmarkEnd w:id="1146"/>
      <w:r>
        <w:rPr>
          <w:color w:val="000000"/>
          <w:spacing w:val="0"/>
          <w:w w:val="100"/>
          <w:position w:val="0"/>
        </w:rPr>
        <w:t>）</w:t>
        <w:tab/>
        <w:t>承租人有能力以远低于市场水平的租金继续租赁至下一期间。</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）对融资租赁的会计处理</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在租赁期开始日，本公司对融资租赁确认应收融资租赁款，并终止确认融资租赁资产。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应收融资租赁款初始计量时，以未担保余值和租赁期开始日尚未收到的租赁收款额按照租赁内含利率折现的现值之和作 为应收融资租赁款的入账价值。租赁收款额包括：</w:t>
      </w:r>
    </w:p>
    <w:p>
      <w:pPr>
        <w:pStyle w:val="Style22"/>
        <w:keepNext w:val="0"/>
        <w:keepLines w:val="0"/>
        <w:widowControl w:val="0"/>
        <w:shd w:val="clear" w:color="auto" w:fill="auto"/>
        <w:tabs>
          <w:tab w:pos="729" w:val="left"/>
        </w:tabs>
        <w:bidi w:val="0"/>
        <w:spacing w:before="0" w:after="0" w:line="312" w:lineRule="exact"/>
        <w:ind w:left="0" w:right="0"/>
        <w:jc w:val="both"/>
      </w:pPr>
      <w:bookmarkStart w:id="1147" w:name="bookmark1147"/>
      <w:r>
        <w:rPr>
          <w:rFonts w:ascii="Times New Roman" w:eastAsia="Times New Roman" w:hAnsi="Times New Roman" w:cs="Times New Roman"/>
          <w:color w:val="000000"/>
          <w:spacing w:val="0"/>
          <w:w w:val="100"/>
          <w:position w:val="0"/>
        </w:rPr>
        <w:t>1</w:t>
      </w:r>
      <w:bookmarkEnd w:id="1147"/>
      <w:r>
        <w:rPr>
          <w:color w:val="000000"/>
          <w:spacing w:val="0"/>
          <w:w w:val="100"/>
          <w:position w:val="0"/>
        </w:rPr>
        <w:t>）</w:t>
        <w:tab/>
        <w:t>扣除租赁激励相关金额后的固定付款额及实质固定付款额；</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48" w:name="bookmark1148"/>
      <w:r>
        <w:rPr>
          <w:rFonts w:ascii="Times New Roman" w:eastAsia="Times New Roman" w:hAnsi="Times New Roman" w:cs="Times New Roman"/>
          <w:color w:val="000000"/>
          <w:spacing w:val="0"/>
          <w:w w:val="100"/>
          <w:position w:val="0"/>
        </w:rPr>
        <w:t>2</w:t>
      </w:r>
      <w:bookmarkEnd w:id="1148"/>
      <w:r>
        <w:rPr>
          <w:color w:val="000000"/>
          <w:spacing w:val="0"/>
          <w:w w:val="100"/>
          <w:position w:val="0"/>
        </w:rPr>
        <w:t>）</w:t>
        <w:tab/>
        <w:t>取决于指数或比率的可变租赁付款额；</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49" w:name="bookmark1149"/>
      <w:r>
        <w:rPr>
          <w:rFonts w:ascii="Times New Roman" w:eastAsia="Times New Roman" w:hAnsi="Times New Roman" w:cs="Times New Roman"/>
          <w:color w:val="000000"/>
          <w:spacing w:val="0"/>
          <w:w w:val="100"/>
          <w:position w:val="0"/>
        </w:rPr>
        <w:t>3</w:t>
      </w:r>
      <w:bookmarkEnd w:id="1149"/>
      <w:r>
        <w:rPr>
          <w:color w:val="000000"/>
          <w:spacing w:val="0"/>
          <w:w w:val="100"/>
          <w:position w:val="0"/>
        </w:rPr>
        <w:t>）</w:t>
        <w:tab/>
        <w:t>合理确定承租人将行使购买选择权的情况下，租赁收款额包括购买选择权的行权价格；</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50" w:name="bookmark1150"/>
      <w:r>
        <w:rPr>
          <w:rFonts w:ascii="Times New Roman" w:eastAsia="Times New Roman" w:hAnsi="Times New Roman" w:cs="Times New Roman"/>
          <w:color w:val="000000"/>
          <w:spacing w:val="0"/>
          <w:w w:val="100"/>
          <w:position w:val="0"/>
        </w:rPr>
        <w:t>4</w:t>
      </w:r>
      <w:bookmarkEnd w:id="1150"/>
      <w:r>
        <w:rPr>
          <w:color w:val="000000"/>
          <w:spacing w:val="0"/>
          <w:w w:val="100"/>
          <w:position w:val="0"/>
        </w:rPr>
        <w:t>）</w:t>
        <w:tab/>
        <w:t>租赁期反映出承租人将行使终止租赁选择权的情况下，租赁收款额包括承租人行使终止租赁选择权需支付的款项；</w:t>
      </w:r>
    </w:p>
    <w:p>
      <w:pPr>
        <w:pStyle w:val="Style22"/>
        <w:keepNext w:val="0"/>
        <w:keepLines w:val="0"/>
        <w:widowControl w:val="0"/>
        <w:shd w:val="clear" w:color="auto" w:fill="auto"/>
        <w:tabs>
          <w:tab w:pos="748" w:val="left"/>
        </w:tabs>
        <w:bidi w:val="0"/>
        <w:spacing w:before="0" w:after="0" w:line="312" w:lineRule="exact"/>
        <w:ind w:left="0" w:right="0"/>
        <w:jc w:val="both"/>
      </w:pPr>
      <w:bookmarkStart w:id="1151" w:name="bookmark1151"/>
      <w:r>
        <w:rPr>
          <w:rFonts w:ascii="Times New Roman" w:eastAsia="Times New Roman" w:hAnsi="Times New Roman" w:cs="Times New Roman"/>
          <w:color w:val="000000"/>
          <w:spacing w:val="0"/>
          <w:w w:val="100"/>
          <w:position w:val="0"/>
        </w:rPr>
        <w:t>5</w:t>
      </w:r>
      <w:bookmarkEnd w:id="1151"/>
      <w:r>
        <w:rPr>
          <w:color w:val="000000"/>
          <w:spacing w:val="0"/>
          <w:w w:val="100"/>
          <w:position w:val="0"/>
        </w:rPr>
        <w:t>）</w:t>
        <w:tab/>
        <w:t>由承租人、与承租人有关的一方以及有经济能力履行担保义务的独立第三方向出租人提供的担保余值。</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33"/>
        <w:keepNext/>
        <w:keepLines/>
        <w:widowControl w:val="0"/>
        <w:shd w:val="clear" w:color="auto" w:fill="auto"/>
        <w:tabs>
          <w:tab w:pos="613" w:val="left"/>
        </w:tabs>
        <w:bidi w:val="0"/>
        <w:spacing w:before="0" w:after="2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52"/>
      <w:bookmarkEnd w:id="1153"/>
      <w:bookmarkEnd w:id="1155"/>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22"/>
        <w:keepNext w:val="0"/>
        <w:keepLines w:val="0"/>
        <w:widowControl w:val="0"/>
        <w:shd w:val="clear" w:color="auto" w:fill="auto"/>
        <w:tabs>
          <w:tab w:pos="825" w:val="left"/>
        </w:tabs>
        <w:bidi w:val="0"/>
        <w:spacing w:before="0" w:after="0" w:line="312" w:lineRule="exact"/>
        <w:ind w:left="0" w:right="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22"/>
        <w:keepNext w:val="0"/>
        <w:keepLines w:val="0"/>
        <w:widowControl w:val="0"/>
        <w:shd w:val="clear" w:color="auto" w:fill="auto"/>
        <w:tabs>
          <w:tab w:pos="825" w:val="left"/>
        </w:tabs>
        <w:bidi w:val="0"/>
        <w:spacing w:before="0" w:after="0" w:line="312" w:lineRule="exact"/>
        <w:ind w:left="0" w:right="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该组成部分是拟对一项独立的主要业务或一个单独的主要经营地区进行处置的一项相关联计划的一部分。</w:t>
      </w:r>
    </w:p>
    <w:p>
      <w:pPr>
        <w:pStyle w:val="Style22"/>
        <w:keepNext w:val="0"/>
        <w:keepLines w:val="0"/>
        <w:widowControl w:val="0"/>
        <w:shd w:val="clear" w:color="auto" w:fill="auto"/>
        <w:tabs>
          <w:tab w:pos="825" w:val="left"/>
        </w:tabs>
        <w:bidi w:val="0"/>
        <w:spacing w:before="0" w:after="0" w:line="312" w:lineRule="exact"/>
        <w:ind w:left="0" w:right="0"/>
        <w:jc w:val="left"/>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终止经营的减值损失和转回金额等经营损益及处置损益作为终止经营损益在利润表中列示。</w:t>
      </w:r>
      <w:r>
        <w:br w:type="page"/>
      </w:r>
    </w:p>
    <w:p>
      <w:pPr>
        <w:pStyle w:val="Style33"/>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59"/>
      <w:bookmarkEnd w:id="1160"/>
      <w:bookmarkEnd w:id="1162"/>
    </w:p>
    <w:p>
      <w:pPr>
        <w:pStyle w:val="Style33"/>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9"/>
      <w:bookmarkEnd w:id="1160"/>
      <w:bookmarkEnd w:id="116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w:t>
            </w:r>
            <w:r>
              <w:rPr>
                <w:color w:val="000000"/>
                <w:spacing w:val="0"/>
                <w:w w:val="100"/>
                <w:position w:val="0"/>
              </w:rPr>
              <w:t>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部</w:t>
            </w:r>
            <w:r>
              <w:rPr>
                <w:rFonts w:ascii="Times New Roman" w:eastAsia="Times New Roman" w:hAnsi="Times New Roman" w:cs="Times New Roman"/>
                <w:color w:val="000000"/>
                <w:spacing w:val="0"/>
                <w:w w:val="100"/>
                <w:position w:val="0"/>
              </w:rPr>
              <w:t>2021</w:t>
            </w:r>
            <w:r>
              <w:rPr>
                <w:color w:val="000000"/>
                <w:spacing w:val="0"/>
                <w:w w:val="100"/>
                <w:position w:val="0"/>
              </w:rPr>
              <w:t>年发布的《企业会计准则解释第</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 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年发布的《企业会计准则解释第 </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r>
    </w:tbl>
    <w:p>
      <w:pPr>
        <w:pStyle w:val="Style29"/>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会计政策变更说明：</w:t>
      </w:r>
    </w:p>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）执行新租赁准则对本公司的影响</w:t>
      </w:r>
    </w:p>
    <w:p>
      <w:pPr>
        <w:pStyle w:val="Style22"/>
        <w:keepNext w:val="0"/>
        <w:keepLines w:val="0"/>
        <w:widowControl w:val="0"/>
        <w:shd w:val="clear" w:color="auto" w:fill="auto"/>
        <w:bidi w:val="0"/>
        <w:spacing w:before="0" w:after="0" w:line="319" w:lineRule="exact"/>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号——租赁》，变更后的会计政策详见附注五。 在首次执行日，本公司选择不重新评估此前已存在的合同是否为租赁或是否包含租赁，并将此方法一致应用于所有合同，因 此仅对上述在原租赁准则下识别为租赁的合同采用本准则衔接规定。</w:t>
      </w:r>
    </w:p>
    <w:p>
      <w:pPr>
        <w:pStyle w:val="Style22"/>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w:t>
      </w:r>
    </w:p>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执行新租赁准则对本期财务报表相关项目的影响列示如下:</w:t>
      </w:r>
    </w:p>
    <w:tbl>
      <w:tblPr>
        <w:tblOverlap w:val="never"/>
        <w:jc w:val="left"/>
        <w:tblLayout w:type="fixed"/>
      </w:tblPr>
      <w:tblGrid>
        <w:gridCol w:w="1685"/>
        <w:gridCol w:w="1536"/>
        <w:gridCol w:w="1253"/>
        <w:gridCol w:w="1258"/>
        <w:gridCol w:w="1253"/>
        <w:gridCol w:w="1402"/>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i/>
                <w:iCs/>
                <w:color w:val="000000"/>
                <w:spacing w:val="0"/>
                <w:w w:val="100"/>
                <w:position w:val="0"/>
              </w:rPr>
              <w:t>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重新计量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13,216,446.18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-4,229,582.56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-4,229,582.56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8,986,863.62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40,209,074.28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-362,639.00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39,846,435.28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8,186,050.07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-1,156,009.16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- 1,156,009.16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7,030,040.91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32,534,462.22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32,534,462.22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32,534,462.22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2,140,932,920.99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-5,748,230.72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32,534,462.22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26,786,231.50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2,167,719,152.49</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21,034,213.67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14,639,570.72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14,639,570.72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35,673,784.39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12,146,660.78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12,146,660.78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12,146,660.78</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615,095,928.99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26,786,231.50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26,786,231.50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641,882,160.49</w:t>
            </w:r>
          </w:p>
        </w:tc>
      </w:tr>
    </w:tbl>
    <w:p>
      <w:pPr>
        <w:pStyle w:val="Style2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22"/>
        <w:keepNext w:val="0"/>
        <w:keepLines w:val="0"/>
        <w:widowControl w:val="0"/>
        <w:shd w:val="clear" w:color="auto" w:fill="auto"/>
        <w:tabs>
          <w:tab w:pos="805" w:val="left"/>
        </w:tabs>
        <w:bidi w:val="0"/>
        <w:spacing w:before="0" w:after="100" w:line="317" w:lineRule="exact"/>
        <w:ind w:left="0" w:right="0" w:firstLine="360"/>
        <w:jc w:val="left"/>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号对本公司的影响</w:t>
      </w:r>
    </w:p>
    <w:p>
      <w:pPr>
        <w:pStyle w:val="Style22"/>
        <w:keepNext w:val="0"/>
        <w:keepLines w:val="0"/>
        <w:widowControl w:val="0"/>
        <w:shd w:val="clear" w:color="auto" w:fill="auto"/>
        <w:tabs>
          <w:tab w:pos="6483" w:val="left"/>
        </w:tabs>
        <w:bidi w:val="0"/>
        <w:spacing w:before="0" w:after="0"/>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22"/>
        <w:keepNext w:val="0"/>
        <w:keepLines w:val="0"/>
        <w:widowControl w:val="0"/>
        <w:shd w:val="clear" w:color="auto" w:fill="auto"/>
        <w:tabs>
          <w:tab w:pos="805" w:val="left"/>
        </w:tabs>
        <w:bidi w:val="0"/>
        <w:spacing w:before="0" w:after="240" w:line="317" w:lineRule="exact"/>
        <w:ind w:left="0" w:right="0" w:firstLine="36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号对本公司的影响</w:t>
      </w:r>
    </w:p>
    <w:p>
      <w:pPr>
        <w:pStyle w:val="Style22"/>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 日起实施。解释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号对通过内部结算中心、财务公司等对母公司及成员单位资金实行集中统一管理的列报进行了规范。</w:t>
      </w:r>
    </w:p>
    <w:p>
      <w:pPr>
        <w:pStyle w:val="Style22"/>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号，执行解释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号对可比期间财务报表无重大影响。</w:t>
      </w:r>
    </w:p>
    <w:p>
      <w:pPr>
        <w:pStyle w:val="Style33"/>
        <w:keepNext/>
        <w:keepLines/>
        <w:widowControl w:val="0"/>
        <w:numPr>
          <w:ilvl w:val="0"/>
          <w:numId w:val="75"/>
        </w:numPr>
        <w:shd w:val="clear" w:color="auto" w:fill="auto"/>
        <w:tabs>
          <w:tab w:pos="493" w:val="left"/>
        </w:tabs>
        <w:bidi w:val="0"/>
        <w:spacing w:before="0" w:after="280" w:line="240" w:lineRule="auto"/>
        <w:ind w:left="0" w:right="0" w:firstLine="0"/>
        <w:jc w:val="both"/>
      </w:pPr>
      <w:bookmarkStart w:id="1167" w:name="bookmark1167"/>
      <w:bookmarkStart w:id="1168" w:name="bookmark1168"/>
      <w:bookmarkStart w:id="1169" w:name="bookmark1169"/>
      <w:bookmarkStart w:id="1170" w:name="bookmark1170"/>
      <w:bookmarkEnd w:id="1169"/>
      <w:r>
        <w:rPr>
          <w:color w:val="000000"/>
          <w:spacing w:val="0"/>
          <w:w w:val="100"/>
          <w:position w:val="0"/>
        </w:rPr>
        <w:t>重要会计估计变更</w:t>
      </w:r>
      <w:bookmarkEnd w:id="1167"/>
      <w:bookmarkEnd w:id="1168"/>
      <w:bookmarkEnd w:id="1170"/>
    </w:p>
    <w:p>
      <w:pPr>
        <w:pStyle w:val="Style22"/>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75"/>
        </w:numPr>
        <w:shd w:val="clear" w:color="auto" w:fill="auto"/>
        <w:tabs>
          <w:tab w:pos="493" w:val="left"/>
        </w:tabs>
        <w:bidi w:val="0"/>
        <w:spacing w:before="0" w:after="280" w:line="240" w:lineRule="auto"/>
        <w:ind w:left="0" w:right="0" w:firstLine="0"/>
        <w:jc w:val="both"/>
      </w:pPr>
      <w:bookmarkStart w:id="1171" w:name="bookmark1171"/>
      <w:bookmarkStart w:id="1172" w:name="bookmark1172"/>
      <w:bookmarkStart w:id="1173" w:name="bookmark1173"/>
      <w:bookmarkStart w:id="1174" w:name="bookmark1174"/>
      <w:bookmarkEnd w:id="117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71"/>
      <w:bookmarkEnd w:id="1172"/>
      <w:bookmarkEnd w:id="1174"/>
    </w:p>
    <w:p>
      <w:pPr>
        <w:pStyle w:val="Style2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949,320,556.11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949,320,556.11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447,357,898.72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447,357,898.72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13,216,446.18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8,986,863.62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-4,229,582.56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40,209,074.28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39,846,435.28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-362,639.00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41,877,024.65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41,877,024.65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8,186,050.07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7,030,040.91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-1,156,009.16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1,501,167,050.01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1,495,418,819.29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-5,748,230.72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56,953,590.13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56,953,590.13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18,311,565.80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18,311,565.80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32,534,462.22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32,534,462.22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57,657,304.80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57,657,304.80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274,602,419.91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274,602,419.91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5,949,845.61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5,949,845.61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40,336,730.51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40,336,730.51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639,765,870.98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672,300,333.20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32,534,462.22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2,140,932,920.99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2,167,719,152.49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26,786,231.50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145,923,506.68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145,923,506.68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79,393,603.77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79,393,603.77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118,701,059.75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118,701,059.75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38,992,767.42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38,992,767.42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7,153,254.24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7,153,254.24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21,034,213.67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35,673,784.39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14,639,570.72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1,727,688.86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1,727,688.86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581,175,628.62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595,815,199.34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14,639,570.72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28,566,412.68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12,146,660.78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12,146,660.78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5,353,887.69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5,353,887.69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33,920,300.37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46,066,961.15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12,146,660.78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615,095,928.99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641,882,160.49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26,786,231.50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280,685,134.00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280,685,134.00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604,646,214.96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604,646,214.96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456,027,274.91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456,027,274.91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1,382,941,083.10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1,382,941,083.10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142,895,908.90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142,895,908.90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1,525,836,992.00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1,525,836,992.00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2,140,932,920.99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2,167,719,152.49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396,062,111.31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396,062,111.31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325,268,123.96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325,268,123.96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6,224,023.88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4,700,553.60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-1,523,470.28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46,194,896.45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45,832,257.45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-362,639.00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22,030,343.23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22,030,343.23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392,709.54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392,709.54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796,172,208.37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794,286,099.09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-1,886,109.28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835,208,080.74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835,208,080.74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30,610,865.03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30,610,865.03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92,192,124.88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92,192,124.88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8,163,929.62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8,163,929.62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7,857,314.66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7,857,314.66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701,191.05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701,191.05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23,505,301.12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23,505,301.12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993,153,203.56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1,001,317,133.18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8,163,929.62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1,789,325,411.93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1,795,603,232.27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6,277,820.34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160,631,394.92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160,631,394.92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39,551,763.61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39,551,763.61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48,038,180.32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48,038,180.32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15,046,993.02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15,046,993.02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40,608,203.70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40,608,203.70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21,034,213.67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26,645,293.25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5,611,079.58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640,742.12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640,742.12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493,801,025.59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499,412,105.17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5,611,079.58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28,566,412.68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666,740.76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666,740.76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29,233,153.44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666,740.76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522,367,438.27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528,645,258.61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6,277,820.34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280,685,134.00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280,685,134.00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650,912,493.21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650,912,493.21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41,830,681.02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293,777,887.22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293,777,887.22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1,266,957,973.66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1,266,957,973.66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1,789,325,411.93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1,795,603,232.27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6,277,820.34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3"/>
        <w:keepNext/>
        <w:keepLines/>
        <w:widowControl w:val="0"/>
        <w:numPr>
          <w:ilvl w:val="0"/>
          <w:numId w:val="77"/>
        </w:numPr>
        <w:shd w:val="clear" w:color="auto" w:fill="auto"/>
        <w:tabs>
          <w:tab w:pos="493" w:val="left"/>
        </w:tabs>
        <w:bidi w:val="0"/>
        <w:spacing w:before="0" w:after="300" w:line="240" w:lineRule="auto"/>
        <w:ind w:left="0" w:right="0" w:firstLine="0"/>
        <w:jc w:val="left"/>
      </w:pPr>
      <w:bookmarkStart w:id="1175" w:name="bookmark1175"/>
      <w:bookmarkStart w:id="1176" w:name="bookmark1176"/>
      <w:bookmarkStart w:id="1177" w:name="bookmark1177"/>
      <w:bookmarkStart w:id="1178" w:name="bookmark1178"/>
      <w:bookmarkEnd w:id="117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75"/>
      <w:bookmarkEnd w:id="1176"/>
      <w:bookmarkEnd w:id="1178"/>
    </w:p>
    <w:p>
      <w:pPr>
        <w:pStyle w:val="Style2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numPr>
          <w:ilvl w:val="0"/>
          <w:numId w:val="79"/>
        </w:numPr>
        <w:shd w:val="clear" w:color="auto" w:fill="auto"/>
        <w:bidi w:val="0"/>
        <w:spacing w:before="0" w:after="0" w:line="312" w:lineRule="exact"/>
        <w:ind w:left="0" w:right="0"/>
        <w:jc w:val="left"/>
      </w:pPr>
      <w:bookmarkStart w:id="1179" w:name="bookmark1179"/>
      <w:bookmarkEnd w:id="1179"/>
      <w:r>
        <w:rPr>
          <w:color w:val="000000"/>
          <w:spacing w:val="0"/>
          <w:w w:val="100"/>
          <w:position w:val="0"/>
        </w:rPr>
        <w:t>执行新租赁准则对本公司的影响</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号——租赁》，变更后的会计政策详见附注五。</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 xml:space="preserve">号——会计政策、会计估计变更和差错更正》的规定选择采 用简化的追溯调整法进行衔接会计处理，即调整首次执行本准则当年年初留存收益及财务报表其他相关项目金额，不调整可 </w:t>
      </w:r>
      <w:r>
        <w:rPr>
          <w:color w:val="000000"/>
          <w:spacing w:val="0"/>
          <w:w w:val="100"/>
          <w:position w:val="0"/>
        </w:rPr>
        <w:t>比期间信息，并对其中的经营租赁根据每项租赁选择使用权资产计量方法和采用相关简化处理。</w:t>
      </w:r>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执行新租赁准则对本期财务报表相关项目的影响列示如下：</w:t>
      </w:r>
    </w:p>
    <w:tbl>
      <w:tblPr>
        <w:tblOverlap w:val="never"/>
        <w:jc w:val="left"/>
        <w:tblLayout w:type="fixed"/>
      </w:tblPr>
      <w:tblGrid>
        <w:gridCol w:w="1685"/>
        <w:gridCol w:w="1536"/>
        <w:gridCol w:w="1253"/>
        <w:gridCol w:w="1258"/>
        <w:gridCol w:w="1253"/>
        <w:gridCol w:w="1402"/>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i/>
                <w:iCs/>
                <w:color w:val="000000"/>
                <w:spacing w:val="0"/>
                <w:w w:val="100"/>
                <w:position w:val="0"/>
              </w:rPr>
              <w:t>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重新计量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13,216,446.18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-4,229,582.56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-4,229,582.56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8,986,863.62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40,209,074.28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-362,639.00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39,846,435.28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8,186,050.07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-1,156,009.16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- 1,156,009.16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7,030,040.91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32,534,462.22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32,534,462.22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32,534,462.22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2,140,932,920.99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-5,748,230.72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32,534,462.22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26,786,231.50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2,167,719,152.49</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21,034,213.67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14,639,570.72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14,639,570.72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35,673,784.39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12,146,660.78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12,146,660.78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12,146,660.78</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615,095,928.99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26,786,231.50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26,786,231.50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641,882,160.49</w:t>
            </w:r>
          </w:p>
        </w:tc>
      </w:tr>
    </w:tbl>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注：上表仅呈列受影响的财务报表项目，不受影响的财务报表项目不包括在内，因此所披露的小计和合计无法根据上表中呈 列的数字重新计算得出。</w:t>
      </w:r>
    </w:p>
    <w:p>
      <w:pPr>
        <w:pStyle w:val="Style22"/>
        <w:keepNext w:val="0"/>
        <w:keepLines w:val="0"/>
        <w:widowControl w:val="0"/>
        <w:numPr>
          <w:ilvl w:val="0"/>
          <w:numId w:val="79"/>
        </w:numPr>
        <w:shd w:val="clear" w:color="auto" w:fill="auto"/>
        <w:bidi w:val="0"/>
        <w:spacing w:before="0" w:after="0"/>
        <w:ind w:left="0" w:right="0" w:firstLine="300"/>
        <w:jc w:val="left"/>
      </w:pPr>
      <w:bookmarkStart w:id="1180" w:name="bookmark1180"/>
      <w:bookmarkEnd w:id="1180"/>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号对本公司的影响</w:t>
      </w:r>
    </w:p>
    <w:p>
      <w:pPr>
        <w:pStyle w:val="Style22"/>
        <w:keepNext w:val="0"/>
        <w:keepLines w:val="0"/>
        <w:widowControl w:val="0"/>
        <w:shd w:val="clear" w:color="auto" w:fill="auto"/>
        <w:tabs>
          <w:tab w:pos="6518" w:val="left"/>
        </w:tabs>
        <w:bidi w:val="0"/>
        <w:spacing w:before="0" w:after="0"/>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22"/>
        <w:keepNext w:val="0"/>
        <w:keepLines w:val="0"/>
        <w:widowControl w:val="0"/>
        <w:numPr>
          <w:ilvl w:val="0"/>
          <w:numId w:val="79"/>
        </w:numPr>
        <w:shd w:val="clear" w:color="auto" w:fill="auto"/>
        <w:bidi w:val="0"/>
        <w:spacing w:before="0" w:after="0"/>
        <w:ind w:left="0" w:right="0"/>
        <w:jc w:val="left"/>
      </w:pPr>
      <w:bookmarkStart w:id="1181" w:name="bookmark1181"/>
      <w:bookmarkEnd w:id="1181"/>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号对本公司的影响</w:t>
      </w:r>
    </w:p>
    <w:p>
      <w:pPr>
        <w:pStyle w:val="Style2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 日起实施。解释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号对通过内部结算中心、财务公司等对母公司及成员单位资金实行集中统一管理的列报进行了规范。</w:t>
      </w:r>
    </w:p>
    <w:p>
      <w:pPr>
        <w:pStyle w:val="Style22"/>
        <w:keepNext w:val="0"/>
        <w:keepLines w:val="0"/>
        <w:widowControl w:val="0"/>
        <w:shd w:val="clear" w:color="auto" w:fill="auto"/>
        <w:bidi w:val="0"/>
        <w:spacing w:before="0" w:after="400" w:line="312" w:lineRule="exact"/>
        <w:ind w:left="0" w:right="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号，执行解释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号对可比期间财务报表无重大影响。</w:t>
      </w:r>
    </w:p>
    <w:p>
      <w:pPr>
        <w:pStyle w:val="Style33"/>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82"/>
      <w:bookmarkEnd w:id="1183"/>
      <w:bookmarkEnd w:id="1185"/>
    </w:p>
    <w:p>
      <w:pPr>
        <w:pStyle w:val="Style27"/>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sz w:val="24"/>
          <w:szCs w:val="24"/>
        </w:rPr>
        <w:t>六</w:t>
      </w:r>
      <w:bookmarkEnd w:id="1188"/>
      <w:r>
        <w:rPr>
          <w:color w:val="000000"/>
          <w:spacing w:val="0"/>
          <w:w w:val="100"/>
          <w:position w:val="0"/>
          <w:sz w:val="24"/>
          <w:szCs w:val="24"/>
        </w:rPr>
        <w:t>、税项</w:t>
      </w:r>
      <w:bookmarkEnd w:id="1186"/>
      <w:bookmarkEnd w:id="1187"/>
      <w:bookmarkEnd w:id="1189"/>
    </w:p>
    <w:p>
      <w:pPr>
        <w:pStyle w:val="Style33"/>
        <w:keepNext/>
        <w:keepLines/>
        <w:widowControl w:val="0"/>
        <w:shd w:val="clear" w:color="auto" w:fill="auto"/>
        <w:bidi w:val="0"/>
        <w:spacing w:before="0" w:after="3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color w:val="000000"/>
          <w:spacing w:val="0"/>
          <w:w w:val="100"/>
          <w:position w:val="0"/>
        </w:rPr>
        <w:t>、主要税种及税率</w:t>
      </w:r>
      <w:bookmarkEnd w:id="1190"/>
      <w:bookmarkEnd w:id="1191"/>
      <w:bookmarkEnd w:id="119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境内销售、提供不动产租赁服务、其他 应税销售服务行为、简易计税方法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或 </w:t>
            </w:r>
            <w:r>
              <w:rPr>
                <w:rFonts w:ascii="Times New Roman" w:eastAsia="Times New Roman" w:hAnsi="Times New Roman" w:cs="Times New Roman"/>
                <w:color w:val="000000"/>
                <w:spacing w:val="0"/>
                <w:w w:val="100"/>
                <w:position w:val="0"/>
              </w:rPr>
              <w:t>3%</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 xml:space="preserve">或 </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北京博思财信网络科技有限公司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北京博思广通信息系统有限公司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天津博思科技发展有限公司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青海博思网络信息技术有限公司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福建兴博数政科技有限公司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福建博思创业园管理有限公司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福建博思智慧信息产业科技有限公司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color w:val="000000"/>
          <w:spacing w:val="0"/>
          <w:w w:val="100"/>
          <w:position w:val="0"/>
        </w:rPr>
        <w:t>、税收优惠</w:t>
      </w:r>
      <w:bookmarkEnd w:id="1194"/>
      <w:bookmarkEnd w:id="1195"/>
      <w:bookmarkEnd w:id="1197"/>
    </w:p>
    <w:p>
      <w:pPr>
        <w:pStyle w:val="Style22"/>
        <w:keepNext w:val="0"/>
        <w:keepLines w:val="0"/>
        <w:widowControl w:val="0"/>
        <w:shd w:val="clear" w:color="auto" w:fill="auto"/>
        <w:bidi w:val="0"/>
        <w:spacing w:before="0" w:after="320" w:line="240" w:lineRule="auto"/>
        <w:ind w:left="0" w:right="0" w:firstLine="58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.高新技术企业税收优惠政策</w:t>
      </w:r>
    </w:p>
    <w:p>
      <w:pPr>
        <w:pStyle w:val="Style22"/>
        <w:keepNext w:val="0"/>
        <w:keepLines w:val="0"/>
        <w:widowControl w:val="0"/>
        <w:shd w:val="clear" w:color="auto" w:fill="auto"/>
        <w:bidi w:val="0"/>
        <w:spacing w:before="0" w:after="100" w:line="311" w:lineRule="exact"/>
        <w:ind w:left="0" w:right="0" w:firstLine="300"/>
        <w:jc w:val="both"/>
      </w:pPr>
      <w:r>
        <w:rPr>
          <w:color w:val="000000"/>
          <w:spacing w:val="0"/>
          <w:w w:val="100"/>
          <w:position w:val="0"/>
        </w:rPr>
        <w:t>根据《中华人民共和国企业所得税法》及《中华人民共和国企业所得税法实施条例》的规定，对国家需要重点扶持的高 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%的税率征收企业所得税。母公司福建博思软件股份有限公司以及子公司福建博思电子政务科技有限公 司、黑龙江博思软件有限公司、吉林省博思金财科技有限公司、北京博思财信网络科技有限公司、福州兴博数政科技有限公 司、福建博思信息科技有限公司、博思数采科技发展有限公司、福建博思数字科技有限公司、北京博思致新互联网科技有限 责任公司、内蒙古金财信息技术有限公司、广东瑞联科技有限公司取得《高新技术企业证书》，根据《企业所得税法》的规 定，</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2"/>
        <w:keepNext w:val="0"/>
        <w:keepLines w:val="0"/>
        <w:widowControl w:val="0"/>
        <w:numPr>
          <w:ilvl w:val="0"/>
          <w:numId w:val="81"/>
        </w:numPr>
        <w:shd w:val="clear" w:color="auto" w:fill="auto"/>
        <w:tabs>
          <w:tab w:pos="775" w:val="left"/>
        </w:tabs>
        <w:bidi w:val="0"/>
        <w:spacing w:before="0" w:after="0"/>
        <w:ind w:left="0" w:right="0" w:firstLine="460"/>
        <w:jc w:val="both"/>
      </w:pPr>
      <w:bookmarkStart w:id="1198" w:name="bookmark1198"/>
      <w:bookmarkEnd w:id="1198"/>
      <w:r>
        <w:rPr>
          <w:color w:val="000000"/>
          <w:spacing w:val="0"/>
          <w:w w:val="100"/>
          <w:position w:val="0"/>
        </w:rPr>
        <w:t>小型微利企业</w:t>
      </w:r>
    </w:p>
    <w:p>
      <w:pPr>
        <w:pStyle w:val="Style22"/>
        <w:keepNext w:val="0"/>
        <w:keepLines w:val="0"/>
        <w:widowControl w:val="0"/>
        <w:shd w:val="clear" w:color="auto" w:fill="auto"/>
        <w:bidi w:val="0"/>
        <w:spacing w:before="0" w:after="100" w:line="311" w:lineRule="exact"/>
        <w:ind w:left="0" w:right="0" w:firstLine="240"/>
        <w:jc w:val="both"/>
      </w:pPr>
      <w:r>
        <w:rPr>
          <w:color w:val="000000"/>
          <w:spacing w:val="0"/>
          <w:w w:val="100"/>
          <w:position w:val="0"/>
        </w:rPr>
        <w:t>根据《关于实施小微企业普惠性税收减免政策的通知》（财税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 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 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2"/>
        <w:keepNext w:val="0"/>
        <w:keepLines w:val="0"/>
        <w:widowControl w:val="0"/>
        <w:numPr>
          <w:ilvl w:val="0"/>
          <w:numId w:val="81"/>
        </w:numPr>
        <w:shd w:val="clear" w:color="auto" w:fill="auto"/>
        <w:tabs>
          <w:tab w:pos="775" w:val="left"/>
        </w:tabs>
        <w:bidi w:val="0"/>
        <w:spacing w:before="0" w:after="0"/>
        <w:ind w:left="0" w:right="0" w:firstLine="460"/>
        <w:jc w:val="both"/>
      </w:pPr>
      <w:bookmarkStart w:id="1199" w:name="bookmark1199"/>
      <w:bookmarkEnd w:id="1199"/>
      <w:r>
        <w:rPr>
          <w:color w:val="000000"/>
          <w:spacing w:val="0"/>
          <w:w w:val="100"/>
          <w:position w:val="0"/>
        </w:rPr>
        <w:t>软件产品增值税退税</w:t>
      </w:r>
    </w:p>
    <w:p>
      <w:pPr>
        <w:pStyle w:val="Style22"/>
        <w:keepNext w:val="0"/>
        <w:keepLines w:val="0"/>
        <w:widowControl w:val="0"/>
        <w:shd w:val="clear" w:color="auto" w:fill="auto"/>
        <w:bidi w:val="0"/>
        <w:spacing w:before="0" w:after="100" w:line="311" w:lineRule="exact"/>
        <w:ind w:left="0" w:right="0" w:firstLine="240"/>
        <w:jc w:val="both"/>
      </w:pPr>
      <w:r>
        <w:rPr>
          <w:color w:val="000000"/>
          <w:spacing w:val="0"/>
          <w:w w:val="100"/>
          <w:position w:val="0"/>
        </w:rPr>
        <w:t>根据财政部《关于软件产品增值税政策的通知》财税〔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号文的规定，公司享受按法定</w:t>
      </w:r>
      <w:r>
        <w:rPr>
          <w:rFonts w:ascii="Times New Roman" w:eastAsia="Times New Roman" w:hAnsi="Times New Roman" w:cs="Times New Roman"/>
          <w:color w:val="000000"/>
          <w:spacing w:val="0"/>
          <w:w w:val="100"/>
          <w:position w:val="0"/>
        </w:rPr>
        <w:t>13%</w:t>
      </w:r>
      <w:r>
        <w:rPr>
          <w:color w:val="000000"/>
          <w:spacing w:val="0"/>
          <w:w w:val="100"/>
          <w:position w:val="0"/>
        </w:rPr>
        <w:t>的税率征收增值税后， 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2"/>
        <w:keepNext w:val="0"/>
        <w:keepLines w:val="0"/>
        <w:widowControl w:val="0"/>
        <w:numPr>
          <w:ilvl w:val="0"/>
          <w:numId w:val="81"/>
        </w:numPr>
        <w:shd w:val="clear" w:color="auto" w:fill="auto"/>
        <w:tabs>
          <w:tab w:pos="664" w:val="left"/>
        </w:tabs>
        <w:bidi w:val="0"/>
        <w:spacing w:before="0" w:after="0"/>
        <w:ind w:left="0" w:right="0" w:firstLine="300"/>
        <w:jc w:val="left"/>
      </w:pPr>
      <w:bookmarkStart w:id="1200" w:name="bookmark1200"/>
      <w:bookmarkEnd w:id="1200"/>
      <w:r>
        <w:rPr>
          <w:color w:val="000000"/>
          <w:spacing w:val="0"/>
          <w:w w:val="100"/>
          <w:position w:val="0"/>
        </w:rPr>
        <w:t>小规模纳税人免征增值税</w:t>
      </w:r>
    </w:p>
    <w:p>
      <w:pPr>
        <w:pStyle w:val="Style22"/>
        <w:keepNext w:val="0"/>
        <w:keepLines w:val="0"/>
        <w:widowControl w:val="0"/>
        <w:shd w:val="clear" w:color="auto" w:fill="auto"/>
        <w:bidi w:val="0"/>
        <w:spacing w:before="0" w:after="0" w:line="311" w:lineRule="exact"/>
        <w:ind w:left="0" w:right="0" w:firstLine="240"/>
        <w:jc w:val="both"/>
      </w:pPr>
      <w:r>
        <w:rPr>
          <w:color w:val="000000"/>
          <w:spacing w:val="0"/>
          <w:w w:val="100"/>
          <w:position w:val="0"/>
        </w:rPr>
        <w:t>根据《财政部税务总局关于明确增值税小规模纳税人免征增值税政策的公告》（财政部税务总局公告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日，对月销售额</w:t>
      </w:r>
      <w:r>
        <w:rPr>
          <w:rFonts w:ascii="Times New Roman" w:eastAsia="Times New Roman" w:hAnsi="Times New Roman" w:cs="Times New Roman"/>
          <w:color w:val="000000"/>
          <w:spacing w:val="0"/>
          <w:w w:val="100"/>
          <w:position w:val="0"/>
        </w:rPr>
        <w:t>15</w:t>
      </w:r>
      <w:r>
        <w:rPr>
          <w:color w:val="000000"/>
          <w:spacing w:val="0"/>
          <w:w w:val="100"/>
          <w:position w:val="0"/>
        </w:rPr>
        <w:t>万元以下（含本数）的增值税小规模纳税人，免征增值税。</w:t>
      </w:r>
    </w:p>
    <w:p>
      <w:pPr>
        <w:pStyle w:val="Style22"/>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根据《财政部税务总局关于支持个体工商户复工复业增值税政策的公告》（财政部税务总局公告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号）及《财政 部税务总局关于延续实施应对疫情部分税费优惠政策的公告》（财政部税务总局公告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7</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 项目，减按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预征率预缴增值税。</w:t>
      </w:r>
    </w:p>
    <w:p>
      <w:pPr>
        <w:pStyle w:val="Style22"/>
        <w:keepNext w:val="0"/>
        <w:keepLines w:val="0"/>
        <w:widowControl w:val="0"/>
        <w:numPr>
          <w:ilvl w:val="0"/>
          <w:numId w:val="81"/>
        </w:numPr>
        <w:shd w:val="clear" w:color="auto" w:fill="auto"/>
        <w:tabs>
          <w:tab w:pos="664" w:val="left"/>
        </w:tabs>
        <w:bidi w:val="0"/>
        <w:spacing w:before="0" w:after="0"/>
        <w:ind w:left="0" w:right="0" w:firstLine="300"/>
        <w:jc w:val="both"/>
      </w:pPr>
      <w:bookmarkStart w:id="1201" w:name="bookmark1201"/>
      <w:bookmarkEnd w:id="1201"/>
      <w:r>
        <w:rPr>
          <w:color w:val="000000"/>
          <w:spacing w:val="0"/>
          <w:w w:val="100"/>
          <w:position w:val="0"/>
        </w:rPr>
        <w:t>国家规划布局内的重点软件企业税收优惠政策</w:t>
      </w:r>
    </w:p>
    <w:p>
      <w:pPr>
        <w:pStyle w:val="Style22"/>
        <w:keepNext w:val="0"/>
        <w:keepLines w:val="0"/>
        <w:widowControl w:val="0"/>
        <w:shd w:val="clear" w:color="auto" w:fill="auto"/>
        <w:bidi w:val="0"/>
        <w:spacing w:before="0" w:after="460" w:line="311" w:lineRule="exact"/>
        <w:ind w:left="0" w:right="0"/>
        <w:jc w:val="both"/>
      </w:pPr>
      <w:r>
        <w:rPr>
          <w:color w:val="000000"/>
          <w:spacing w:val="0"/>
          <w:w w:val="100"/>
          <w:position w:val="0"/>
        </w:rPr>
        <w:t>根据《国务院关于印发鼓励软件产业和集成电路产业发展若干政策的通知》（国发〔</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号）和《国务院关于印发 进一步鼓励软件产业和集成电路产业发展若干政策的通知》（国发〔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号），对国家规划布局内的重点软件企业，当 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的税率征收企业所得税。母公司福建博思软件股份有限公司符合相关条件，本期减按</w:t>
      </w:r>
      <w:r>
        <w:rPr>
          <w:rFonts w:ascii="Times New Roman" w:eastAsia="Times New Roman" w:hAnsi="Times New Roman" w:cs="Times New Roman"/>
          <w:color w:val="000000"/>
          <w:spacing w:val="0"/>
          <w:w w:val="100"/>
          <w:position w:val="0"/>
        </w:rPr>
        <w:t>10%</w:t>
      </w:r>
      <w:r>
        <w:rPr>
          <w:color w:val="000000"/>
          <w:spacing w:val="0"/>
          <w:w w:val="100"/>
          <w:position w:val="0"/>
        </w:rPr>
        <w:t>的税 率征收企业所得税。</w:t>
      </w:r>
    </w:p>
    <w:p>
      <w:pPr>
        <w:pStyle w:val="Style22"/>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3"/>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、其他</w:t>
      </w:r>
      <w:bookmarkEnd w:id="1202"/>
      <w:bookmarkEnd w:id="1203"/>
      <w:bookmarkEnd w:id="1205"/>
    </w:p>
    <w:p>
      <w:pPr>
        <w:pStyle w:val="Style27"/>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sz w:val="24"/>
          <w:szCs w:val="24"/>
        </w:rPr>
        <w:t>七</w:t>
      </w:r>
      <w:bookmarkEnd w:id="1208"/>
      <w:r>
        <w:rPr>
          <w:color w:val="000000"/>
          <w:spacing w:val="0"/>
          <w:w w:val="100"/>
          <w:position w:val="0"/>
          <w:sz w:val="24"/>
          <w:szCs w:val="24"/>
        </w:rPr>
        <w:t>、合并财务报表项目注释</w:t>
      </w:r>
      <w:bookmarkEnd w:id="1206"/>
      <w:bookmarkEnd w:id="1207"/>
      <w:bookmarkEnd w:id="1209"/>
    </w:p>
    <w:p>
      <w:pPr>
        <w:pStyle w:val="Style33"/>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color w:val="000000"/>
          <w:spacing w:val="0"/>
          <w:w w:val="100"/>
          <w:position w:val="0"/>
        </w:rPr>
        <w:t>、货币资金</w:t>
      </w:r>
      <w:bookmarkEnd w:id="1210"/>
      <w:bookmarkEnd w:id="1211"/>
      <w:bookmarkEnd w:id="1213"/>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137,483.32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156,449.91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842,911,338.85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948,013,131.96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5,344,985.30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1,150,974.24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848,393,807.47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949,320,556.11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jc w:val="both"/>
      </w:pPr>
      <w:r>
        <w:rPr>
          <w:color w:val="000000"/>
          <w:spacing w:val="0"/>
          <w:w w:val="100"/>
          <w:position w:val="0"/>
        </w:rPr>
        <w:t>其中受限制的货币资金明细如下:</w:t>
      </w:r>
      <w:r>
        <w:br w:type="page"/>
      </w:r>
    </w:p>
    <w:tbl>
      <w:tblPr>
        <w:tblOverlap w:val="never"/>
        <w:jc w:val="left"/>
        <w:tblLayout w:type="fixed"/>
      </w:tblPr>
      <w:tblGrid>
        <w:gridCol w:w="2851"/>
        <w:gridCol w:w="2736"/>
        <w:gridCol w:w="275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5,286,826.28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1,452.06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5,288,278.34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r>
    </w:tbl>
    <w:p>
      <w:pPr>
        <w:widowControl w:val="0"/>
        <w:spacing w:after="939" w:line="1" w:lineRule="exact"/>
      </w:pPr>
    </w:p>
    <w:p>
      <w:pPr>
        <w:pStyle w:val="Style33"/>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color w:val="000000"/>
          <w:spacing w:val="0"/>
          <w:w w:val="100"/>
          <w:position w:val="0"/>
        </w:rPr>
        <w:t>、交易性金融资产</w:t>
      </w:r>
      <w:bookmarkEnd w:id="1214"/>
      <w:bookmarkEnd w:id="1215"/>
      <w:bookmarkEnd w:id="121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70,220,518.26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70,220,518.26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70,220,518.26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color w:val="000000"/>
          <w:spacing w:val="0"/>
          <w:w w:val="100"/>
          <w:position w:val="0"/>
        </w:rPr>
        <w:t>、衍生金融资产</w:t>
      </w:r>
      <w:bookmarkEnd w:id="1218"/>
      <w:bookmarkEnd w:id="1219"/>
      <w:bookmarkEnd w:id="122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w:t>
      </w:r>
      <w:bookmarkEnd w:id="1224"/>
      <w:r>
        <w:rPr>
          <w:color w:val="000000"/>
          <w:spacing w:val="0"/>
          <w:w w:val="100"/>
          <w:position w:val="0"/>
        </w:rPr>
        <w:t>、应收票据</w:t>
      </w:r>
      <w:bookmarkEnd w:id="1222"/>
      <w:bookmarkEnd w:id="1223"/>
      <w:bookmarkEnd w:id="1225"/>
    </w:p>
    <w:p>
      <w:pPr>
        <w:pStyle w:val="Style33"/>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2"/>
      <w:bookmarkEnd w:id="1223"/>
      <w:bookmarkEnd w:id="122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widowControl w:val="0"/>
        <w:spacing w:line="1" w:lineRule="exact"/>
      </w:pPr>
    </w:p>
    <w:tbl>
      <w:tblPr>
        <w:tblOverlap w:val="never"/>
        <w:jc w:val="center"/>
        <w:tblLayout w:type="fixed"/>
      </w:tblPr>
      <w:tblGrid>
        <w:gridCol w:w="1920"/>
        <w:gridCol w:w="1915"/>
        <w:gridCol w:w="1915"/>
        <w:gridCol w:w="1915"/>
        <w:gridCol w:w="1978"/>
      </w:tblGrid>
      <w:tr>
        <w:trPr>
          <w:trHeight w:val="66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gridSpan w:val="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8"/>
      <w:bookmarkEnd w:id="1229"/>
      <w:bookmarkEnd w:id="123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32"/>
      <w:bookmarkEnd w:id="1233"/>
      <w:bookmarkEnd w:id="123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36"/>
      <w:bookmarkEnd w:id="1237"/>
      <w:bookmarkEnd w:id="123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40"/>
      <w:bookmarkEnd w:id="1241"/>
      <w:bookmarkEnd w:id="124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numPr>
          <w:ilvl w:val="0"/>
          <w:numId w:val="83"/>
        </w:numPr>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本期实际核销的应收票据情况</w:t>
      </w:r>
      <w:bookmarkEnd w:id="1244"/>
      <w:bookmarkEnd w:id="1245"/>
      <w:bookmarkEnd w:id="12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5</w:t>
      </w:r>
      <w:bookmarkEnd w:id="1250"/>
      <w:r>
        <w:rPr>
          <w:color w:val="000000"/>
          <w:spacing w:val="0"/>
          <w:w w:val="100"/>
          <w:position w:val="0"/>
        </w:rPr>
        <w:t>、应收账款</w:t>
      </w:r>
      <w:bookmarkEnd w:id="1248"/>
      <w:bookmarkEnd w:id="1249"/>
      <w:bookmarkEnd w:id="1251"/>
    </w:p>
    <w:p>
      <w:pPr>
        <w:pStyle w:val="Style33"/>
        <w:keepNext/>
        <w:keepLines/>
        <w:widowControl w:val="0"/>
        <w:numPr>
          <w:ilvl w:val="0"/>
          <w:numId w:val="85"/>
        </w:numPr>
        <w:shd w:val="clear" w:color="auto" w:fill="auto"/>
        <w:bidi w:val="0"/>
        <w:spacing w:before="0" w:line="240" w:lineRule="auto"/>
        <w:ind w:left="0" w:right="0" w:firstLine="0"/>
        <w:jc w:val="left"/>
      </w:pPr>
      <w:bookmarkStart w:id="1248" w:name="bookmark1248"/>
      <w:bookmarkStart w:id="1249" w:name="bookmark1249"/>
      <w:bookmarkStart w:id="1252" w:name="bookmark1252"/>
      <w:bookmarkStart w:id="1253" w:name="bookmark1253"/>
      <w:bookmarkEnd w:id="1252"/>
      <w:r>
        <w:rPr>
          <w:color w:val="000000"/>
          <w:spacing w:val="0"/>
          <w:w w:val="100"/>
          <w:position w:val="0"/>
        </w:rPr>
        <w:t>应收账款分类披露</w:t>
      </w:r>
      <w:bookmarkEnd w:id="1248"/>
      <w:bookmarkEnd w:id="1249"/>
      <w:bookmarkEnd w:id="125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692,615,</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123,069,</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569,546,1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549,114,7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101,756,8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447,357,89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692,615,</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123,069,</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569,546,1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549,114,7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101,756,8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447,357,89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692,615,</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123,069,</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694.71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569,546,1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549,114,7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101,756,8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447,357,89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26,401,637.57</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516,442,489.68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46,945,443.21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121,537,623.57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38,077,740.16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43,507,052.83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26,917,813.59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61.87%</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11,128,697.75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11,128,697.75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692,615,863.83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123,069,694.71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120" w:line="346" w:lineRule="exact"/>
        <w:ind w:left="0" w:right="0" w:firstLine="0"/>
        <w:jc w:val="both"/>
      </w:pPr>
      <w:r>
        <w:rPr>
          <w:color w:val="000000"/>
          <w:spacing w:val="0"/>
          <w:w w:val="100"/>
          <w:position w:val="0"/>
        </w:rPr>
        <w:t>确定该组合依据的说明: 按组合计提坏账准备：</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516,442,489.68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121,537,623.57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43,507,052.83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11,128,697.75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5,410,917.71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5,176,673.24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541,106.80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692,615,863.83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4"/>
      <w:bookmarkEnd w:id="1255"/>
      <w:bookmarkEnd w:id="1257"/>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101,756,896.12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26,401,637.57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5,343,761.28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254,922.30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123,069,694.71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101,756,896.12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26,401,637.57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5,343,761.28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254,922.30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123,069,694.71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58"/>
      <w:bookmarkEnd w:id="1259"/>
      <w:bookmarkEnd w:id="126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5,343,761.28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2"/>
      <w:bookmarkEnd w:id="1263"/>
      <w:bookmarkEnd w:id="126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20,675,609.01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4,716,260.30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17,972,875.45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5,630,901.88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16,604,606.41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2,566,272.98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9,879,811.31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898,074.85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785,703.24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73,776,502.18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66"/>
      <w:bookmarkEnd w:id="1267"/>
      <w:bookmarkEnd w:id="1269"/>
    </w:p>
    <w:p>
      <w:pPr>
        <w:pStyle w:val="Style3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66"/>
      <w:bookmarkEnd w:id="1267"/>
      <w:bookmarkEnd w:id="1271"/>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6</w:t>
      </w:r>
      <w:bookmarkEnd w:id="1274"/>
      <w:r>
        <w:rPr>
          <w:color w:val="000000"/>
          <w:spacing w:val="0"/>
          <w:w w:val="100"/>
          <w:position w:val="0"/>
        </w:rPr>
        <w:t>、应收款项融资</w:t>
      </w:r>
      <w:bookmarkEnd w:id="1272"/>
      <w:bookmarkEnd w:id="1273"/>
      <w:bookmarkEnd w:id="127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7</w:t>
      </w:r>
      <w:bookmarkEnd w:id="1278"/>
      <w:r>
        <w:rPr>
          <w:color w:val="000000"/>
          <w:spacing w:val="0"/>
          <w:w w:val="100"/>
          <w:position w:val="0"/>
        </w:rPr>
        <w:t>、预付款项</w:t>
      </w:r>
      <w:bookmarkEnd w:id="1276"/>
      <w:bookmarkEnd w:id="1277"/>
      <w:bookmarkEnd w:id="1279"/>
    </w:p>
    <w:p>
      <w:pPr>
        <w:pStyle w:val="Style33"/>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76"/>
      <w:bookmarkEnd w:id="1277"/>
      <w:bookmarkEnd w:id="12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10,907,103.92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6,072,569.01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225,003.38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2,747,238.21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302,662.68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119,550.00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11,554,319.98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8,986,863.62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2"/>
      <w:bookmarkEnd w:id="1283"/>
      <w:bookmarkEnd w:id="1285"/>
    </w:p>
    <w:tbl>
      <w:tblPr>
        <w:tblOverlap w:val="never"/>
        <w:jc w:val="left"/>
        <w:tblLayout w:type="fixed"/>
      </w:tblPr>
      <w:tblGrid>
        <w:gridCol w:w="2986"/>
        <w:gridCol w:w="1243"/>
        <w:gridCol w:w="1310"/>
        <w:gridCol w:w="1498"/>
        <w:gridCol w:w="1512"/>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占预付款项总额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1,638,795.00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872,933.93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507,485.98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483,487.49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404,356.44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3,907,058.84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8</w:t>
      </w:r>
      <w:bookmarkEnd w:id="1288"/>
      <w:r>
        <w:rPr>
          <w:color w:val="000000"/>
          <w:spacing w:val="0"/>
          <w:w w:val="100"/>
          <w:position w:val="0"/>
        </w:rPr>
        <w:t>、其他应收款</w:t>
      </w:r>
      <w:bookmarkEnd w:id="1286"/>
      <w:bookmarkEnd w:id="1287"/>
      <w:bookmarkEnd w:id="1289"/>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48,991,683.63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39,846,435.28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48,991,683.63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39,846,435.28</w:t>
            </w:r>
          </w:p>
        </w:tc>
      </w:tr>
    </w:tbl>
    <w:p>
      <w:pPr>
        <w:pStyle w:val="Style33"/>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90"/>
      <w:bookmarkEnd w:id="1291"/>
      <w:bookmarkEnd w:id="1293"/>
    </w:p>
    <w:p>
      <w:pPr>
        <w:pStyle w:val="Style33"/>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color w:val="000000"/>
          <w:spacing w:val="0"/>
          <w:w w:val="100"/>
          <w:position w:val="0"/>
        </w:rPr>
        <w:t>）应收利息分类</w:t>
      </w:r>
      <w:bookmarkEnd w:id="1290"/>
      <w:bookmarkEnd w:id="1291"/>
      <w:bookmarkEnd w:id="12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gridSpan w:val="7"/>
            <w:tcBorders>
              <w:top w:val="single" w:sz="4"/>
            </w:tcBorders>
            <w:shd w:val="clear" w:color="auto" w:fill="FFFFFF"/>
            <w:vAlign w:val="bottom"/>
          </w:tcPr>
          <w:p>
            <w:pPr>
              <w:pStyle w:val="Style2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296"/>
      <w:bookmarkEnd w:id="1297"/>
      <w:bookmarkEnd w:id="129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99"/>
      <w:bookmarkEnd w:id="1300"/>
      <w:bookmarkEnd w:id="1302"/>
    </w:p>
    <w:p>
      <w:pPr>
        <w:pStyle w:val="Style33"/>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color w:val="000000"/>
          <w:spacing w:val="0"/>
          <w:w w:val="100"/>
          <w:position w:val="0"/>
        </w:rPr>
        <w:t>）应收股利分类</w:t>
      </w:r>
      <w:bookmarkEnd w:id="1299"/>
      <w:bookmarkEnd w:id="1300"/>
      <w:bookmarkEnd w:id="130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05"/>
      <w:bookmarkEnd w:id="1306"/>
      <w:bookmarkEnd w:id="130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color w:val="000000"/>
          <w:spacing w:val="0"/>
          <w:w w:val="100"/>
          <w:position w:val="0"/>
        </w:rPr>
        <w:t>）坏账准备计提情况</w:t>
      </w:r>
      <w:bookmarkEnd w:id="1309"/>
      <w:bookmarkEnd w:id="1310"/>
      <w:bookmarkEnd w:id="1312"/>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13"/>
      <w:bookmarkEnd w:id="1314"/>
      <w:bookmarkEnd w:id="1316"/>
    </w:p>
    <w:p>
      <w:pPr>
        <w:pStyle w:val="Style33"/>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color w:val="000000"/>
          <w:spacing w:val="0"/>
          <w:w w:val="100"/>
          <w:position w:val="0"/>
        </w:rPr>
        <w:t>）其他应收款按款项性质分类情况</w:t>
      </w:r>
      <w:bookmarkEnd w:id="1313"/>
      <w:bookmarkEnd w:id="1314"/>
      <w:bookmarkEnd w:id="131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32,491,150.58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29,960,808.57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16,032,710.03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8,826,455.69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467,823.02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1,059,171.02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48,991,683.63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39,846,435.28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color w:val="000000"/>
          <w:spacing w:val="0"/>
          <w:w w:val="100"/>
          <w:position w:val="0"/>
        </w:rPr>
        <w:t>）坏账准备计提情况</w:t>
      </w:r>
      <w:bookmarkEnd w:id="1319"/>
      <w:bookmarkEnd w:id="1320"/>
      <w:bookmarkEnd w:id="132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27,777,110.86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13,535,756.97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5,093,100.80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2,585,715.00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784,325.00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1,707,090.00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48,991,683.63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color w:val="000000"/>
          <w:spacing w:val="0"/>
          <w:w w:val="100"/>
          <w:position w:val="0"/>
        </w:rPr>
        <w:t>）本期计提、收回或转回的坏账准备情况</w:t>
      </w:r>
      <w:bookmarkEnd w:id="1323"/>
      <w:bookmarkEnd w:id="1324"/>
      <w:bookmarkEnd w:id="1326"/>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color w:val="000000"/>
          <w:spacing w:val="0"/>
          <w:w w:val="100"/>
          <w:position w:val="0"/>
        </w:rPr>
        <w:t>）本期实际核销的其他应收款情况</w:t>
      </w:r>
      <w:bookmarkEnd w:id="1327"/>
      <w:bookmarkEnd w:id="1328"/>
      <w:bookmarkEnd w:id="1330"/>
    </w:p>
    <w:p>
      <w:pPr>
        <w:pStyle w:val="Style22"/>
        <w:keepNext w:val="0"/>
        <w:keepLines w:val="0"/>
        <w:widowControl w:val="0"/>
        <w:shd w:val="clear" w:color="auto" w:fill="auto"/>
        <w:bidi w:val="0"/>
        <w:spacing w:before="0" w:after="100" w:line="240" w:lineRule="auto"/>
        <w:ind w:left="0" w:right="0" w:firstLine="0"/>
        <w:jc w:val="right"/>
      </w:pPr>
      <w:bookmarkStart w:id="1331" w:name="bookmark1331"/>
      <w:r>
        <w:rPr>
          <w:color w:val="000000"/>
          <w:spacing w:val="0"/>
          <w:w w:val="100"/>
          <w:position w:val="0"/>
        </w:rPr>
        <w:t>单</w:t>
      </w:r>
      <w:bookmarkEnd w:id="1331"/>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7,380,701.25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20,091,501.25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6</w:t>
      </w:r>
      <w:bookmarkEnd w:id="1334"/>
      <w:r>
        <w:rPr>
          <w:color w:val="000000"/>
          <w:spacing w:val="0"/>
          <w:w w:val="100"/>
          <w:position w:val="0"/>
        </w:rPr>
        <w:t>）涉及政府补助的应收款项</w:t>
      </w:r>
      <w:bookmarkEnd w:id="1332"/>
      <w:bookmarkEnd w:id="1333"/>
      <w:bookmarkEnd w:id="13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3"/>
        <w:keepNext/>
        <w:keepLines/>
        <w:widowControl w:val="0"/>
        <w:shd w:val="clear" w:color="auto" w:fill="auto"/>
        <w:tabs>
          <w:tab w:pos="392" w:val="left"/>
        </w:tabs>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7</w:t>
      </w:r>
      <w:bookmarkEnd w:id="1338"/>
      <w:r>
        <w:rPr>
          <w:color w:val="000000"/>
          <w:spacing w:val="0"/>
          <w:w w:val="100"/>
          <w:position w:val="0"/>
        </w:rPr>
        <w:t>）</w:t>
        <w:tab/>
        <w:t>因金融资产转移而终止确认的其他应收款</w:t>
      </w:r>
      <w:bookmarkEnd w:id="1336"/>
      <w:bookmarkEnd w:id="1337"/>
      <w:bookmarkEnd w:id="1339"/>
    </w:p>
    <w:p>
      <w:pPr>
        <w:pStyle w:val="Style33"/>
        <w:keepNext/>
        <w:keepLines/>
        <w:widowControl w:val="0"/>
        <w:shd w:val="clear" w:color="auto" w:fill="auto"/>
        <w:tabs>
          <w:tab w:pos="397" w:val="left"/>
        </w:tabs>
        <w:bidi w:val="0"/>
        <w:spacing w:before="0" w:line="240" w:lineRule="auto"/>
        <w:ind w:left="0" w:right="0" w:firstLine="0"/>
        <w:jc w:val="left"/>
      </w:pPr>
      <w:bookmarkStart w:id="1336" w:name="bookmark1336"/>
      <w:bookmarkStart w:id="1337" w:name="bookmark1337"/>
      <w:bookmarkStart w:id="1340" w:name="bookmark1340"/>
      <w:bookmarkStart w:id="1341" w:name="bookmark1341"/>
      <w:r>
        <w:rPr>
          <w:rFonts w:ascii="Times New Roman" w:eastAsia="Times New Roman" w:hAnsi="Times New Roman" w:cs="Times New Roman"/>
          <w:color w:val="000000"/>
          <w:spacing w:val="0"/>
          <w:w w:val="100"/>
          <w:position w:val="0"/>
        </w:rPr>
        <w:t>8</w:t>
      </w:r>
      <w:bookmarkEnd w:id="1340"/>
      <w:r>
        <w:rPr>
          <w:color w:val="000000"/>
          <w:spacing w:val="0"/>
          <w:w w:val="100"/>
          <w:position w:val="0"/>
        </w:rPr>
        <w:t>）</w:t>
        <w:tab/>
        <w:t>转移其他应收款且继续涉入形成的资产、负债金额</w:t>
      </w:r>
      <w:bookmarkEnd w:id="1336"/>
      <w:bookmarkEnd w:id="1337"/>
      <w:bookmarkEnd w:id="134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9</w:t>
      </w:r>
      <w:bookmarkEnd w:id="1344"/>
      <w:r>
        <w:rPr>
          <w:color w:val="000000"/>
          <w:spacing w:val="0"/>
          <w:w w:val="100"/>
          <w:position w:val="0"/>
        </w:rPr>
        <w:t>、存货</w:t>
      </w:r>
      <w:bookmarkEnd w:id="1342"/>
      <w:bookmarkEnd w:id="1343"/>
      <w:bookmarkEnd w:id="1345"/>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公司是否需要遵守房地产行业的披露要求</w:t>
      </w:r>
      <w:r>
        <w:br w:type="page"/>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both"/>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46"/>
      <w:bookmarkEnd w:id="1347"/>
      <w:bookmarkEnd w:id="13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12,639,484.19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12,639,484.19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14,554,020.97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14,554,020.97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90,853,580.23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90,853,580.23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17,305,426.41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17,305,426.41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9,055,472.91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9,055,472.91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10,017,577.27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10,017,577.27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112,548,537.33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112,548,537.33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41,877,024.65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41,877,024.65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50"/>
      <w:bookmarkEnd w:id="1351"/>
      <w:bookmarkEnd w:id="13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3"/>
        <w:keepNext/>
        <w:keepLines/>
        <w:widowControl w:val="0"/>
        <w:shd w:val="clear" w:color="auto" w:fill="auto"/>
        <w:tabs>
          <w:tab w:pos="493" w:val="left"/>
        </w:tabs>
        <w:bidi w:val="0"/>
        <w:spacing w:before="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54"/>
      <w:bookmarkEnd w:id="1355"/>
      <w:bookmarkEnd w:id="1357"/>
    </w:p>
    <w:p>
      <w:pPr>
        <w:pStyle w:val="Style33"/>
        <w:keepNext/>
        <w:keepLines/>
        <w:widowControl w:val="0"/>
        <w:shd w:val="clear" w:color="auto" w:fill="auto"/>
        <w:tabs>
          <w:tab w:pos="493" w:val="left"/>
        </w:tabs>
        <w:bidi w:val="0"/>
        <w:spacing w:before="0" w:line="240" w:lineRule="auto"/>
        <w:ind w:left="0" w:right="0" w:firstLine="0"/>
        <w:jc w:val="both"/>
      </w:pPr>
      <w:bookmarkStart w:id="1354" w:name="bookmark1354"/>
      <w:bookmarkStart w:id="1355" w:name="bookmark1355"/>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54"/>
      <w:bookmarkEnd w:id="1355"/>
      <w:bookmarkEnd w:id="1359"/>
    </w:p>
    <w:p>
      <w:pPr>
        <w:pStyle w:val="Style33"/>
        <w:keepNext/>
        <w:keepLines/>
        <w:widowControl w:val="0"/>
        <w:shd w:val="clear" w:color="auto" w:fill="auto"/>
        <w:bidi w:val="0"/>
        <w:spacing w:before="0" w:line="240" w:lineRule="auto"/>
        <w:ind w:left="0" w:right="0" w:firstLine="0"/>
        <w:jc w:val="both"/>
      </w:pPr>
      <w:bookmarkStart w:id="1354" w:name="bookmark1354"/>
      <w:bookmarkStart w:id="1355" w:name="bookmark1355"/>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54"/>
      <w:bookmarkEnd w:id="1355"/>
      <w:bookmarkEnd w:id="1361"/>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62"/>
      <w:bookmarkEnd w:id="1363"/>
      <w:bookmarkEnd w:id="136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66"/>
      <w:bookmarkEnd w:id="1367"/>
      <w:bookmarkEnd w:id="136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70"/>
      <w:bookmarkEnd w:id="1371"/>
      <w:bookmarkEnd w:id="137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待认证进项及留抵税额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14,189,038.43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4,710,363.19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预缴各项税金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608,378.72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20,246.53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待摊房租等费用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523,736.54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1,269,643.78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619,197.16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1,029,787.41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15,940,350.85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7,030,040.91</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74"/>
      <w:bookmarkEnd w:id="1375"/>
      <w:bookmarkEnd w:id="13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78"/>
      <w:bookmarkEnd w:id="1379"/>
      <w:bookmarkEnd w:id="13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82"/>
      <w:bookmarkEnd w:id="1383"/>
      <w:bookmarkEnd w:id="1385"/>
    </w:p>
    <w:p>
      <w:pPr>
        <w:pStyle w:val="Style33"/>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82"/>
      <w:bookmarkEnd w:id="1383"/>
      <w:bookmarkEnd w:id="138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r>
        <w:br w:type="page"/>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88"/>
      <w:bookmarkEnd w:id="1389"/>
      <w:bookmarkEnd w:id="1391"/>
    </w:p>
    <w:p>
      <w:pPr>
        <w:pStyle w:val="Style33"/>
        <w:keepNext/>
        <w:keepLines/>
        <w:widowControl w:val="0"/>
        <w:shd w:val="clear" w:color="auto" w:fill="auto"/>
        <w:tabs>
          <w:tab w:pos="493" w:val="left"/>
        </w:tabs>
        <w:bidi w:val="0"/>
        <w:spacing w:before="0" w:line="240" w:lineRule="auto"/>
        <w:ind w:left="0" w:right="0" w:firstLine="0"/>
        <w:jc w:val="left"/>
      </w:pPr>
      <w:bookmarkStart w:id="1388" w:name="bookmark1388"/>
      <w:bookmarkStart w:id="1389" w:name="bookmark1389"/>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88"/>
      <w:bookmarkEnd w:id="1389"/>
      <w:bookmarkEnd w:id="1393"/>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94"/>
      <w:bookmarkEnd w:id="1395"/>
      <w:bookmarkEnd w:id="13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宣告发放</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福建博宇 信息科技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2,000,190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108,830.4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2,109,020</w:t>
            </w:r>
          </w:p>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福建慧舟</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11,488,46</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11,543,79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泉州市搏 浪科技集 团有限公</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21,522,99</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1,189,847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21,889,40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北京恰空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2,784,003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-31,847.6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2,752,156</w:t>
            </w:r>
          </w:p>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福建博耕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2,388,748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-1,580,70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2,488,041</w:t>
            </w:r>
          </w:p>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宁德市融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鑫科技有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2,958,756</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-734,737.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2,164,019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福建中控 普惠信息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10,922,33</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433,997.0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-13,456,3</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安徽政采</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353,331.8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402,135.1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哈尔滨派 斯内特科 技发展有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1,528,205</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533,027.1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2,061,233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漳州博思</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1,006,549</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-212,368.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1,594,181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福州汇票 钧安信息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-139,184. </w:t>
            </w: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610,815.1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京安科技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5,142,900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1,269,720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6,412,620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绿金（深 圳）商业 保理有限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21,780,00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639,279.7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205,524.3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22,624,80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56,953,59</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32,252,90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1,579,989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-13,250,8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76,652,22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56,953,59</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32,252,90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1,579,989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-13,250,8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76,652,22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98"/>
      <w:bookmarkEnd w:id="1399"/>
      <w:bookmarkEnd w:id="140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福建畅享出行网络科技有限公司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2,671,964.35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2,671,964.35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其他综合收益转</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入留存收益的金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值计量且其变动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计入其他综合收</w:t>
            </w:r>
          </w:p>
          <w:p>
            <w:pPr>
              <w:pStyle w:val="Style24"/>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福建畅享出行网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328,035.65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持有的该股权不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具有活跃的市</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场，也不是为了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短期出售获利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328,035.65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02"/>
      <w:bookmarkEnd w:id="1403"/>
      <w:bookmarkEnd w:id="1405"/>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06"/>
      <w:bookmarkEnd w:id="1407"/>
      <w:bookmarkEnd w:id="1409"/>
    </w:p>
    <w:p>
      <w:pPr>
        <w:pStyle w:val="Style33"/>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06"/>
      <w:bookmarkEnd w:id="1407"/>
      <w:bookmarkEnd w:id="1411"/>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22,253,056.68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22,253,056.68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22,253,056.68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22,253,056.68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3,941,490.88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3,941,490.88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781,525.74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781,525.74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4,723,016.62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4,723,016.62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17,530,040.06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17,530,040.06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18,311,565.80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18,311,565.80</w:t>
            </w: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12"/>
      <w:bookmarkEnd w:id="1413"/>
      <w:bookmarkEnd w:id="141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16"/>
      <w:bookmarkEnd w:id="1417"/>
      <w:bookmarkEnd w:id="141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20"/>
      <w:bookmarkEnd w:id="1421"/>
      <w:bookmarkEnd w:id="142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173,834,592.40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173,834,592.40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24"/>
      <w:bookmarkEnd w:id="1425"/>
      <w:bookmarkEnd w:id="142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188,574,054.03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26,825,309.47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15,068,252.80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8,112,829.90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238,580,446.20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5,782,031.23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4,822,461.14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2,273,372.94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12,877,865.31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5,271,955.84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4,137,881.49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2,023,260.98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11,433,098.31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510,075.39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684,579.65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250,111.96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1,444,767.00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2,148,101.13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2,332,153.62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371,085.01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4,851,339.76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2,001,245.45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2,011,888.13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225,278.59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4,238,412.17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146,855.68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320,265.49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145,806.42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612,927.59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188,574,054.03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30,459,239.57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17,558,560.32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10,015,117.83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246,606,971.75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27,724,502.72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18,201,994.02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9,908,301.09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4,502,347.47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60,337,145.30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7,107,394.50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5,549,754.43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2,449,992.72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1,242,195.80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16,349,337.45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7,107,394.50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5,312,728.53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2,262,050.63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1,204,476.97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15,886,650.63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146,150.94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187,942.09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371,811.86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90,874.96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1,834,978.67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1,838,008.10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241,116.63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3,914,103.40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1,741,295.16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1,736,590.66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205,254.22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3,683,140.04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93,683.51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101,417.44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230,963.36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34,831,897.22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21,916,769.78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10,520,285.71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5,503,426.64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72,772,379.35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153,742,156.81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8,542,469.79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7,038,274.61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4,511,691.19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173,834,592.40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160,849,551.31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8,623,315.45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5,159,951.71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3,610,482.43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28"/>
      <w:bookmarkEnd w:id="1429"/>
      <w:bookmarkEnd w:id="1431"/>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32"/>
      <w:bookmarkEnd w:id="1433"/>
      <w:bookmarkEnd w:id="143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36"/>
      <w:bookmarkEnd w:id="1437"/>
      <w:bookmarkEnd w:id="143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40"/>
      <w:bookmarkEnd w:id="1441"/>
      <w:bookmarkEnd w:id="144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44"/>
      <w:bookmarkEnd w:id="1445"/>
      <w:bookmarkEnd w:id="144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131,969,583.27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131,969,583.27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48"/>
      <w:bookmarkEnd w:id="1449"/>
      <w:bookmarkEnd w:id="14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智慧产业园项目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131,969,583.27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131,969,583.27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131,969,583.27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131,969,583.27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52"/>
      <w:bookmarkEnd w:id="1453"/>
      <w:bookmarkEnd w:id="145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56"/>
      <w:bookmarkEnd w:id="1457"/>
      <w:bookmarkEnd w:id="145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60"/>
      <w:bookmarkEnd w:id="1461"/>
      <w:bookmarkEnd w:id="146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64"/>
      <w:bookmarkEnd w:id="1465"/>
      <w:bookmarkEnd w:id="1467"/>
    </w:p>
    <w:p>
      <w:pPr>
        <w:pStyle w:val="Style33"/>
        <w:keepNext/>
        <w:keepLines/>
        <w:widowControl w:val="0"/>
        <w:shd w:val="clear" w:color="auto" w:fill="auto"/>
        <w:tabs>
          <w:tab w:pos="493" w:val="left"/>
        </w:tabs>
        <w:bidi w:val="0"/>
        <w:spacing w:before="0" w:after="380" w:line="240" w:lineRule="auto"/>
        <w:ind w:left="0" w:right="0" w:firstLine="0"/>
        <w:jc w:val="left"/>
      </w:pPr>
      <w:bookmarkStart w:id="1464" w:name="bookmark1464"/>
      <w:bookmarkStart w:id="1465" w:name="bookmark1465"/>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64"/>
      <w:bookmarkEnd w:id="1465"/>
      <w:bookmarkEnd w:id="146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70"/>
      <w:bookmarkEnd w:id="1471"/>
      <w:bookmarkEnd w:id="147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74"/>
      <w:bookmarkEnd w:id="1475"/>
      <w:bookmarkEnd w:id="147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78"/>
      <w:bookmarkEnd w:id="1479"/>
      <w:bookmarkEnd w:id="148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32,534,462.22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32,534,462.22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24,527,223.96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24,682,223.96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21,083,735.30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21,238,735.30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3,443,488.66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3,443,488.66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57,061,686.18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57,216,686.18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19,761,824.69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19,787,657.99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18,984,423.19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19,010,256.49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777,401.50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777,401.50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19,761,824.69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19,787,657.99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37,299,861.49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129,166.70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37,429,028.19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32,534,462.22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32,534,462.22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82"/>
      <w:bookmarkEnd w:id="1483"/>
      <w:bookmarkEnd w:id="1485"/>
    </w:p>
    <w:p>
      <w:pPr>
        <w:pStyle w:val="Style33"/>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82"/>
      <w:bookmarkEnd w:id="1483"/>
      <w:bookmarkEnd w:id="148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办公软件、软件著作 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31,115,766.40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39,283,688.20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70,399,454.60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15,018,295.00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3,951,222.03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18,969,517.03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15,018,295.00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1,247,792.03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16,266,087.03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2,703,430.00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2,703,430.00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46,134,061.40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43,234,910.23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89,368,971.63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1,455,424.27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11,286,725.53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12,742,149.80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681,911.63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4,329,080.00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5,010,991.63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681,911.63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4,325,650.00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5,007,561.63</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2,137,335.90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15,615,805.53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17,753,141.43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43,996,725.50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27,619,104.70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71,615,830.20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29,660,342.13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27,996,962.67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57,657,304.80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3"/>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88"/>
      <w:bookmarkEnd w:id="1489"/>
      <w:bookmarkEnd w:id="149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福州滨海新城编号为宗地</w:t>
            </w:r>
            <w:r>
              <w:rPr>
                <w:rFonts w:ascii="Times New Roman" w:eastAsia="Times New Roman" w:hAnsi="Times New Roman" w:cs="Times New Roman"/>
                <w:color w:val="000000"/>
                <w:spacing w:val="0"/>
                <w:w w:val="100"/>
                <w:position w:val="0"/>
              </w:rPr>
              <w:t>2021</w:t>
            </w:r>
            <w:r>
              <w:rPr>
                <w:color w:val="000000"/>
                <w:spacing w:val="0"/>
                <w:w w:val="100"/>
                <w:position w:val="0"/>
              </w:rPr>
              <w:t>滨工挂</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号地块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14,292,395.00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相关手续正在办理中</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日，全资子公司福建博思智慧信息产业科技有限公司于竞得福州滨海新城编号为宗地</w:t>
      </w:r>
      <w:r>
        <w:rPr>
          <w:rFonts w:ascii="Times New Roman" w:eastAsia="Times New Roman" w:hAnsi="Times New Roman" w:cs="Times New Roman"/>
          <w:color w:val="000000"/>
          <w:spacing w:val="0"/>
          <w:w w:val="100"/>
          <w:position w:val="0"/>
        </w:rPr>
        <w:t>2021</w:t>
      </w:r>
      <w:r>
        <w:rPr>
          <w:color w:val="000000"/>
          <w:spacing w:val="0"/>
          <w:w w:val="100"/>
          <w:position w:val="0"/>
        </w:rPr>
        <w:t>滨工挂</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号地块的国有建设用地使用权，受让土地用地原值</w:t>
      </w:r>
      <w:r>
        <w:rPr>
          <w:rFonts w:ascii="Times New Roman" w:eastAsia="Times New Roman" w:hAnsi="Times New Roman" w:cs="Times New Roman"/>
          <w:color w:val="000000"/>
          <w:spacing w:val="0"/>
          <w:w w:val="100"/>
          <w:position w:val="0"/>
        </w:rPr>
        <w:t>14,292,395.00</w:t>
      </w:r>
      <w:r>
        <w:rPr>
          <w:color w:val="000000"/>
          <w:spacing w:val="0"/>
          <w:w w:val="100"/>
          <w:position w:val="0"/>
        </w:rPr>
        <w:t>元，尚未取得土地使用权证，相关手续正在办理中。</w:t>
      </w:r>
    </w:p>
    <w:p>
      <w:pPr>
        <w:pStyle w:val="Style33"/>
        <w:keepNext/>
        <w:keepLines/>
        <w:widowControl w:val="0"/>
        <w:shd w:val="clear" w:color="auto" w:fill="auto"/>
        <w:bidi w:val="0"/>
        <w:spacing w:before="0" w:after="2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92"/>
      <w:bookmarkEnd w:id="1493"/>
      <w:bookmarkEnd w:id="1495"/>
    </w:p>
    <w:p>
      <w:pPr>
        <w:pStyle w:val="Style22"/>
        <w:keepNext w:val="0"/>
        <w:keepLines w:val="0"/>
        <w:widowControl w:val="0"/>
        <w:shd w:val="clear" w:color="auto" w:fill="auto"/>
        <w:bidi w:val="0"/>
        <w:spacing w:before="0" w:after="340" w:line="317" w:lineRule="exact"/>
        <w:ind w:left="8940" w:right="0" w:firstLine="0"/>
        <w:jc w:val="left"/>
      </w:pPr>
      <w:r>
        <w:rPr>
          <w:color w:val="000000"/>
          <w:spacing w:val="0"/>
          <w:w w:val="100"/>
          <w:position w:val="0"/>
        </w:rPr>
        <w:t>单位：元</w:t>
      </w: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96"/>
      <w:bookmarkEnd w:id="1497"/>
      <w:bookmarkEnd w:id="1499"/>
    </w:p>
    <w:p>
      <w:pPr>
        <w:pStyle w:val="Style33"/>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96"/>
      <w:bookmarkEnd w:id="1497"/>
      <w:bookmarkEnd w:id="150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福建博思电子政 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1,932,398.53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1,932,398.53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内蒙古金财信息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50,416,305.84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50,416,305.84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吉林省博思金财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48,967,465.09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48,967,465.09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广东瑞联科技有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91,972,121.51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91,972,121.51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成都思必得信息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21,789,922.45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21,789,922.45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青海博思网络信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5,269,132.14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5,269,132.14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福州同力科技开 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13,793,048.24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13,793,048.24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博思数采科技发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40,462,026.11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40,462,026.11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黑龙江华颂信息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7,709,804.97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7,709,804.97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福建中控普惠信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9,768,238.24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9,768,238.24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福建博思软件股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48,967,465.09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48,967,465.09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274,602,419.91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17,478,043.21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48,967,465.09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48,967,465.09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292,080,463.12</w:t>
            </w:r>
          </w:p>
        </w:tc>
      </w:tr>
    </w:tbl>
    <w:p>
      <w:pPr>
        <w:pStyle w:val="Style33"/>
        <w:keepNext/>
        <w:keepLines/>
        <w:widowControl w:val="0"/>
        <w:shd w:val="clear" w:color="auto" w:fill="auto"/>
        <w:bidi w:val="0"/>
        <w:spacing w:before="0" w:after="380" w:line="240" w:lineRule="auto"/>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02"/>
      <w:bookmarkEnd w:id="1503"/>
      <w:bookmarkEnd w:id="150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公司账面商誉均为非同一控制下企业合并产生，并购形成的各子公司均独立运营，且其各项资产组合不可分割，故分别 对各个子公司认定为一项资产组。其中涉及公共采购业务的子公司，包括数采科技、支点国际、北京公采云、北京阳光公采 和浙江美科等作为一个整体资产组。本期新增黑龙江华颂、福建中控两项资产组，其他各项资产组与购买日、以前年度商誉 减值测试时所确定的资产组一致。</w:t>
      </w:r>
    </w:p>
    <w:p>
      <w:pPr>
        <w:pStyle w:val="Style22"/>
        <w:keepNext w:val="0"/>
        <w:keepLines w:val="0"/>
        <w:widowControl w:val="0"/>
        <w:shd w:val="clear" w:color="auto" w:fill="auto"/>
        <w:bidi w:val="0"/>
        <w:spacing w:before="0" w:after="0" w:line="316"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）以前年度商誉的形成说明</w:t>
      </w:r>
    </w:p>
    <w:p>
      <w:pPr>
        <w:pStyle w:val="Style22"/>
        <w:keepNext w:val="0"/>
        <w:keepLines w:val="0"/>
        <w:widowControl w:val="0"/>
        <w:numPr>
          <w:ilvl w:val="0"/>
          <w:numId w:val="87"/>
        </w:numPr>
        <w:shd w:val="clear" w:color="auto" w:fill="auto"/>
        <w:tabs>
          <w:tab w:pos="673" w:val="left"/>
        </w:tabs>
        <w:bidi w:val="0"/>
        <w:spacing w:before="0" w:after="0" w:line="316" w:lineRule="exact"/>
        <w:ind w:left="0" w:right="0"/>
        <w:jc w:val="both"/>
      </w:pPr>
      <w:bookmarkStart w:id="1506" w:name="bookmark1506"/>
      <w:bookmarkEnd w:id="1506"/>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月公司非同一控制下合并福建博思电子政务科技有限公司，合并成本为人民币</w:t>
      </w:r>
      <w:r>
        <w:rPr>
          <w:rFonts w:ascii="Times New Roman" w:eastAsia="Times New Roman" w:hAnsi="Times New Roman" w:cs="Times New Roman"/>
          <w:color w:val="000000"/>
          <w:spacing w:val="0"/>
          <w:w w:val="100"/>
          <w:position w:val="0"/>
        </w:rPr>
        <w:t>7,912,839.88</w:t>
      </w:r>
      <w:r>
        <w:rPr>
          <w:color w:val="000000"/>
          <w:spacing w:val="0"/>
          <w:w w:val="100"/>
          <w:position w:val="0"/>
        </w:rPr>
        <w:t>元，合并日公司 应享有电子政务可辨认净资产的公允价值份额为</w:t>
      </w:r>
      <w:r>
        <w:rPr>
          <w:rFonts w:ascii="Times New Roman" w:eastAsia="Times New Roman" w:hAnsi="Times New Roman" w:cs="Times New Roman"/>
          <w:color w:val="000000"/>
          <w:spacing w:val="0"/>
          <w:w w:val="100"/>
          <w:position w:val="0"/>
        </w:rPr>
        <w:t>5,980,441.35</w:t>
      </w:r>
      <w:r>
        <w:rPr>
          <w:color w:val="000000"/>
          <w:spacing w:val="0"/>
          <w:w w:val="100"/>
          <w:position w:val="0"/>
        </w:rPr>
        <w:t>元，差额</w:t>
      </w:r>
      <w:r>
        <w:rPr>
          <w:rFonts w:ascii="Times New Roman" w:eastAsia="Times New Roman" w:hAnsi="Times New Roman" w:cs="Times New Roman"/>
          <w:color w:val="000000"/>
          <w:spacing w:val="0"/>
          <w:w w:val="100"/>
          <w:position w:val="0"/>
        </w:rPr>
        <w:t>1,932,398.53</w:t>
      </w:r>
      <w:r>
        <w:rPr>
          <w:color w:val="000000"/>
          <w:spacing w:val="0"/>
          <w:w w:val="100"/>
          <w:position w:val="0"/>
        </w:rPr>
        <w:t>元确认为商誉。</w:t>
      </w:r>
    </w:p>
    <w:p>
      <w:pPr>
        <w:pStyle w:val="Style22"/>
        <w:keepNext w:val="0"/>
        <w:keepLines w:val="0"/>
        <w:widowControl w:val="0"/>
        <w:numPr>
          <w:ilvl w:val="0"/>
          <w:numId w:val="87"/>
        </w:numPr>
        <w:shd w:val="clear" w:color="auto" w:fill="auto"/>
        <w:tabs>
          <w:tab w:pos="663" w:val="left"/>
        </w:tabs>
        <w:bidi w:val="0"/>
        <w:spacing w:before="0" w:after="0" w:line="316" w:lineRule="exact"/>
        <w:ind w:left="0" w:right="0"/>
        <w:jc w:val="both"/>
      </w:pPr>
      <w:bookmarkStart w:id="1507" w:name="bookmark1507"/>
      <w:bookmarkEnd w:id="150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月公司非同一控制下合并北京数字支点国际项目管理有限公司，合并成本为人民币</w:t>
      </w:r>
      <w:r>
        <w:rPr>
          <w:rFonts w:ascii="Times New Roman" w:eastAsia="Times New Roman" w:hAnsi="Times New Roman" w:cs="Times New Roman"/>
          <w:color w:val="000000"/>
          <w:spacing w:val="0"/>
          <w:w w:val="100"/>
          <w:position w:val="0"/>
        </w:rPr>
        <w:t>16,345,500.00</w:t>
      </w:r>
      <w:r>
        <w:rPr>
          <w:color w:val="000000"/>
          <w:spacing w:val="0"/>
          <w:w w:val="100"/>
          <w:position w:val="0"/>
        </w:rPr>
        <w:t>元，合并日 公司应享有支点国际可辨认净资产的公允价值份额为</w:t>
      </w:r>
      <w:r>
        <w:rPr>
          <w:rFonts w:ascii="Times New Roman" w:eastAsia="Times New Roman" w:hAnsi="Times New Roman" w:cs="Times New Roman"/>
          <w:color w:val="000000"/>
          <w:spacing w:val="0"/>
          <w:w w:val="100"/>
          <w:position w:val="0"/>
        </w:rPr>
        <w:t>3,720,525.39</w:t>
      </w:r>
      <w:r>
        <w:rPr>
          <w:color w:val="000000"/>
          <w:spacing w:val="0"/>
          <w:w w:val="100"/>
          <w:position w:val="0"/>
        </w:rPr>
        <w:t>元，差额</w:t>
      </w:r>
      <w:r>
        <w:rPr>
          <w:rFonts w:ascii="Times New Roman" w:eastAsia="Times New Roman" w:hAnsi="Times New Roman" w:cs="Times New Roman"/>
          <w:color w:val="000000"/>
          <w:spacing w:val="0"/>
          <w:w w:val="100"/>
          <w:position w:val="0"/>
        </w:rPr>
        <w:t>12,624,974.61</w:t>
      </w:r>
      <w:r>
        <w:rPr>
          <w:color w:val="000000"/>
          <w:spacing w:val="0"/>
          <w:w w:val="100"/>
          <w:position w:val="0"/>
        </w:rPr>
        <w:t>元确认为商誉。</w:t>
      </w:r>
    </w:p>
    <w:p>
      <w:pPr>
        <w:pStyle w:val="Style22"/>
        <w:keepNext w:val="0"/>
        <w:keepLines w:val="0"/>
        <w:widowControl w:val="0"/>
        <w:numPr>
          <w:ilvl w:val="0"/>
          <w:numId w:val="87"/>
        </w:numPr>
        <w:shd w:val="clear" w:color="auto" w:fill="auto"/>
        <w:tabs>
          <w:tab w:pos="673" w:val="left"/>
        </w:tabs>
        <w:bidi w:val="0"/>
        <w:spacing w:before="0" w:after="0" w:line="316" w:lineRule="exact"/>
        <w:ind w:left="0" w:right="0"/>
        <w:jc w:val="both"/>
      </w:pPr>
      <w:bookmarkStart w:id="1508" w:name="bookmark1508"/>
      <w:bookmarkEnd w:id="150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月签订协议以</w:t>
      </w:r>
      <w:r>
        <w:rPr>
          <w:rFonts w:ascii="Times New Roman" w:eastAsia="Times New Roman" w:hAnsi="Times New Roman" w:cs="Times New Roman"/>
          <w:color w:val="000000"/>
          <w:spacing w:val="0"/>
          <w:w w:val="100"/>
          <w:position w:val="0"/>
        </w:rPr>
        <w:t>8,400.00</w:t>
      </w:r>
      <w:r>
        <w:rPr>
          <w:color w:val="000000"/>
          <w:spacing w:val="0"/>
          <w:w w:val="100"/>
          <w:position w:val="0"/>
        </w:rPr>
        <w:t>万元购买内蒙古金财信息技术有限公司</w:t>
      </w:r>
      <w:r>
        <w:rPr>
          <w:rFonts w:ascii="Times New Roman" w:eastAsia="Times New Roman" w:hAnsi="Times New Roman" w:cs="Times New Roman"/>
          <w:color w:val="000000"/>
          <w:spacing w:val="0"/>
          <w:w w:val="100"/>
          <w:position w:val="0"/>
        </w:rPr>
        <w:t>70%</w:t>
      </w:r>
      <w:r>
        <w:rPr>
          <w:color w:val="000000"/>
          <w:spacing w:val="0"/>
          <w:w w:val="100"/>
          <w:position w:val="0"/>
        </w:rPr>
        <w:t>股权，形成非同一控制下合并，购买日应享 有内蒙古金财可辨认净资产公允价值的份额为</w:t>
      </w:r>
      <w:r>
        <w:rPr>
          <w:rFonts w:ascii="Times New Roman" w:eastAsia="Times New Roman" w:hAnsi="Times New Roman" w:cs="Times New Roman"/>
          <w:color w:val="000000"/>
          <w:spacing w:val="0"/>
          <w:w w:val="100"/>
          <w:position w:val="0"/>
        </w:rPr>
        <w:t>31,512,254.16</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50,416,305.84</w:t>
      </w:r>
      <w:r>
        <w:rPr>
          <w:color w:val="000000"/>
          <w:spacing w:val="0"/>
          <w:w w:val="100"/>
          <w:position w:val="0"/>
        </w:rPr>
        <w:t>元计 入商誉。</w:t>
      </w:r>
    </w:p>
    <w:p>
      <w:pPr>
        <w:pStyle w:val="Style22"/>
        <w:keepNext w:val="0"/>
        <w:keepLines w:val="0"/>
        <w:widowControl w:val="0"/>
        <w:numPr>
          <w:ilvl w:val="0"/>
          <w:numId w:val="87"/>
        </w:numPr>
        <w:shd w:val="clear" w:color="auto" w:fill="auto"/>
        <w:tabs>
          <w:tab w:pos="663" w:val="left"/>
        </w:tabs>
        <w:bidi w:val="0"/>
        <w:spacing w:before="0" w:after="0" w:line="316" w:lineRule="exact"/>
        <w:ind w:left="0" w:right="0"/>
        <w:jc w:val="both"/>
      </w:pPr>
      <w:bookmarkStart w:id="1509" w:name="bookmark1509"/>
      <w:bookmarkEnd w:id="1509"/>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月公司以合并成本</w:t>
      </w:r>
      <w:r>
        <w:rPr>
          <w:rFonts w:ascii="Times New Roman" w:eastAsia="Times New Roman" w:hAnsi="Times New Roman" w:cs="Times New Roman"/>
          <w:color w:val="000000"/>
          <w:spacing w:val="0"/>
          <w:w w:val="100"/>
          <w:position w:val="0"/>
        </w:rPr>
        <w:t>1,134</w:t>
      </w:r>
      <w:r>
        <w:rPr>
          <w:color w:val="000000"/>
          <w:spacing w:val="0"/>
          <w:w w:val="100"/>
          <w:position w:val="0"/>
        </w:rPr>
        <w:t>万元非同一控制下合并浙江美科科技有限公司，公司购买日应享有浙江美科可辨认净 资产公允价值的份额为</w:t>
      </w:r>
      <w:r>
        <w:rPr>
          <w:rFonts w:ascii="Times New Roman" w:eastAsia="Times New Roman" w:hAnsi="Times New Roman" w:cs="Times New Roman"/>
          <w:color w:val="000000"/>
          <w:spacing w:val="0"/>
          <w:w w:val="100"/>
          <w:position w:val="0"/>
        </w:rPr>
        <w:t>2,115,116.56</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9,224,883.44</w:t>
      </w:r>
      <w:r>
        <w:rPr>
          <w:color w:val="000000"/>
          <w:spacing w:val="0"/>
          <w:w w:val="100"/>
          <w:position w:val="0"/>
        </w:rPr>
        <w:t>元计入商誉。</w:t>
      </w:r>
    </w:p>
    <w:p>
      <w:pPr>
        <w:pStyle w:val="Style22"/>
        <w:keepNext w:val="0"/>
        <w:keepLines w:val="0"/>
        <w:widowControl w:val="0"/>
        <w:numPr>
          <w:ilvl w:val="0"/>
          <w:numId w:val="87"/>
        </w:numPr>
        <w:shd w:val="clear" w:color="auto" w:fill="auto"/>
        <w:tabs>
          <w:tab w:pos="668" w:val="left"/>
        </w:tabs>
        <w:bidi w:val="0"/>
        <w:spacing w:before="0" w:after="0" w:line="316" w:lineRule="exact"/>
        <w:ind w:left="0" w:right="0"/>
        <w:jc w:val="both"/>
      </w:pPr>
      <w:bookmarkStart w:id="1510" w:name="bookmark1510"/>
      <w:bookmarkEnd w:id="1510"/>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月公司以合并成本</w:t>
      </w:r>
      <w:r>
        <w:rPr>
          <w:rFonts w:ascii="Times New Roman" w:eastAsia="Times New Roman" w:hAnsi="Times New Roman" w:cs="Times New Roman"/>
          <w:color w:val="000000"/>
          <w:spacing w:val="0"/>
          <w:w w:val="100"/>
          <w:position w:val="0"/>
        </w:rPr>
        <w:t>2,600</w:t>
      </w:r>
      <w:r>
        <w:rPr>
          <w:color w:val="000000"/>
          <w:spacing w:val="0"/>
          <w:w w:val="100"/>
          <w:position w:val="0"/>
        </w:rPr>
        <w:t>万元非同一控制下合并成都思必得信息技术有限公司。公司购买日应享有成都思必 得可辨认净资产公允价值的份额为</w:t>
      </w:r>
      <w:r>
        <w:rPr>
          <w:rFonts w:ascii="Times New Roman" w:eastAsia="Times New Roman" w:hAnsi="Times New Roman" w:cs="Times New Roman"/>
          <w:color w:val="000000"/>
          <w:spacing w:val="0"/>
          <w:w w:val="100"/>
          <w:position w:val="0"/>
        </w:rPr>
        <w:t>4,210,077.55</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21,789,922.45</w:t>
      </w:r>
      <w:r>
        <w:rPr>
          <w:color w:val="000000"/>
          <w:spacing w:val="0"/>
          <w:w w:val="100"/>
          <w:position w:val="0"/>
        </w:rPr>
        <w:t>元计入商誉。</w:t>
      </w:r>
    </w:p>
    <w:p>
      <w:pPr>
        <w:pStyle w:val="Style22"/>
        <w:keepNext w:val="0"/>
        <w:keepLines w:val="0"/>
        <w:widowControl w:val="0"/>
        <w:numPr>
          <w:ilvl w:val="0"/>
          <w:numId w:val="87"/>
        </w:numPr>
        <w:shd w:val="clear" w:color="auto" w:fill="auto"/>
        <w:tabs>
          <w:tab w:pos="668" w:val="left"/>
        </w:tabs>
        <w:bidi w:val="0"/>
        <w:spacing w:before="0" w:after="0" w:line="316" w:lineRule="exact"/>
        <w:ind w:left="0" w:right="0"/>
        <w:jc w:val="both"/>
      </w:pPr>
      <w:bookmarkStart w:id="1511" w:name="bookmark1511"/>
      <w:bookmarkEnd w:id="1511"/>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月公司以合并成本</w:t>
      </w:r>
      <w:r>
        <w:rPr>
          <w:rFonts w:ascii="Times New Roman" w:eastAsia="Times New Roman" w:hAnsi="Times New Roman" w:cs="Times New Roman"/>
          <w:color w:val="000000"/>
          <w:spacing w:val="0"/>
          <w:w w:val="100"/>
          <w:position w:val="0"/>
        </w:rPr>
        <w:t>3,060</w:t>
      </w:r>
      <w:r>
        <w:rPr>
          <w:color w:val="000000"/>
          <w:spacing w:val="0"/>
          <w:w w:val="100"/>
          <w:position w:val="0"/>
        </w:rPr>
        <w:t>万元非同一控制下合并北京阳光公采科技有限公司，公司购买日应享有北京阳光公 采可辨认净资产公允价值的份额为</w:t>
      </w:r>
      <w:r>
        <w:rPr>
          <w:rFonts w:ascii="Times New Roman" w:eastAsia="Times New Roman" w:hAnsi="Times New Roman" w:cs="Times New Roman"/>
          <w:color w:val="000000"/>
          <w:spacing w:val="0"/>
          <w:w w:val="100"/>
          <w:position w:val="0"/>
        </w:rPr>
        <w:t>11,987,831.94</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18,612,168.06</w:t>
      </w:r>
      <w:r>
        <w:rPr>
          <w:color w:val="000000"/>
          <w:spacing w:val="0"/>
          <w:w w:val="100"/>
          <w:position w:val="0"/>
        </w:rPr>
        <w:t>元计入商誉。</w:t>
      </w:r>
    </w:p>
    <w:p>
      <w:pPr>
        <w:pStyle w:val="Style22"/>
        <w:keepNext w:val="0"/>
        <w:keepLines w:val="0"/>
        <w:widowControl w:val="0"/>
        <w:numPr>
          <w:ilvl w:val="0"/>
          <w:numId w:val="87"/>
        </w:numPr>
        <w:shd w:val="clear" w:color="auto" w:fill="auto"/>
        <w:tabs>
          <w:tab w:pos="668" w:val="left"/>
        </w:tabs>
        <w:bidi w:val="0"/>
        <w:spacing w:before="0" w:after="0" w:line="316" w:lineRule="exact"/>
        <w:ind w:left="0" w:right="0"/>
        <w:jc w:val="both"/>
      </w:pPr>
      <w:bookmarkStart w:id="1512" w:name="bookmark1512"/>
      <w:bookmarkEnd w:id="1512"/>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月签订协议，公司以</w:t>
      </w:r>
      <w:r>
        <w:rPr>
          <w:rFonts w:ascii="Times New Roman" w:eastAsia="Times New Roman" w:hAnsi="Times New Roman" w:cs="Times New Roman"/>
          <w:color w:val="000000"/>
          <w:spacing w:val="0"/>
          <w:w w:val="100"/>
          <w:position w:val="0"/>
        </w:rPr>
        <w:t>11,413.413</w:t>
      </w:r>
      <w:r>
        <w:rPr>
          <w:color w:val="000000"/>
          <w:spacing w:val="0"/>
          <w:w w:val="100"/>
          <w:position w:val="0"/>
        </w:rPr>
        <w:t>万元购买广东瑞联科技有限公司</w:t>
      </w:r>
      <w:r>
        <w:rPr>
          <w:rFonts w:ascii="Times New Roman" w:eastAsia="Times New Roman" w:hAnsi="Times New Roman" w:cs="Times New Roman"/>
          <w:color w:val="000000"/>
          <w:spacing w:val="0"/>
          <w:w w:val="100"/>
          <w:position w:val="0"/>
        </w:rPr>
        <w:t>78%</w:t>
      </w:r>
      <w:r>
        <w:rPr>
          <w:color w:val="000000"/>
          <w:spacing w:val="0"/>
          <w:w w:val="100"/>
          <w:position w:val="0"/>
        </w:rPr>
        <w:t>股权，形成非同一控制下合并，公司购买 日应享有广东瑞联可辨认净资产公允价值的份额为</w:t>
      </w:r>
      <w:r>
        <w:rPr>
          <w:rFonts w:ascii="Times New Roman" w:eastAsia="Times New Roman" w:hAnsi="Times New Roman" w:cs="Times New Roman"/>
          <w:color w:val="000000"/>
          <w:spacing w:val="0"/>
          <w:w w:val="100"/>
          <w:position w:val="0"/>
        </w:rPr>
        <w:t>20,663,920.29</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 xml:space="preserve">91,972,121.51 </w:t>
      </w:r>
      <w:r>
        <w:rPr>
          <w:color w:val="000000"/>
          <w:spacing w:val="0"/>
          <w:w w:val="100"/>
          <w:position w:val="0"/>
        </w:rPr>
        <w:t>元计入商誉。</w:t>
      </w:r>
    </w:p>
    <w:p>
      <w:pPr>
        <w:pStyle w:val="Style22"/>
        <w:keepNext w:val="0"/>
        <w:keepLines w:val="0"/>
        <w:widowControl w:val="0"/>
        <w:numPr>
          <w:ilvl w:val="0"/>
          <w:numId w:val="87"/>
        </w:numPr>
        <w:shd w:val="clear" w:color="auto" w:fill="auto"/>
        <w:tabs>
          <w:tab w:pos="678" w:val="left"/>
        </w:tabs>
        <w:bidi w:val="0"/>
        <w:spacing w:before="0" w:after="0" w:line="316" w:lineRule="exact"/>
        <w:ind w:left="0" w:right="0"/>
        <w:jc w:val="both"/>
      </w:pPr>
      <w:bookmarkStart w:id="1513" w:name="bookmark1513"/>
      <w:bookmarkEnd w:id="1513"/>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月公司通过分步交易形成对吉林省博思金财科技有限公司非同一控制下的企业合并。公司购买日应享有吉林 省博思金财科技有限公司可辨认净资产公允价值的份额为</w:t>
      </w:r>
      <w:r>
        <w:rPr>
          <w:rFonts w:ascii="Times New Roman" w:eastAsia="Times New Roman" w:hAnsi="Times New Roman" w:cs="Times New Roman"/>
          <w:color w:val="000000"/>
          <w:spacing w:val="0"/>
          <w:w w:val="100"/>
          <w:position w:val="0"/>
        </w:rPr>
        <w:t>8,296,380.14</w:t>
      </w:r>
      <w:r>
        <w:rPr>
          <w:color w:val="000000"/>
          <w:spacing w:val="0"/>
          <w:w w:val="100"/>
          <w:position w:val="0"/>
        </w:rPr>
        <w:t xml:space="preserve">元，合并成本与可辨认净资产公允价值的差额 </w:t>
      </w:r>
      <w:r>
        <w:rPr>
          <w:rFonts w:ascii="Times New Roman" w:eastAsia="Times New Roman" w:hAnsi="Times New Roman" w:cs="Times New Roman"/>
          <w:color w:val="000000"/>
          <w:spacing w:val="0"/>
          <w:w w:val="100"/>
          <w:position w:val="0"/>
        </w:rPr>
        <w:t>48,967,465.09</w:t>
      </w:r>
      <w:r>
        <w:rPr>
          <w:color w:val="000000"/>
          <w:spacing w:val="0"/>
          <w:w w:val="100"/>
          <w:position w:val="0"/>
        </w:rPr>
        <w:t>元计入商誉。</w:t>
      </w:r>
    </w:p>
    <w:p>
      <w:pPr>
        <w:pStyle w:val="Style22"/>
        <w:keepNext w:val="0"/>
        <w:keepLines w:val="0"/>
        <w:widowControl w:val="0"/>
        <w:numPr>
          <w:ilvl w:val="0"/>
          <w:numId w:val="87"/>
        </w:numPr>
        <w:shd w:val="clear" w:color="auto" w:fill="auto"/>
        <w:tabs>
          <w:tab w:pos="668" w:val="left"/>
        </w:tabs>
        <w:bidi w:val="0"/>
        <w:spacing w:before="0" w:after="0" w:line="316" w:lineRule="exact"/>
        <w:ind w:left="0" w:right="0"/>
        <w:jc w:val="both"/>
      </w:pPr>
      <w:bookmarkStart w:id="1514" w:name="bookmark1514"/>
      <w:bookmarkEnd w:id="1514"/>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月，本公司以人民币</w:t>
      </w:r>
      <w:r>
        <w:rPr>
          <w:rFonts w:ascii="Times New Roman" w:eastAsia="Times New Roman" w:hAnsi="Times New Roman" w:cs="Times New Roman"/>
          <w:color w:val="000000"/>
          <w:spacing w:val="0"/>
          <w:w w:val="100"/>
          <w:position w:val="0"/>
        </w:rPr>
        <w:t>9,000,000</w:t>
      </w:r>
      <w:r>
        <w:rPr>
          <w:color w:val="000000"/>
          <w:spacing w:val="0"/>
          <w:w w:val="100"/>
          <w:position w:val="0"/>
        </w:rPr>
        <w:t>元收购青海博思网络信息技术有限公司</w:t>
      </w:r>
      <w:r>
        <w:rPr>
          <w:rFonts w:ascii="Times New Roman" w:eastAsia="Times New Roman" w:hAnsi="Times New Roman" w:cs="Times New Roman"/>
          <w:color w:val="000000"/>
          <w:spacing w:val="0"/>
          <w:w w:val="100"/>
          <w:position w:val="0"/>
        </w:rPr>
        <w:t>60.00%</w:t>
      </w:r>
      <w:r>
        <w:rPr>
          <w:color w:val="000000"/>
          <w:spacing w:val="0"/>
          <w:w w:val="100"/>
          <w:position w:val="0"/>
        </w:rPr>
        <w:t>股权，购买日公司享有的其可辨 认净资产公允价值份额为人民币</w:t>
      </w:r>
      <w:r>
        <w:rPr>
          <w:rFonts w:ascii="Times New Roman" w:eastAsia="Times New Roman" w:hAnsi="Times New Roman" w:cs="Times New Roman"/>
          <w:color w:val="000000"/>
          <w:spacing w:val="0"/>
          <w:w w:val="100"/>
          <w:position w:val="0"/>
        </w:rPr>
        <w:t>3,730,867.86</w:t>
      </w:r>
      <w:r>
        <w:rPr>
          <w:color w:val="000000"/>
          <w:spacing w:val="0"/>
          <w:w w:val="100"/>
          <w:position w:val="0"/>
        </w:rPr>
        <w:t>元，合并成本与享有的其可辨认净资产公允价值份额的差额</w:t>
      </w:r>
      <w:r>
        <w:rPr>
          <w:rFonts w:ascii="Times New Roman" w:eastAsia="Times New Roman" w:hAnsi="Times New Roman" w:cs="Times New Roman"/>
          <w:color w:val="000000"/>
          <w:spacing w:val="0"/>
          <w:w w:val="100"/>
          <w:position w:val="0"/>
        </w:rPr>
        <w:t>5,269,132.14</w:t>
      </w:r>
      <w:r>
        <w:rPr>
          <w:color w:val="000000"/>
          <w:spacing w:val="0"/>
          <w:w w:val="100"/>
          <w:position w:val="0"/>
        </w:rPr>
        <w:t>元计入 商誉。</w:t>
      </w:r>
    </w:p>
    <w:p>
      <w:pPr>
        <w:pStyle w:val="Style22"/>
        <w:keepNext w:val="0"/>
        <w:keepLines w:val="0"/>
        <w:widowControl w:val="0"/>
        <w:numPr>
          <w:ilvl w:val="0"/>
          <w:numId w:val="87"/>
        </w:numPr>
        <w:shd w:val="clear" w:color="auto" w:fill="auto"/>
        <w:tabs>
          <w:tab w:pos="678" w:val="left"/>
        </w:tabs>
        <w:bidi w:val="0"/>
        <w:spacing w:before="0" w:after="0" w:line="315" w:lineRule="exact"/>
        <w:ind w:left="0" w:right="0"/>
        <w:jc w:val="both"/>
      </w:pPr>
      <w:bookmarkStart w:id="1515" w:name="bookmark1515"/>
      <w:bookmarkEnd w:id="151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月，通过分步交易形成对福州同力科技开发有限公司（以下简称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同力科技</w:t>
      </w:r>
      <w:r>
        <w:rPr>
          <w:rFonts w:ascii="Times New Roman" w:eastAsia="Times New Roman" w:hAnsi="Times New Roman" w:cs="Times New Roman"/>
          <w:color w:val="000000"/>
          <w:spacing w:val="0"/>
          <w:w w:val="100"/>
          <w:position w:val="0"/>
        </w:rPr>
        <w:t>”</w:t>
      </w:r>
      <w:r>
        <w:rPr>
          <w:color w:val="000000"/>
          <w:spacing w:val="0"/>
          <w:w w:val="100"/>
          <w:position w:val="0"/>
        </w:rPr>
        <w:t>）非同一控制下的企业合并，增 加商誉</w:t>
      </w:r>
      <w:r>
        <w:rPr>
          <w:rFonts w:ascii="Times New Roman" w:eastAsia="Times New Roman" w:hAnsi="Times New Roman" w:cs="Times New Roman"/>
          <w:color w:val="000000"/>
          <w:spacing w:val="0"/>
          <w:w w:val="100"/>
          <w:position w:val="0"/>
        </w:rPr>
        <w:t>13,793,048.24</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日，本公司以人民币</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,350,000.00</w:t>
      </w:r>
      <w:r>
        <w:rPr>
          <w:color w:val="000000"/>
          <w:spacing w:val="0"/>
          <w:w w:val="100"/>
          <w:position w:val="0"/>
        </w:rPr>
        <w:t>元收购同力科技</w:t>
      </w:r>
      <w:r>
        <w:rPr>
          <w:rFonts w:ascii="Times New Roman" w:eastAsia="Times New Roman" w:hAnsi="Times New Roman" w:cs="Times New Roman"/>
          <w:color w:val="000000"/>
          <w:spacing w:val="0"/>
          <w:w w:val="100"/>
          <w:position w:val="0"/>
        </w:rPr>
        <w:t>17.50%</w:t>
      </w:r>
      <w:r>
        <w:rPr>
          <w:color w:val="000000"/>
          <w:spacing w:val="0"/>
          <w:w w:val="100"/>
          <w:position w:val="0"/>
        </w:rPr>
        <w:t>股权，同时以人民币</w:t>
      </w:r>
      <w:r>
        <w:rPr>
          <w:rFonts w:ascii="Times New Roman" w:eastAsia="Times New Roman" w:hAnsi="Times New Roman" w:cs="Times New Roman"/>
          <w:color w:val="000000"/>
          <w:spacing w:val="0"/>
          <w:w w:val="100"/>
          <w:position w:val="0"/>
        </w:rPr>
        <w:t xml:space="preserve">3,000,000.00 </w:t>
      </w:r>
      <w:r>
        <w:rPr>
          <w:color w:val="000000"/>
          <w:spacing w:val="0"/>
          <w:w w:val="100"/>
          <w:position w:val="0"/>
        </w:rPr>
        <w:t>元向其增资。购买日之前本公司持有的同力科技</w:t>
      </w:r>
      <w:r>
        <w:rPr>
          <w:rFonts w:ascii="Times New Roman" w:eastAsia="Times New Roman" w:hAnsi="Times New Roman" w:cs="Times New Roman"/>
          <w:color w:val="000000"/>
          <w:spacing w:val="0"/>
          <w:w w:val="100"/>
          <w:position w:val="0"/>
        </w:rPr>
        <w:t>30%</w:t>
      </w:r>
      <w:r>
        <w:rPr>
          <w:color w:val="000000"/>
          <w:spacing w:val="0"/>
          <w:w w:val="100"/>
          <w:position w:val="0"/>
        </w:rPr>
        <w:t>股权于购买日的公允价值为人民币</w:t>
      </w:r>
      <w:r>
        <w:rPr>
          <w:rFonts w:ascii="Times New Roman" w:eastAsia="Times New Roman" w:hAnsi="Times New Roman" w:cs="Times New Roman"/>
          <w:color w:val="000000"/>
          <w:spacing w:val="0"/>
          <w:w w:val="100"/>
          <w:position w:val="0"/>
        </w:rPr>
        <w:t>12,600,000.00</w:t>
      </w:r>
      <w:r>
        <w:rPr>
          <w:color w:val="000000"/>
          <w:spacing w:val="0"/>
          <w:w w:val="100"/>
          <w:position w:val="0"/>
        </w:rPr>
        <w:t xml:space="preserve">元。合并成本合计为 </w:t>
      </w:r>
      <w:r>
        <w:rPr>
          <w:rFonts w:ascii="Times New Roman" w:eastAsia="Times New Roman" w:hAnsi="Times New Roman" w:cs="Times New Roman"/>
          <w:color w:val="000000"/>
          <w:spacing w:val="0"/>
          <w:w w:val="100"/>
          <w:position w:val="0"/>
        </w:rPr>
        <w:t>22,950,000.00</w:t>
      </w:r>
      <w:r>
        <w:rPr>
          <w:color w:val="000000"/>
          <w:spacing w:val="0"/>
          <w:w w:val="100"/>
          <w:position w:val="0"/>
        </w:rPr>
        <w:t>元。购买日公司享有的其可辨认净资产公允价值份额为人民币</w:t>
      </w:r>
      <w:r>
        <w:rPr>
          <w:rFonts w:ascii="Times New Roman" w:eastAsia="Times New Roman" w:hAnsi="Times New Roman" w:cs="Times New Roman"/>
          <w:color w:val="000000"/>
          <w:spacing w:val="0"/>
          <w:w w:val="100"/>
          <w:position w:val="0"/>
        </w:rPr>
        <w:t>9,156,951.76</w:t>
      </w:r>
      <w:r>
        <w:rPr>
          <w:color w:val="000000"/>
          <w:spacing w:val="0"/>
          <w:w w:val="100"/>
          <w:position w:val="0"/>
        </w:rPr>
        <w:t>元，合并成本与享有的其可辨认净资 产公允价值份额的差额</w:t>
      </w:r>
      <w:r>
        <w:rPr>
          <w:rFonts w:ascii="Times New Roman" w:eastAsia="Times New Roman" w:hAnsi="Times New Roman" w:cs="Times New Roman"/>
          <w:color w:val="000000"/>
          <w:spacing w:val="0"/>
          <w:w w:val="100"/>
          <w:position w:val="0"/>
        </w:rPr>
        <w:t>13,793,048.24</w:t>
      </w:r>
      <w:r>
        <w:rPr>
          <w:color w:val="000000"/>
          <w:spacing w:val="0"/>
          <w:w w:val="100"/>
          <w:position w:val="0"/>
        </w:rPr>
        <w:t>元计入商誉。</w:t>
      </w:r>
    </w:p>
    <w:p>
      <w:pPr>
        <w:pStyle w:val="Style22"/>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⑪2020</w:t>
      </w:r>
      <w:r>
        <w:rPr>
          <w:color w:val="000000"/>
          <w:spacing w:val="0"/>
          <w:w w:val="100"/>
          <w:position w:val="0"/>
        </w:rPr>
        <w:t xml:space="preserve">年，博思软件对公共采购业务进行整合并调整架构，将博思软件涉及公共采购业务的各家子公司（支点国际、 北京公采云、北京阳光公采、浙江美科、成都思必得）股权划转至子公司博思数采科技。股权整合后，数采科技对业务架构 </w:t>
      </w:r>
      <w:r>
        <w:rPr>
          <w:color w:val="000000"/>
          <w:spacing w:val="0"/>
          <w:w w:val="100"/>
          <w:position w:val="0"/>
        </w:rPr>
        <w:t>进行了整合，目前数采科技以及公采业务子公司已经对人员的工作安排进行了整合；对业务也开始进行整合，部分业务的签 约主体也陆续转移；知识产权由整个数采集团进行更新迭代后，专利及软著权将申请归属为数采科技。经过上述整合，原非 同一控制下的单体子公司产生的商誉所在的资产组已发生变化，其各子公司主体未能独立产生现金流或未能体现其实际经营 情况，需考虑整体协同效应的影响，应将公采业务子公司前期非同一控制下合并产生的商誉重新分摊至新的资产组组合。故 将数采科技的合并资产组(含支点国际、北京公采云、北京阳光公采、浙江美科，不含成都思必得)，作为商誉所在资产组 进行整体评估测试减值。</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成都思必得子公司仍独立运营，人员及业务独立于博思软件及数采科技。思必得人员办公主要集中在成都，与政府采购 业务人员及办公场地基本分离，思必得提供高校行业采购信息化服务，客户行业与政府采购客户群体不同，产品技术及信息 化需求与政府采购客户需求不同，整合后，仍发展高校采购业务，核心业务方向不变。故成都思必得仍作为单独的资产组进 行减值测试。</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)本期新增商誉的形成说明</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日，博思软件控股子公司北京博思致新互联网科技有限责任公司以人民币</w:t>
      </w:r>
      <w:r>
        <w:rPr>
          <w:rFonts w:ascii="Times New Roman" w:eastAsia="Times New Roman" w:hAnsi="Times New Roman" w:cs="Times New Roman"/>
          <w:color w:val="000000"/>
          <w:spacing w:val="0"/>
          <w:w w:val="100"/>
          <w:position w:val="0"/>
        </w:rPr>
        <w:t>12,590,251.8</w:t>
      </w:r>
      <w:r>
        <w:rPr>
          <w:rFonts w:ascii="Times New Roman" w:eastAsia="Times New Roman" w:hAnsi="Times New Roman" w:cs="Times New Roman"/>
          <w:color w:val="000000"/>
          <w:spacing w:val="0"/>
          <w:w w:val="100"/>
          <w:position w:val="0"/>
        </w:rPr>
        <w:t>7</w:t>
      </w:r>
      <w:r>
        <w:rPr>
          <w:color w:val="000000"/>
          <w:spacing w:val="0"/>
          <w:w w:val="100"/>
          <w:position w:val="0"/>
        </w:rPr>
        <w:t>元收购黑龙江 华颂信息技术有限公司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股权。购买日公司享有的其可辨认净资产公允价值份额为人民币</w:t>
      </w:r>
      <w:r>
        <w:rPr>
          <w:rFonts w:ascii="Times New Roman" w:eastAsia="Times New Roman" w:hAnsi="Times New Roman" w:cs="Times New Roman"/>
          <w:color w:val="000000"/>
          <w:spacing w:val="0"/>
          <w:w w:val="100"/>
          <w:position w:val="0"/>
        </w:rPr>
        <w:t>4,880,446.90</w:t>
      </w:r>
      <w:r>
        <w:rPr>
          <w:color w:val="000000"/>
          <w:spacing w:val="0"/>
          <w:w w:val="100"/>
          <w:position w:val="0"/>
        </w:rPr>
        <w:t>元，合并成本与 享有的其可辨认净资产公允价值份额的差额</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,709,804.9</w:t>
      </w:r>
      <w:r>
        <w:rPr>
          <w:rFonts w:ascii="Times New Roman" w:eastAsia="Times New Roman" w:hAnsi="Times New Roman" w:cs="Times New Roman"/>
          <w:color w:val="000000"/>
          <w:spacing w:val="0"/>
          <w:w w:val="100"/>
          <w:position w:val="0"/>
        </w:rPr>
        <w:t>7</w:t>
      </w:r>
      <w:r>
        <w:rPr>
          <w:color w:val="000000"/>
          <w:spacing w:val="0"/>
          <w:w w:val="100"/>
          <w:position w:val="0"/>
        </w:rPr>
        <w:t>元计入商誉。</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日，博思软件控股子公司博思数采科技发展有限公司(以下简称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数采科技</w:t>
      </w:r>
      <w:r>
        <w:rPr>
          <w:rFonts w:ascii="Times New Roman" w:eastAsia="Times New Roman" w:hAnsi="Times New Roman" w:cs="Times New Roman"/>
          <w:color w:val="000000"/>
          <w:spacing w:val="0"/>
          <w:w w:val="100"/>
          <w:position w:val="0"/>
        </w:rPr>
        <w:t>”</w:t>
      </w:r>
      <w:r>
        <w:rPr>
          <w:color w:val="000000"/>
          <w:spacing w:val="0"/>
          <w:w w:val="100"/>
          <w:position w:val="0"/>
        </w:rPr>
        <w:t>)以其持有的北京博思赋能 科技有限公司</w:t>
      </w:r>
      <w:r>
        <w:rPr>
          <w:rFonts w:ascii="Times New Roman" w:eastAsia="Times New Roman" w:hAnsi="Times New Roman" w:cs="Times New Roman"/>
          <w:color w:val="000000"/>
          <w:spacing w:val="0"/>
          <w:w w:val="100"/>
          <w:position w:val="0"/>
        </w:rPr>
        <w:t>51%</w:t>
      </w:r>
      <w:r>
        <w:rPr>
          <w:color w:val="000000"/>
          <w:spacing w:val="0"/>
          <w:w w:val="100"/>
          <w:position w:val="0"/>
        </w:rPr>
        <w:t xml:space="preserve">股权向福建中控普惠信息科技有限公司增资。购买日之前数采科技持有的福建中控普惠信息科技有限公司 </w:t>
      </w:r>
      <w:r>
        <w:rPr>
          <w:rFonts w:ascii="Times New Roman" w:eastAsia="Times New Roman" w:hAnsi="Times New Roman" w:cs="Times New Roman"/>
          <w:color w:val="000000"/>
          <w:spacing w:val="0"/>
          <w:w w:val="100"/>
          <w:position w:val="0"/>
        </w:rPr>
        <w:t>36%</w:t>
      </w:r>
      <w:r>
        <w:rPr>
          <w:color w:val="000000"/>
          <w:spacing w:val="0"/>
          <w:w w:val="100"/>
          <w:position w:val="0"/>
        </w:rPr>
        <w:t>股权于购买日的公允价值为人民币</w:t>
      </w:r>
      <w:r>
        <w:rPr>
          <w:rFonts w:ascii="Times New Roman" w:eastAsia="Times New Roman" w:hAnsi="Times New Roman" w:cs="Times New Roman"/>
          <w:color w:val="000000"/>
          <w:spacing w:val="0"/>
          <w:w w:val="100"/>
          <w:position w:val="0"/>
        </w:rPr>
        <w:t>12,600,000.00</w:t>
      </w:r>
      <w:r>
        <w:rPr>
          <w:color w:val="000000"/>
          <w:spacing w:val="0"/>
          <w:w w:val="100"/>
          <w:position w:val="0"/>
        </w:rPr>
        <w:t>元。合并成本合计为</w:t>
      </w:r>
      <w:r>
        <w:rPr>
          <w:rFonts w:ascii="Times New Roman" w:eastAsia="Times New Roman" w:hAnsi="Times New Roman" w:cs="Times New Roman"/>
          <w:color w:val="000000"/>
          <w:spacing w:val="0"/>
          <w:w w:val="100"/>
          <w:position w:val="0"/>
        </w:rPr>
        <w:t>25,350,000.00</w:t>
      </w:r>
      <w:r>
        <w:rPr>
          <w:color w:val="000000"/>
          <w:spacing w:val="0"/>
          <w:w w:val="100"/>
          <w:position w:val="0"/>
        </w:rPr>
        <w:t>元。购买日公司享有的其可辨认净资 产公允价值份额为人民币</w:t>
      </w:r>
      <w:r>
        <w:rPr>
          <w:rFonts w:ascii="Times New Roman" w:eastAsia="Times New Roman" w:hAnsi="Times New Roman" w:cs="Times New Roman"/>
          <w:color w:val="000000"/>
          <w:spacing w:val="0"/>
          <w:w w:val="100"/>
          <w:position w:val="0"/>
        </w:rPr>
        <w:t>15,581,761.76</w:t>
      </w:r>
      <w:r>
        <w:rPr>
          <w:color w:val="000000"/>
          <w:spacing w:val="0"/>
          <w:w w:val="100"/>
          <w:position w:val="0"/>
        </w:rPr>
        <w:t>元，合并成本与享有的其可辨认净资产公允价值份额的差额</w:t>
      </w:r>
      <w:r>
        <w:rPr>
          <w:rFonts w:ascii="Times New Roman" w:eastAsia="Times New Roman" w:hAnsi="Times New Roman" w:cs="Times New Roman"/>
          <w:color w:val="000000"/>
          <w:spacing w:val="0"/>
          <w:w w:val="100"/>
          <w:position w:val="0"/>
        </w:rPr>
        <w:t>9,768,238.24</w:t>
      </w:r>
      <w:r>
        <w:rPr>
          <w:color w:val="000000"/>
          <w:spacing w:val="0"/>
          <w:w w:val="100"/>
          <w:position w:val="0"/>
        </w:rPr>
        <w:t>元计入商誉。</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具体详见</w:t>
      </w:r>
      <w:r>
        <w:rPr>
          <w:rFonts w:ascii="Times New Roman" w:eastAsia="Times New Roman" w:hAnsi="Times New Roman" w:cs="Times New Roman"/>
          <w:color w:val="000000"/>
          <w:spacing w:val="0"/>
          <w:w w:val="100"/>
          <w:position w:val="0"/>
        </w:rPr>
        <w:t>“</w:t>
      </w:r>
      <w:r>
        <w:rPr>
          <w:color w:val="000000"/>
          <w:spacing w:val="0"/>
          <w:w w:val="100"/>
          <w:position w:val="0"/>
        </w:rPr>
        <w:t>附注八、合并范围的变更(一)非同一控制下企业合并</w:t>
      </w:r>
      <w:r>
        <w:rPr>
          <w:rFonts w:ascii="Times New Roman" w:eastAsia="Times New Roman" w:hAnsi="Times New Roman" w:cs="Times New Roman"/>
          <w:color w:val="000000"/>
          <w:spacing w:val="0"/>
          <w:w w:val="100"/>
          <w:position w:val="0"/>
        </w:rPr>
        <w:t>”</w:t>
      </w:r>
      <w:r>
        <w:rPr>
          <w:color w:val="000000"/>
          <w:spacing w:val="0"/>
          <w:w w:val="100"/>
          <w:position w:val="0"/>
        </w:rPr>
        <w:t>情况说明。</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2"/>
        <w:keepNext w:val="0"/>
        <w:keepLines w:val="0"/>
        <w:widowControl w:val="0"/>
        <w:shd w:val="clear" w:color="auto" w:fill="auto"/>
        <w:bidi w:val="0"/>
        <w:spacing w:before="0" w:after="360" w:line="314" w:lineRule="exact"/>
        <w:ind w:left="0" w:right="0"/>
        <w:jc w:val="both"/>
      </w:pPr>
      <w:r>
        <w:rPr>
          <w:color w:val="000000"/>
          <w:spacing w:val="0"/>
          <w:w w:val="100"/>
          <w:position w:val="0"/>
        </w:rPr>
        <w:t>管理层根据并购公司历史年度及其对市场发展的预期编制财务预算，包括参考过往的毛利率、收入增长率以及未来期间 的在手订单或合同，据此预计未来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年内现金流量，并假设预测期后现金流量均保持稳定。公司取资产负债表日所有</w:t>
      </w:r>
      <w:r>
        <w:rPr>
          <w:rFonts w:ascii="Times New Roman" w:eastAsia="Times New Roman" w:hAnsi="Times New Roman" w:cs="Times New Roman"/>
          <w:color w:val="000000"/>
          <w:spacing w:val="0"/>
          <w:w w:val="100"/>
          <w:position w:val="0"/>
        </w:rPr>
        <w:t>10</w:t>
      </w:r>
      <w:r>
        <w:rPr>
          <w:color w:val="000000"/>
          <w:spacing w:val="0"/>
          <w:w w:val="100"/>
          <w:position w:val="0"/>
        </w:rPr>
        <w:t>年期 以上的国债到期收益率的平均值作为本次评估测试的无风险报酬率，选取多家相近行业的上市公司数据作为参考，并结合企 业特定风险、企业所得税率等其他因素的影响，最终确定各项资产组评估测试的折现率。</w:t>
      </w:r>
    </w:p>
    <w:tbl>
      <w:tblPr>
        <w:tblOverlap w:val="never"/>
        <w:jc w:val="left"/>
        <w:tblLayout w:type="fixed"/>
      </w:tblPr>
      <w:tblGrid>
        <w:gridCol w:w="2563"/>
        <w:gridCol w:w="1085"/>
        <w:gridCol w:w="1042"/>
        <w:gridCol w:w="917"/>
        <w:gridCol w:w="1066"/>
        <w:gridCol w:w="1138"/>
        <w:gridCol w:w="739"/>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或形成商誉的事项</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折现率</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福建博思电子政务科技有限公司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64.33-65.46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59.78-60.65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内蒙古金财信息技术有限公司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-13.82-1.99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54.13-55.79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51.02-53.10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吉林省金财科技有限公司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34.06-34.68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8.60-18.99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70.10-74.36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广东瑞联科技有限公司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3.58-13.51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34.79-35.75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41.95-43.21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成都思必得信息技术有限公司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4.35-30.85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60.17-64.14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5.00-25.64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69.17-72.78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青海博思网络信息技术有限公司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7.58-16.13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56.26-57.64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10.02-13.78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58.55-60.43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福州同力科技开发有限公司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6.24-18.92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40.76-42.44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5.23-22.04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42.66-44.30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博思数采科技发展有限公司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7.69-26.53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57.5-59.14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9.94-29.59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55.31-59.68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黑龙江华颂信息技术有限公司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74.36-76.4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福建中控普惠信息科技有限公司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5.16-51.88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82.07-86.24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管理层所采用的加权平均增长率不超过本公司所在行业产品的长期平均增长率。管理层根据历史经验及对市场发展的预 测确定预算毛利率，并采用能够反映相关资产组和资产组组合的特定风险的税前利率为折现率。上述假设用以分析资产组组 合的可收回金额。</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商誉减值测试的影响</w:t>
      </w:r>
    </w:p>
    <w:p>
      <w:pPr>
        <w:pStyle w:val="Style22"/>
        <w:keepNext w:val="0"/>
        <w:keepLines w:val="0"/>
        <w:widowControl w:val="0"/>
        <w:shd w:val="clear" w:color="auto" w:fill="auto"/>
        <w:bidi w:val="0"/>
        <w:spacing w:before="0" w:after="60" w:line="314" w:lineRule="exact"/>
        <w:ind w:left="0" w:right="0" w:firstLine="520"/>
        <w:jc w:val="both"/>
      </w:pPr>
      <w:r>
        <w:rPr>
          <w:color w:val="000000"/>
          <w:spacing w:val="0"/>
          <w:w w:val="100"/>
          <w:position w:val="0"/>
        </w:rPr>
        <w:t>根据公司与福州同力科技开发有限公司（以下简称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同力科技</w:t>
      </w:r>
      <w:r>
        <w:rPr>
          <w:rFonts w:ascii="Times New Roman" w:eastAsia="Times New Roman" w:hAnsi="Times New Roman" w:cs="Times New Roman"/>
          <w:color w:val="000000"/>
          <w:spacing w:val="0"/>
          <w:w w:val="100"/>
          <w:position w:val="0"/>
        </w:rPr>
        <w:t>”</w:t>
      </w:r>
      <w:r>
        <w:rPr>
          <w:color w:val="000000"/>
          <w:spacing w:val="0"/>
          <w:w w:val="100"/>
          <w:position w:val="0"/>
        </w:rPr>
        <w:t>）原股东签订的《股权转让协议》，如果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年两年累计实现的归属于母公司的净利润（扣除非经常性损益前后孰低）达到</w:t>
      </w:r>
      <w:r>
        <w:rPr>
          <w:rFonts w:ascii="Times New Roman" w:eastAsia="Times New Roman" w:hAnsi="Times New Roman" w:cs="Times New Roman"/>
          <w:color w:val="000000"/>
          <w:spacing w:val="0"/>
          <w:w w:val="100"/>
          <w:position w:val="0"/>
        </w:rPr>
        <w:t>900</w:t>
      </w:r>
      <w:r>
        <w:rPr>
          <w:color w:val="000000"/>
          <w:spacing w:val="0"/>
          <w:w w:val="100"/>
          <w:position w:val="0"/>
        </w:rPr>
        <w:t>万元，则公司估值保持人民币</w:t>
      </w:r>
      <w:r>
        <w:rPr>
          <w:rFonts w:ascii="Times New Roman" w:eastAsia="Times New Roman" w:hAnsi="Times New Roman" w:cs="Times New Roman"/>
          <w:color w:val="000000"/>
          <w:spacing w:val="0"/>
          <w:w w:val="100"/>
          <w:position w:val="0"/>
        </w:rPr>
        <w:t>4,500</w:t>
      </w:r>
      <w:r>
        <w:rPr>
          <w:color w:val="000000"/>
          <w:spacing w:val="0"/>
          <w:w w:val="100"/>
          <w:position w:val="0"/>
        </w:rPr>
        <w:t>万元不 变。同力科技</w:t>
      </w:r>
      <w:r>
        <w:rPr>
          <w:rFonts w:ascii="Times New Roman" w:eastAsia="Times New Roman" w:hAnsi="Times New Roman" w:cs="Times New Roman"/>
          <w:color w:val="000000"/>
          <w:spacing w:val="0"/>
          <w:w w:val="100"/>
          <w:position w:val="0"/>
        </w:rPr>
        <w:t>2020</w:t>
      </w:r>
      <w:r>
        <w:rPr>
          <w:color w:val="000000"/>
          <w:spacing w:val="0"/>
          <w:w w:val="100"/>
          <w:position w:val="0"/>
        </w:rPr>
        <w:t>年实现净利润金额为</w:t>
      </w:r>
      <w:r>
        <w:rPr>
          <w:rFonts w:ascii="Times New Roman" w:eastAsia="Times New Roman" w:hAnsi="Times New Roman" w:cs="Times New Roman"/>
          <w:color w:val="000000"/>
          <w:spacing w:val="0"/>
          <w:w w:val="100"/>
          <w:position w:val="0"/>
        </w:rPr>
        <w:t>3,115,614.00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年实现净利润金额为</w:t>
      </w:r>
      <w:r>
        <w:rPr>
          <w:rFonts w:ascii="Times New Roman" w:eastAsia="Times New Roman" w:hAnsi="Times New Roman" w:cs="Times New Roman"/>
          <w:color w:val="000000"/>
          <w:spacing w:val="0"/>
          <w:w w:val="100"/>
          <w:position w:val="0"/>
        </w:rPr>
        <w:t>6,091,906.95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年两年累计 实现的归属于母公司的净利润（扣除非经常性损益前后孰低）为</w:t>
      </w:r>
      <w:r>
        <w:rPr>
          <w:rFonts w:ascii="Times New Roman" w:eastAsia="Times New Roman" w:hAnsi="Times New Roman" w:cs="Times New Roman"/>
          <w:color w:val="000000"/>
          <w:spacing w:val="0"/>
          <w:w w:val="100"/>
          <w:position w:val="0"/>
        </w:rPr>
        <w:t>8,928,950.44</w:t>
      </w:r>
      <w:r>
        <w:rPr>
          <w:color w:val="000000"/>
          <w:spacing w:val="0"/>
          <w:w w:val="100"/>
          <w:position w:val="0"/>
        </w:rPr>
        <w:t>元，未实现业绩承诺。同力科技自收购以来， 营业收入及净利润均有增长，毛利率较高，管理层基于目前的业务情况并考虑未来业绩增长，经过谨慎评估，商誉所在资产 组不存在减值。</w:t>
      </w:r>
    </w:p>
    <w:p>
      <w:pPr>
        <w:pStyle w:val="Style22"/>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注:全资子公司吉林省博思金财科技有限公司本期由母公司博思软件吸收合并，成为福建博思软件股份有限公司吉林分公司， 原为非同一控制下企业合并取得的子公司改为分公司的，母公司购买原子公司时产生的合并成本大于合并中取得的可辨认净 资产公允价值份额的差额，按照母公司合并该原子公司的合并财务报表中商誉的账面价值转入母公司。</w:t>
      </w:r>
    </w:p>
    <w:p>
      <w:pPr>
        <w:pStyle w:val="Style33"/>
        <w:keepNext/>
        <w:keepLines/>
        <w:widowControl w:val="0"/>
        <w:shd w:val="clear" w:color="auto" w:fill="auto"/>
        <w:bidi w:val="0"/>
        <w:spacing w:before="0" w:after="38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16"/>
      <w:bookmarkEnd w:id="1517"/>
      <w:bookmarkEnd w:id="1519"/>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3,477,698.09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5,753,873.02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2,090,907.13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7,140,663.98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2,274,052.91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2,265,541.60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198,094.61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513,751.82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571,505.41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5,949,845.61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6,267,624.84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2,238,648.32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2,265,541.60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7,713,280.53</w:t>
            </w:r>
          </w:p>
        </w:tc>
      </w:tr>
    </w:tbl>
    <w:p>
      <w:pPr>
        <w:widowControl w:val="0"/>
        <w:spacing w:after="5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0"/>
      <w:bookmarkEnd w:id="1521"/>
      <w:bookmarkEnd w:id="1523"/>
    </w:p>
    <w:p>
      <w:pPr>
        <w:pStyle w:val="Style33"/>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20"/>
      <w:bookmarkEnd w:id="1521"/>
      <w:bookmarkEnd w:id="15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123,069,694.71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19,226,644.56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101,756,896.12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15,824,238.60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11,849,847.12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1,777,477.07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27,340,273.14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4,101,040.97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27,848,277.45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4,177,241.62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89,303,035.87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13,602,898.64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128,794,697.84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20,324,100.34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328,035.65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11,149.95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251,890,886.49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38,757,266.59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258,474,204.41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40,336,730.51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26"/>
      <w:bookmarkEnd w:id="1527"/>
      <w:bookmarkEnd w:id="15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33,567,629.06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5,036,438.21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35,666,322.92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5,353,887.69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33,588,147.32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5,039,515.95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35,666,322.92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5,353,887.69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30"/>
      <w:bookmarkEnd w:id="1531"/>
      <w:bookmarkEnd w:id="15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38,757,266.59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40,336,730.51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5,039,515.95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5,353,887.69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34"/>
      <w:bookmarkEnd w:id="1535"/>
      <w:bookmarkEnd w:id="153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178,226,695.65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144,331,685.80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178,226,695.65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144,331,685.80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38"/>
      <w:bookmarkEnd w:id="1539"/>
      <w:bookmarkEnd w:id="154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4,295,918.50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6,190,686.91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6,191,116.91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4,056,738.36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6,125,931.43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603,149.87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14,177,370.81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年及以后年度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34,380,964.57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113,541,348.15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高新技术企业亏损可结转以 后年度弥补，年限延长至</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年及以后年度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132,995,155.94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高新技术企业亏损可结转以 后年度弥补，年限延长至</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178,226,695.65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144,331,685.80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42"/>
      <w:bookmarkEnd w:id="1543"/>
      <w:bookmarkEnd w:id="15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预付软件款及设计费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242,159.08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913,700.00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46"/>
      <w:bookmarkEnd w:id="1547"/>
      <w:bookmarkEnd w:id="1549"/>
    </w:p>
    <w:p>
      <w:pPr>
        <w:pStyle w:val="Style33"/>
        <w:keepNext/>
        <w:keepLines/>
        <w:widowControl w:val="0"/>
        <w:shd w:val="clear" w:color="auto" w:fill="auto"/>
        <w:bidi w:val="0"/>
        <w:spacing w:before="0" w:after="380" w:line="240" w:lineRule="auto"/>
        <w:ind w:left="0" w:right="0" w:firstLine="0"/>
        <w:jc w:val="both"/>
      </w:pPr>
      <w:bookmarkStart w:id="1546" w:name="bookmark1546"/>
      <w:bookmarkStart w:id="1547" w:name="bookmark1547"/>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46"/>
      <w:bookmarkEnd w:id="1547"/>
      <w:bookmarkEnd w:id="155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168,048,540.00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200,994.23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42,023,527.78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3"/>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52"/>
      <w:bookmarkEnd w:id="1553"/>
      <w:bookmarkEnd w:id="1555"/>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56"/>
      <w:bookmarkEnd w:id="1557"/>
      <w:bookmarkEnd w:id="155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60"/>
      <w:bookmarkEnd w:id="1561"/>
      <w:bookmarkEnd w:id="156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64"/>
      <w:bookmarkEnd w:id="1565"/>
      <w:bookmarkEnd w:id="156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68"/>
      <w:bookmarkEnd w:id="1569"/>
      <w:bookmarkEnd w:id="1571"/>
    </w:p>
    <w:p>
      <w:pPr>
        <w:pStyle w:val="Style3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8"/>
      <w:bookmarkEnd w:id="1569"/>
      <w:bookmarkEnd w:id="157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供应商采购款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188,500,065.98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145,703,069.69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1,075,955.04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211,460.99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20,578,560.32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210,154,581.34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145,923,506.68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74"/>
      <w:bookmarkEnd w:id="1575"/>
      <w:bookmarkEnd w:id="157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78"/>
      <w:bookmarkEnd w:id="1579"/>
      <w:bookmarkEnd w:id="1581"/>
    </w:p>
    <w:p>
      <w:pPr>
        <w:pStyle w:val="Style33"/>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78"/>
      <w:bookmarkEnd w:id="1579"/>
      <w:bookmarkEnd w:id="158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84"/>
      <w:bookmarkEnd w:id="1585"/>
      <w:bookmarkEnd w:id="1587"/>
    </w:p>
    <w:p>
      <w:pPr>
        <w:pStyle w:val="Style22"/>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88"/>
      <w:bookmarkEnd w:id="1589"/>
      <w:bookmarkEnd w:id="159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预收销售商品款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8,959,364.68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137,547.17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113,379,514.60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79,256,056.60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122,338,879.28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79,393,603.77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92"/>
      <w:bookmarkEnd w:id="1593"/>
      <w:bookmarkEnd w:id="1595"/>
    </w:p>
    <w:p>
      <w:pPr>
        <w:pStyle w:val="Style33"/>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92"/>
      <w:bookmarkEnd w:id="1593"/>
      <w:bookmarkEnd w:id="15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117,581,608.21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708,797,295.82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663,247,460.48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163,131,443.55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1,119,451.54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36,127,959.15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35,618,374.34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1,629,036.35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217,049.75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217,049.75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118,701,059.75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745,142,304.72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699,082,884.57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164,760,479.90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98"/>
      <w:bookmarkEnd w:id="1599"/>
      <w:bookmarkEnd w:id="16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114,239,636.40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629,882,007.04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584,982,600.21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159,139,043.23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20,998,532.52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20,535,734.46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549,012.23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958,511.47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20,792,691.42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20,743,178.48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1,008,024.41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947,585.76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19,471,074.73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19,448,165.10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970,495.39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517,752.19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504,776.28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803,864.50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790,237.10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20,783.42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1,159,724.93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32,082,445.91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32,421,619.15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820,551.69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1,137,521.24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5,041,618.93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4,564,328.18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1,614,811.99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117,581,608.21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708,797,295.82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663,247,460.48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163,131,443.55</w:t>
            </w:r>
          </w:p>
        </w:tc>
      </w:tr>
    </w:tbl>
    <w:p>
      <w:pPr>
        <w:widowControl w:val="0"/>
        <w:spacing w:after="359" w:line="1" w:lineRule="exact"/>
      </w:pPr>
    </w:p>
    <w:p>
      <w:pPr>
        <w:pStyle w:val="Style33"/>
        <w:keepNext/>
        <w:keepLines/>
        <w:widowControl w:val="0"/>
        <w:numPr>
          <w:ilvl w:val="0"/>
          <w:numId w:val="89"/>
        </w:numPr>
        <w:shd w:val="clear" w:color="auto" w:fill="auto"/>
        <w:bidi w:val="0"/>
        <w:spacing w:before="0" w:line="240" w:lineRule="auto"/>
        <w:ind w:left="0" w:right="0" w:firstLine="0"/>
        <w:jc w:val="both"/>
      </w:pPr>
      <w:bookmarkStart w:id="1602" w:name="bookmark1602"/>
      <w:bookmarkStart w:id="1603" w:name="bookmark1603"/>
      <w:bookmarkStart w:id="1604" w:name="bookmark1604"/>
      <w:bookmarkStart w:id="1605" w:name="bookmark1605"/>
      <w:bookmarkEnd w:id="1604"/>
      <w:r>
        <w:rPr>
          <w:color w:val="000000"/>
          <w:spacing w:val="0"/>
          <w:w w:val="100"/>
          <w:position w:val="0"/>
        </w:rPr>
        <w:t>设定提存计划列示</w:t>
      </w:r>
      <w:bookmarkEnd w:id="1602"/>
      <w:bookmarkEnd w:id="1603"/>
      <w:bookmarkEnd w:id="16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1,084,388.59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34,960,956.70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34,485,980.64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1,559,364.65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1,167,002.45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1,132,393.70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69,671.70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1,119,451.54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36,127,959.15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35,618,374.34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1,629,036.35</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4</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06"/>
      <w:bookmarkEnd w:id="1607"/>
      <w:bookmarkEnd w:id="160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37,060,607.93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26,139,443.86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18,501,645.14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7,154,966.31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1,972,049.33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1,431,071.28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2,127,592.31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1,483,159.39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1,038,934.39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431,695.60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1,750,442.18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1,277,209.40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1,998,295.31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1,075,221.58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64,449,566.59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38,992,767.42</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10"/>
      <w:bookmarkEnd w:id="1611"/>
      <w:bookmarkEnd w:id="161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6,925,851.19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7,153,254.24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6,925,851.19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7,153,254.24</w:t>
            </w:r>
          </w:p>
        </w:tc>
      </w:tr>
    </w:tbl>
    <w:p>
      <w:pPr>
        <w:widowControl w:val="0"/>
        <w:spacing w:after="359" w:line="1" w:lineRule="exact"/>
      </w:pPr>
    </w:p>
    <w:p>
      <w:pPr>
        <w:pStyle w:val="Style33"/>
        <w:keepNext/>
        <w:keepLines/>
        <w:widowControl w:val="0"/>
        <w:numPr>
          <w:ilvl w:val="0"/>
          <w:numId w:val="91"/>
        </w:numPr>
        <w:shd w:val="clear" w:color="auto" w:fill="auto"/>
        <w:bidi w:val="0"/>
        <w:spacing w:before="0" w:line="240" w:lineRule="auto"/>
        <w:ind w:left="0" w:right="0" w:firstLine="0"/>
        <w:jc w:val="both"/>
      </w:pPr>
      <w:bookmarkStart w:id="1614" w:name="bookmark1614"/>
      <w:bookmarkStart w:id="1615" w:name="bookmark1615"/>
      <w:bookmarkStart w:id="1616" w:name="bookmark1616"/>
      <w:bookmarkStart w:id="1617" w:name="bookmark1617"/>
      <w:bookmarkEnd w:id="1616"/>
      <w:r>
        <w:rPr>
          <w:color w:val="000000"/>
          <w:spacing w:val="0"/>
          <w:w w:val="100"/>
          <w:position w:val="0"/>
        </w:rPr>
        <w:t>应付利息</w:t>
      </w:r>
      <w:bookmarkEnd w:id="1614"/>
      <w:bookmarkEnd w:id="1615"/>
      <w:bookmarkEnd w:id="161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18"/>
      <w:bookmarkEnd w:id="1619"/>
      <w:bookmarkEnd w:id="162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22"/>
      <w:bookmarkEnd w:id="1623"/>
      <w:bookmarkEnd w:id="1625"/>
    </w:p>
    <w:p>
      <w:pPr>
        <w:pStyle w:val="Style33"/>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6" w:name="bookmark1626"/>
      <w:bookmarkStart w:id="1627" w:name="bookmark1627"/>
      <w:r>
        <w:rPr>
          <w:rFonts w:ascii="Times New Roman" w:eastAsia="Times New Roman" w:hAnsi="Times New Roman" w:cs="Times New Roman"/>
          <w:color w:val="000000"/>
          <w:spacing w:val="0"/>
          <w:w w:val="100"/>
          <w:position w:val="0"/>
        </w:rPr>
        <w:t>1</w:t>
      </w:r>
      <w:bookmarkEnd w:id="1626"/>
      <w:r>
        <w:rPr>
          <w:color w:val="000000"/>
          <w:spacing w:val="0"/>
          <w:w w:val="100"/>
          <w:position w:val="0"/>
        </w:rPr>
        <w:t>）按款项性质列示其他应付款</w:t>
      </w:r>
      <w:bookmarkEnd w:id="1622"/>
      <w:bookmarkEnd w:id="1623"/>
      <w:bookmarkEnd w:id="162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1,386,621.50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1,585,532.70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4,476,244.27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4,457,294.04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1,062,985.42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1,110,427.50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6,925,851.19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7,153,254.24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bookmarkEnd w:id="163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28"/>
      <w:bookmarkEnd w:id="1629"/>
      <w:bookmarkEnd w:id="163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32"/>
      <w:bookmarkEnd w:id="1633"/>
      <w:bookmarkEnd w:id="163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36"/>
      <w:bookmarkEnd w:id="1637"/>
      <w:bookmarkEnd w:id="163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6,009,166.67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21,034,213.67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2,376,958.93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16,122,335.84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14,639,570.72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24,508,461.44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35,673,784.39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40"/>
      <w:bookmarkEnd w:id="1641"/>
      <w:bookmarkEnd w:id="164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1,990,227.59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1,727,688.86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22,950.88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2,013,178.47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1,727,688.86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44"/>
      <w:bookmarkEnd w:id="1645"/>
      <w:bookmarkEnd w:id="1647"/>
    </w:p>
    <w:p>
      <w:pPr>
        <w:pStyle w:val="Style33"/>
        <w:keepNext/>
        <w:keepLines/>
        <w:widowControl w:val="0"/>
        <w:shd w:val="clear" w:color="auto" w:fill="auto"/>
        <w:bidi w:val="0"/>
        <w:spacing w:before="0" w:after="380" w:line="240" w:lineRule="auto"/>
        <w:ind w:left="0" w:right="0" w:firstLine="0"/>
        <w:jc w:val="both"/>
      </w:pPr>
      <w:bookmarkStart w:id="1644" w:name="bookmark1644"/>
      <w:bookmarkStart w:id="1645" w:name="bookmark1645"/>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44"/>
      <w:bookmarkEnd w:id="1645"/>
      <w:bookmarkEnd w:id="164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49,520,000.00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80,626.35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-21,034,213.67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28,566,412.68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质押借款相关的质押物说明详见注释</w:t>
      </w:r>
      <w:r>
        <w:rPr>
          <w:rFonts w:ascii="Times New Roman" w:eastAsia="Times New Roman" w:hAnsi="Times New Roman" w:cs="Times New Roman"/>
          <w:color w:val="000000"/>
          <w:spacing w:val="0"/>
          <w:w w:val="100"/>
          <w:position w:val="0"/>
        </w:rPr>
        <w:t>81</w:t>
      </w:r>
      <w:r>
        <w:rPr>
          <w:color w:val="000000"/>
          <w:spacing w:val="0"/>
          <w:w w:val="100"/>
          <w:position w:val="0"/>
        </w:rPr>
        <w:t>。</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0"/>
      <w:bookmarkEnd w:id="1651"/>
      <w:bookmarkEnd w:id="1653"/>
    </w:p>
    <w:p>
      <w:pPr>
        <w:pStyle w:val="Style33"/>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50"/>
      <w:bookmarkEnd w:id="1651"/>
      <w:bookmarkEnd w:id="16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56"/>
      <w:bookmarkEnd w:id="1657"/>
      <w:bookmarkEnd w:id="16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60"/>
      <w:bookmarkEnd w:id="1661"/>
      <w:bookmarkEnd w:id="1663"/>
    </w:p>
    <w:p>
      <w:pPr>
        <w:pStyle w:val="Style33"/>
        <w:keepNext/>
        <w:keepLines/>
        <w:widowControl w:val="0"/>
        <w:shd w:val="clear" w:color="auto" w:fill="auto"/>
        <w:tabs>
          <w:tab w:pos="493" w:val="left"/>
        </w:tabs>
        <w:bidi w:val="0"/>
        <w:spacing w:before="0" w:line="240" w:lineRule="auto"/>
        <w:ind w:left="0" w:right="0" w:firstLine="0"/>
        <w:jc w:val="left"/>
      </w:pPr>
      <w:bookmarkStart w:id="1660" w:name="bookmark1660"/>
      <w:bookmarkStart w:id="1661" w:name="bookmark1661"/>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60"/>
      <w:bookmarkEnd w:id="1661"/>
      <w:bookmarkEnd w:id="166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66"/>
      <w:bookmarkEnd w:id="1667"/>
      <w:bookmarkEnd w:id="166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19,233,614.04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15,491,676.20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7,163,191.61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7,914,697.49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2,783,472.50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2,964,596.65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2,278,530.15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1,883,108.57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-1,385,550.58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-1,467,847.41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-16,122,335.84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-14,639,570.72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13,950,921.88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12,146,660.78</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0" w:line="240" w:lineRule="auto"/>
        <w:ind w:left="0" w:right="0"/>
        <w:jc w:val="left"/>
      </w:pPr>
      <w:r>
        <w:rPr>
          <w:color w:val="000000"/>
          <w:spacing w:val="0"/>
          <w:w w:val="100"/>
          <w:position w:val="0"/>
        </w:rPr>
        <w:t>本期确认租赁负债利息费用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,287,385.65</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70"/>
      <w:bookmarkEnd w:id="1671"/>
      <w:bookmarkEnd w:id="1673"/>
    </w:p>
    <w:p>
      <w:pPr>
        <w:pStyle w:val="Style22"/>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5,037,003.33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5,037,003.33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74"/>
      <w:bookmarkEnd w:id="1675"/>
      <w:bookmarkEnd w:id="167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7,413,962.26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-2,376,958.93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5,037,003.33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78"/>
      <w:bookmarkEnd w:id="1679"/>
      <w:bookmarkEnd w:id="168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82"/>
      <w:bookmarkEnd w:id="1683"/>
      <w:bookmarkEnd w:id="1685"/>
    </w:p>
    <w:p>
      <w:pPr>
        <w:pStyle w:val="Style33"/>
        <w:keepNext/>
        <w:keepLines/>
        <w:widowControl w:val="0"/>
        <w:shd w:val="clear" w:color="auto" w:fill="auto"/>
        <w:bidi w:val="0"/>
        <w:spacing w:before="0" w:line="240" w:lineRule="auto"/>
        <w:ind w:left="0" w:right="0" w:firstLine="0"/>
        <w:jc w:val="both"/>
      </w:pPr>
      <w:bookmarkStart w:id="1682" w:name="bookmark1682"/>
      <w:bookmarkStart w:id="1683" w:name="bookmark1683"/>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82"/>
      <w:bookmarkEnd w:id="1683"/>
      <w:bookmarkEnd w:id="16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87"/>
      <w:bookmarkEnd w:id="1688"/>
      <w:bookmarkEnd w:id="169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设定受益计划重大精算假设及敏感性分析结果说明：</w:t>
      </w:r>
      <w:r>
        <w:br w:type="page"/>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91"/>
      <w:bookmarkEnd w:id="1692"/>
      <w:bookmarkEnd w:id="169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95"/>
      <w:bookmarkEnd w:id="1696"/>
      <w:bookmarkEnd w:id="16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409,379.26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1,890,620.74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409,379.26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1,890,620.74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本期新增补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六维</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Maker”</w:t>
            </w:r>
            <w:r>
              <w:rPr>
                <w:color w:val="000000"/>
                <w:spacing w:val="0"/>
                <w:w w:val="100"/>
                <w:position w:val="0"/>
              </w:rPr>
              <w:t>协同 创新孵化服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346,897.16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753,102.84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特色载体项 目公共服务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1,137,517.90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1,890,620.74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99"/>
      <w:bookmarkEnd w:id="1700"/>
      <w:bookmarkEnd w:id="170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03"/>
      <w:bookmarkEnd w:id="1704"/>
      <w:bookmarkEnd w:id="170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205"/>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280,685,134.00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112,950,154.00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6,106,078.00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119,056,232.00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399,741,366.00</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股本变动情况说明：见注释</w:t>
      </w:r>
      <w:r>
        <w:rPr>
          <w:rFonts w:ascii="Times New Roman" w:eastAsia="Times New Roman" w:hAnsi="Times New Roman" w:cs="Times New Roman"/>
          <w:color w:val="000000"/>
          <w:spacing w:val="0"/>
          <w:w w:val="100"/>
          <w:position w:val="0"/>
        </w:rPr>
        <w:t>55 .</w:t>
      </w:r>
      <w:r>
        <w:rPr>
          <w:color w:val="000000"/>
          <w:spacing w:val="0"/>
          <w:w w:val="100"/>
          <w:position w:val="0"/>
        </w:rPr>
        <w:t>资本公积的说明。</w:t>
      </w:r>
    </w:p>
    <w:p>
      <w:pPr>
        <w:pStyle w:val="Style33"/>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07"/>
      <w:bookmarkEnd w:id="1708"/>
      <w:bookmarkEnd w:id="1710"/>
    </w:p>
    <w:p>
      <w:pPr>
        <w:pStyle w:val="Style33"/>
        <w:keepNext/>
        <w:keepLines/>
        <w:widowControl w:val="0"/>
        <w:shd w:val="clear" w:color="auto" w:fill="auto"/>
        <w:tabs>
          <w:tab w:pos="493" w:val="left"/>
        </w:tabs>
        <w:bidi w:val="0"/>
        <w:spacing w:before="0" w:after="380" w:line="240" w:lineRule="auto"/>
        <w:ind w:left="0" w:right="0" w:firstLine="0"/>
        <w:jc w:val="left"/>
      </w:pPr>
      <w:bookmarkStart w:id="1707" w:name="bookmark1707"/>
      <w:bookmarkStart w:id="1708" w:name="bookmark1708"/>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07"/>
      <w:bookmarkEnd w:id="1708"/>
      <w:bookmarkEnd w:id="1712"/>
    </w:p>
    <w:p>
      <w:pPr>
        <w:pStyle w:val="Style33"/>
        <w:keepNext/>
        <w:keepLines/>
        <w:widowControl w:val="0"/>
        <w:shd w:val="clear" w:color="auto" w:fill="auto"/>
        <w:tabs>
          <w:tab w:pos="493" w:val="left"/>
        </w:tabs>
        <w:bidi w:val="0"/>
        <w:spacing w:before="0" w:after="380" w:line="240" w:lineRule="auto"/>
        <w:ind w:left="0" w:right="0" w:firstLine="0"/>
        <w:jc w:val="left"/>
      </w:pPr>
      <w:bookmarkStart w:id="1707" w:name="bookmark1707"/>
      <w:bookmarkStart w:id="1708" w:name="bookmark1708"/>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7"/>
      <w:bookmarkEnd w:id="1708"/>
      <w:bookmarkEnd w:id="171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33"/>
        <w:keepNext/>
        <w:keepLines/>
        <w:widowControl w:val="0"/>
        <w:shd w:val="clear" w:color="auto" w:fill="auto"/>
        <w:bidi w:val="0"/>
        <w:spacing w:before="0" w:after="38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15"/>
      <w:bookmarkEnd w:id="1716"/>
      <w:bookmarkEnd w:id="17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539,959,632.29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59,328,317.03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113,128,437.11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486,159,512.21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64,686,582.67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42,456,317.08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823,444.10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106,319,455.65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604,646,214.96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101,784,634.11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113,951,881.21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592,478,967.86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tabs>
          <w:tab w:pos="897"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年股票期权激励计划第三个行权期行权条件在本期已成就，第二个行权期尚未行权的员工选择在本期行权，</w:t>
      </w:r>
    </w:p>
    <w:p>
      <w:pPr>
        <w:pStyle w:val="Style24"/>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股票期权行权共增加</w:t>
      </w:r>
      <w:r>
        <w:rPr>
          <w:rFonts w:ascii="Times New Roman" w:eastAsia="Times New Roman" w:hAnsi="Times New Roman" w:cs="Times New Roman"/>
          <w:color w:val="000000"/>
          <w:spacing w:val="0"/>
          <w:w w:val="100"/>
          <w:position w:val="0"/>
        </w:rPr>
        <w:t>6,126,085.00</w:t>
      </w:r>
      <w:r>
        <w:rPr>
          <w:color w:val="000000"/>
          <w:spacing w:val="0"/>
          <w:w w:val="100"/>
          <w:position w:val="0"/>
        </w:rPr>
        <w:t>股，增加股本</w:t>
      </w:r>
      <w:r>
        <w:rPr>
          <w:rFonts w:ascii="Times New Roman" w:eastAsia="Times New Roman" w:hAnsi="Times New Roman" w:cs="Times New Roman"/>
          <w:color w:val="000000"/>
          <w:spacing w:val="0"/>
          <w:w w:val="100"/>
          <w:position w:val="0"/>
        </w:rPr>
        <w:t>6,126,085.00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45,121,506.75</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：公司本期根据《企业会计准则第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color w:val="000000"/>
          <w:spacing w:val="0"/>
          <w:w w:val="100"/>
          <w:position w:val="0"/>
        </w:rPr>
        <w:t>一</w:t>
      </w:r>
      <w:r>
        <w:rPr>
          <w:color w:val="000000"/>
          <w:spacing w:val="0"/>
          <w:w w:val="100"/>
          <w:position w:val="0"/>
        </w:rPr>
        <w:t>股份支付》的相关规定确认与限制性股票以及期权激励计划相关的股份支 付费用，并增加资本公积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其他资本公积。账面确认的股份支付费用与税法规定的税前可抵扣金额存在差异，超过部分增加 递延所得税资产，同时增加资本公积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其他资本公积。上述事项共影响资本公积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42,456,317.08</w:t>
      </w:r>
      <w:r>
        <w:rPr>
          <w:color w:val="000000"/>
          <w:spacing w:val="0"/>
          <w:w w:val="100"/>
          <w:position w:val="0"/>
        </w:rPr>
        <w:t>元。</w:t>
      </w:r>
    </w:p>
    <w:p>
      <w:pPr>
        <w:pStyle w:val="Style22"/>
        <w:keepNext w:val="0"/>
        <w:keepLines w:val="0"/>
        <w:widowControl w:val="0"/>
        <w:shd w:val="clear" w:color="auto" w:fill="auto"/>
        <w:tabs>
          <w:tab w:pos="897"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color w:val="000000"/>
          <w:spacing w:val="0"/>
          <w:w w:val="100"/>
          <w:position w:val="0"/>
        </w:rPr>
        <w:t>，</w:t>
      </w:r>
      <w:r>
        <w:rPr>
          <w:color w:val="000000"/>
          <w:spacing w:val="0"/>
          <w:w w:val="100"/>
          <w:position w:val="0"/>
        </w:rPr>
        <w:t>公司通过的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w:t>
      </w:r>
      <w:r>
        <w:rPr>
          <w:color w:val="000000"/>
          <w:spacing w:val="0"/>
          <w:w w:val="100"/>
          <w:position w:val="0"/>
        </w:rPr>
        <w:t>，</w:t>
      </w:r>
      <w:r>
        <w:rPr>
          <w:color w:val="000000"/>
          <w:spacing w:val="0"/>
          <w:w w:val="100"/>
          <w:position w:val="0"/>
        </w:rPr>
        <w:t>本期公司将资本公积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112,950,154.00</w:t>
      </w:r>
      <w:r>
        <w:rPr>
          <w:color w:val="000000"/>
          <w:spacing w:val="0"/>
          <w:w w:val="100"/>
          <w:position w:val="0"/>
        </w:rPr>
        <w:t>元转增股本。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：公司本期回购注销限制性股票，减少股本</w:t>
      </w:r>
      <w:r>
        <w:rPr>
          <w:rFonts w:ascii="Times New Roman" w:eastAsia="Times New Roman" w:hAnsi="Times New Roman" w:cs="Times New Roman"/>
          <w:color w:val="000000"/>
          <w:spacing w:val="0"/>
          <w:w w:val="100"/>
          <w:position w:val="0"/>
        </w:rPr>
        <w:t>20,007.00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178,283.11</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：本期公司联营企业泉州市搏浪科技集团有限公司其他股东增资，导致博思软件持有股权被动稀释。其他股东增资 导致股权稀释，属于被投资单位其他权益变动，减少资本公积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823,444.10</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：公司全资子公司广东瑞联本期处置所持有的子公司恒效咨询</w:t>
      </w:r>
      <w:r>
        <w:rPr>
          <w:rFonts w:ascii="Times New Roman" w:eastAsia="Times New Roman" w:hAnsi="Times New Roman" w:cs="Times New Roman"/>
          <w:color w:val="000000"/>
          <w:spacing w:val="0"/>
          <w:w w:val="100"/>
          <w:position w:val="0"/>
        </w:rPr>
        <w:t>40%</w:t>
      </w:r>
      <w:r>
        <w:rPr>
          <w:color w:val="000000"/>
          <w:spacing w:val="0"/>
          <w:w w:val="100"/>
          <w:position w:val="0"/>
        </w:rPr>
        <w:t>股权，处置后仍持有恒效咨询</w:t>
      </w:r>
      <w:r>
        <w:rPr>
          <w:rFonts w:ascii="Times New Roman" w:eastAsia="Times New Roman" w:hAnsi="Times New Roman" w:cs="Times New Roman"/>
          <w:color w:val="000000"/>
          <w:spacing w:val="0"/>
          <w:w w:val="100"/>
          <w:position w:val="0"/>
        </w:rPr>
        <w:t>60%</w:t>
      </w:r>
      <w:r>
        <w:rPr>
          <w:color w:val="000000"/>
          <w:spacing w:val="0"/>
          <w:w w:val="100"/>
          <w:position w:val="0"/>
        </w:rPr>
        <w:t>股权，仍对恒 效咨询具有控制权。在不丧失控制权的情况下部分处置对子公司的长期股权投资，在合并财务报表中，处置价款与处置长期 股权投资相对应享有子公司自购买日开始持续计算的净资产份额之间的差额，调整资本公积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股本溢价，该事项共影响资本 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,703,668.98</w:t>
      </w:r>
      <w:r>
        <w:rPr>
          <w:color w:val="000000"/>
          <w:spacing w:val="0"/>
          <w:w w:val="100"/>
          <w:position w:val="0"/>
        </w:rPr>
        <w:t>元。</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：公司控股子公司数采科技原持有福建中控普惠信息科技有限公司</w:t>
      </w:r>
      <w:r>
        <w:rPr>
          <w:rFonts w:ascii="Times New Roman" w:eastAsia="Times New Roman" w:hAnsi="Times New Roman" w:cs="Times New Roman"/>
          <w:color w:val="000000"/>
          <w:spacing w:val="0"/>
          <w:w w:val="100"/>
          <w:position w:val="0"/>
        </w:rPr>
        <w:t>30%</w:t>
      </w:r>
      <w:r>
        <w:rPr>
          <w:color w:val="000000"/>
          <w:spacing w:val="0"/>
          <w:w w:val="100"/>
          <w:position w:val="0"/>
        </w:rPr>
        <w:t>股权，本期以其持有的控股子公司北京博思 赋能科技有限公司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股权向福建中控增资，增资完成后福建中控纳入数采科技合并范围。新增投资成本与按照新增持股比 例计算应享有子公司自购买日开始持续计算的可辨认净资产份额之间的差额，计入资本公积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股本溢价。上述事项共影响资</w:t>
        <w:br w:type="page"/>
      </w:r>
      <w:r>
        <w:rPr>
          <w:rStyle w:val="CharStyle25"/>
        </w:rPr>
        <w:t>本公积</w:t>
      </w:r>
      <w:r>
        <w:rPr>
          <w:rStyle w:val="CharStyle25"/>
          <w:rFonts w:ascii="Times New Roman" w:eastAsia="Times New Roman" w:hAnsi="Times New Roman" w:cs="Times New Roman"/>
        </w:rPr>
        <w:t>-</w:t>
      </w:r>
      <w:r>
        <w:rPr>
          <w:rStyle w:val="CharStyle25"/>
        </w:rPr>
        <w:t>股本溢价</w:t>
      </w:r>
      <w:r>
        <w:rPr>
          <w:rStyle w:val="CharStyle25"/>
          <w:rFonts w:ascii="Times New Roman" w:eastAsia="Times New Roman" w:hAnsi="Times New Roman" w:cs="Times New Roman"/>
        </w:rPr>
        <w:t>6,503,141.30</w:t>
      </w:r>
      <w:r>
        <w:rPr>
          <w:rStyle w:val="CharStyle25"/>
        </w:rPr>
        <w:t>元。</w:t>
      </w:r>
    </w:p>
    <w:p>
      <w:pPr>
        <w:pStyle w:val="Style33"/>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19"/>
      <w:bookmarkEnd w:id="1720"/>
      <w:bookmarkEnd w:id="17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185,038.74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79,905,849.29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79,905,849.29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185,038.74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79,905,849.29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79,905,849.29</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8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：本期回购注销限制性股票减少库存股</w:t>
      </w:r>
      <w:r>
        <w:rPr>
          <w:rFonts w:ascii="Times New Roman" w:eastAsia="Times New Roman" w:hAnsi="Times New Roman" w:cs="Times New Roman"/>
          <w:color w:val="000000"/>
          <w:spacing w:val="0"/>
          <w:w w:val="100"/>
          <w:position w:val="0"/>
        </w:rPr>
        <w:t>185,038.74</w:t>
      </w:r>
      <w:r>
        <w:rPr>
          <w:color w:val="000000"/>
          <w:spacing w:val="0"/>
          <w:w w:val="100"/>
          <w:position w:val="0"/>
        </w:rPr>
        <w:t>元。</w:t>
      </w: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：本期回购股份增加库存股</w:t>
      </w:r>
      <w:r>
        <w:rPr>
          <w:rFonts w:ascii="Times New Roman" w:eastAsia="Times New Roman" w:hAnsi="Times New Roman" w:cs="Times New Roman"/>
          <w:color w:val="000000"/>
          <w:spacing w:val="0"/>
          <w:w w:val="100"/>
          <w:position w:val="0"/>
        </w:rPr>
        <w:t>79,905,849.29</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5</w:t>
      </w:r>
      <w:bookmarkEnd w:id="172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23"/>
      <w:bookmarkEnd w:id="1724"/>
      <w:bookmarkEnd w:id="172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-253,702.6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-215,647.2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-278,830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-253,702.6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-215,647.2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-278,830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-253,702.6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-215,647.2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-278,830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w:t>
      </w:r>
      <w:bookmarkEnd w:id="172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27"/>
      <w:bookmarkEnd w:id="1728"/>
      <w:bookmarkEnd w:id="17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31"/>
      <w:bookmarkEnd w:id="1732"/>
      <w:bookmarkEnd w:id="173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41,830,681.02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26,765,089.15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68,595,770.17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41,830,681.02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26,765,089.15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68,595,770.17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6</w:t>
      </w:r>
      <w:bookmarkEnd w:id="173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35"/>
      <w:bookmarkEnd w:id="1736"/>
      <w:bookmarkEnd w:id="173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456,027,274.91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331,519,752.40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456,027,274.91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330,532,143.48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229,094,690.89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161,771,701.18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26,765,089.15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12,727,195.66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33,885,046.20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23,549,374.09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624,471,830.45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456,027,274.91</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00" w:line="240" w:lineRule="auto"/>
        <w:ind w:left="0" w:right="0" w:firstLine="0"/>
        <w:jc w:val="left"/>
      </w:pPr>
      <w:bookmarkStart w:id="1739" w:name="bookmark1739"/>
      <w:r>
        <w:rPr>
          <w:rFonts w:ascii="Times New Roman" w:eastAsia="Times New Roman" w:hAnsi="Times New Roman" w:cs="Times New Roman"/>
          <w:color w:val="000000"/>
          <w:spacing w:val="0"/>
          <w:w w:val="100"/>
          <w:position w:val="0"/>
        </w:rPr>
        <w:t>1</w:t>
      </w:r>
      <w:bookmarkEnd w:id="173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00" w:line="240" w:lineRule="auto"/>
        <w:ind w:left="0" w:right="0" w:firstLine="0"/>
        <w:jc w:val="left"/>
      </w:pPr>
      <w:bookmarkStart w:id="1740" w:name="bookmark1740"/>
      <w:r>
        <w:rPr>
          <w:rFonts w:ascii="Times New Roman" w:eastAsia="Times New Roman" w:hAnsi="Times New Roman" w:cs="Times New Roman"/>
          <w:color w:val="000000"/>
          <w:spacing w:val="0"/>
          <w:w w:val="100"/>
          <w:position w:val="0"/>
        </w:rPr>
        <w:t>2</w:t>
      </w:r>
      <w:bookmarkEnd w:id="174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00" w:line="240" w:lineRule="auto"/>
        <w:ind w:left="0" w:right="0" w:firstLine="0"/>
        <w:jc w:val="left"/>
      </w:pPr>
      <w:bookmarkStart w:id="1741" w:name="bookmark1741"/>
      <w:r>
        <w:rPr>
          <w:rFonts w:ascii="Times New Roman" w:eastAsia="Times New Roman" w:hAnsi="Times New Roman" w:cs="Times New Roman"/>
          <w:color w:val="000000"/>
          <w:spacing w:val="0"/>
          <w:w w:val="100"/>
          <w:position w:val="0"/>
        </w:rPr>
        <w:t>3</w:t>
      </w:r>
      <w:bookmarkEnd w:id="174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00" w:line="240" w:lineRule="auto"/>
        <w:ind w:left="0" w:right="0" w:firstLine="0"/>
        <w:jc w:val="left"/>
      </w:pPr>
      <w:bookmarkStart w:id="1742" w:name="bookmark1742"/>
      <w:r>
        <w:rPr>
          <w:rFonts w:ascii="Times New Roman" w:eastAsia="Times New Roman" w:hAnsi="Times New Roman" w:cs="Times New Roman"/>
          <w:color w:val="000000"/>
          <w:spacing w:val="0"/>
          <w:w w:val="100"/>
          <w:position w:val="0"/>
        </w:rPr>
        <w:t>4</w:t>
      </w:r>
      <w:bookmarkEnd w:id="174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380" w:line="240" w:lineRule="auto"/>
        <w:ind w:left="0" w:right="0" w:firstLine="0"/>
        <w:jc w:val="left"/>
      </w:pPr>
      <w:bookmarkStart w:id="1743" w:name="bookmark1743"/>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44"/>
      <w:bookmarkEnd w:id="1745"/>
      <w:bookmarkEnd w:id="17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1,561,489,791.85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543,896,828.10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1,134,020,208.12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413,421,676.64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2,613,953.16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2,332,199.08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2,295,260.16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733,049.23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1,564,103,745.01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546,229,027.18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1,136,315,468.28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414,154,725.87</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1,561,489,791.85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1,561,489,791.85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482,670,225.23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482,670,225.23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375,873,532.90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375,873,532.90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189,381,798.93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189,381,798.93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250,921,215.53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250,921,215.53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86,216,118.94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86,216,118.94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176,426,900.32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176,426,900.32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1,209,239,171.34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1,209,239,171.34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352,250,620.51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352,250,620.51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1,561,489,791.85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1,561,489,791.85</w:t>
            </w:r>
          </w:p>
        </w:tc>
      </w:tr>
    </w:tbl>
    <w:p>
      <w:pPr>
        <w:pStyle w:val="Style22"/>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380" w:line="338"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22,414,256.10</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16,589,165.42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2,139,069.81</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3,686,020.86</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 其他说明</w:t>
      </w:r>
    </w:p>
    <w:p>
      <w:pPr>
        <w:pStyle w:val="Style33"/>
        <w:keepNext/>
        <w:keepLines/>
        <w:widowControl w:val="0"/>
        <w:shd w:val="clear" w:color="auto" w:fill="auto"/>
        <w:bidi w:val="0"/>
        <w:spacing w:before="0" w:after="26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48"/>
      <w:bookmarkEnd w:id="1749"/>
      <w:bookmarkEnd w:id="1751"/>
    </w:p>
    <w:p>
      <w:pPr>
        <w:pStyle w:val="Style22"/>
        <w:keepNext w:val="0"/>
        <w:keepLines w:val="0"/>
        <w:widowControl w:val="0"/>
        <w:shd w:val="clear" w:color="auto" w:fill="auto"/>
        <w:bidi w:val="0"/>
        <w:spacing w:before="0" w:after="140" w:line="338"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5,290,590.64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3,874,398.05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4,419,383.43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3,289,031.04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1,512,621.43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1,507,978.20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108,922.95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60,562.87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1,164,476.62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887,252.85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1,916,070.52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12,504,135.12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11,535,293.53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52"/>
      <w:bookmarkEnd w:id="1753"/>
      <w:bookmarkEnd w:id="17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161,734,686.87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104,402,302.62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27,753,715.05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20,037,456.41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24,288,327.70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18,563,341.16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11,770,933.43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10,742,356.00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5,638,000.01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9,693,470.87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10,011,365.99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2,273,097.80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1,864,071.30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932,919.95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9,982,269.23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6,614,055.33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253,043,369.58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173,259,000.14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56"/>
      <w:bookmarkEnd w:id="1757"/>
      <w:bookmarkEnd w:id="175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134,047,706.77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82,711,193.23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12,278,803.98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17,644,578.58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22,438,981.35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15,638,081.74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13,285,429.44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12,448,291.20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23,257,236.23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12,054,691.78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9,495,790.58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8,453,980.19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12,572,939.92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7,235,705.43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10,958,536.05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5,451,532.96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238,335,424.32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161,638,055.11</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60"/>
      <w:bookmarkEnd w:id="1761"/>
      <w:bookmarkEnd w:id="176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233,934,444.27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156,346,956.16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委外研究及设计费用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287,518.45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6,240,584.62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2,348,760.19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2,879,062.11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装备调试及其他费用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3,174,375.82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1,339,793.62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办公及耗材费用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1,323,483.10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277,706.74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241,068,581.83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167,084,103.25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64"/>
      <w:bookmarkEnd w:id="1765"/>
      <w:bookmarkEnd w:id="176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8,296,136.80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9,232,488.54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-8,930,225.10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-6,362,845.07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264,778.26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139,563.00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-369,310.04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3,009,206.47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6</w:t>
      </w:r>
      <w:bookmarkEnd w:id="177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68"/>
      <w:bookmarkEnd w:id="1769"/>
      <w:bookmarkEnd w:id="177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28,452,254.04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37,011,666.82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增值税减免或加计抵减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3,135,353.33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1,974,484.89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981,952.56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538,075.71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小规模纳税人免征增值税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16,138.54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附加税减免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4,264.52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32,580,634.39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39,544,630.48</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72"/>
      <w:bookmarkEnd w:id="1773"/>
      <w:bookmarkEnd w:id="177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1,579,989.75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1,815,746.23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取得控制权时股权按公允价值重新计量产 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-856,335.49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2,606,005.15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181,176.38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处置结构性存款取得的投资收益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3,525,592.65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4,736,144.96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4,430,423.29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9,157,896.34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6</w:t>
      </w:r>
      <w:bookmarkEnd w:id="177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76"/>
      <w:bookmarkEnd w:id="1777"/>
      <w:bookmarkEnd w:id="177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80"/>
      <w:bookmarkEnd w:id="1781"/>
      <w:bookmarkEnd w:id="178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20,518.26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84"/>
      <w:bookmarkEnd w:id="1785"/>
      <w:bookmarkEnd w:id="178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-26,421,637.57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-45,669,196.32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-26,421,637.57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-45,669,196.32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7</w:t>
      </w:r>
      <w:bookmarkEnd w:id="179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88"/>
      <w:bookmarkEnd w:id="1789"/>
      <w:bookmarkEnd w:id="179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7</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92"/>
      <w:bookmarkEnd w:id="1793"/>
      <w:bookmarkEnd w:id="179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-57,788.95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7</w:t>
      </w:r>
      <w:bookmarkEnd w:id="179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96"/>
      <w:bookmarkEnd w:id="1797"/>
      <w:bookmarkEnd w:id="179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1,179,594.20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220,730.04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220,730.04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30,634.10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181,475.81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30,634.10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15,021.92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266,386.06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1,561,370.01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266,386.06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7</w:t>
      </w:r>
      <w:bookmarkEnd w:id="180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00"/>
      <w:bookmarkEnd w:id="1801"/>
      <w:bookmarkEnd w:id="180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266,000.00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242,069.76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109,475.89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242,069.76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242,069.76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109,475.89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242,069.76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204,814.10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204,814.10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476,883.86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433,302.47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476,883.86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7</w:t>
      </w:r>
      <w:bookmarkEnd w:id="180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04"/>
      <w:bookmarkEnd w:id="1805"/>
      <w:bookmarkEnd w:id="1807"/>
    </w:p>
    <w:p>
      <w:pPr>
        <w:pStyle w:val="Style33"/>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4"/>
      <w:bookmarkEnd w:id="1805"/>
      <w:bookmarkEnd w:id="180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28,758,234.53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13,109,041.05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526,593.10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17,370,811.46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29,284,827.63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30,479,852.51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09"/>
      <w:bookmarkEnd w:id="1810"/>
      <w:bookmarkEnd w:id="1811"/>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283,634,168.64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42,545,125.30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427,189.25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-682,702.68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-837,527.67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10,136,201.53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-3,453,912.08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12,375,832.73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170,055.30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-5,045,714.56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-27,860,018.82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1,510,299.33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29,284,827.63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7</w:t>
      </w:r>
      <w:bookmarkEnd w:id="181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12"/>
      <w:bookmarkEnd w:id="1813"/>
      <w:bookmarkEnd w:id="1815"/>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7</w:t>
      </w:r>
      <w:bookmarkEnd w:id="181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16"/>
      <w:bookmarkEnd w:id="1817"/>
      <w:bookmarkEnd w:id="1819"/>
    </w:p>
    <w:p>
      <w:pPr>
        <w:pStyle w:val="Style33"/>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16"/>
      <w:bookmarkEnd w:id="1817"/>
      <w:bookmarkEnd w:id="1820"/>
    </w:p>
    <w:p>
      <w:pPr>
        <w:pStyle w:val="Style22"/>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16,750,178.88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29,642,828.52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9,314,858.43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5,978,211.74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21,129,418.31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4,780,271.11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47,194,455.62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40,401,311.37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1"/>
      <w:bookmarkEnd w:id="1822"/>
      <w:bookmarkEnd w:id="182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管理费用、销售费用、研发费用中支付 的除应付职工薪酬、税费外的现金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191,228,210.07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147,177,698.03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24,149,114.26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18,434,893.27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264,778.26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215,672,102.59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166,018,154.30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24"/>
      <w:bookmarkEnd w:id="1825"/>
      <w:bookmarkEnd w:id="182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4,139,652.43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4,139,652.43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28"/>
      <w:bookmarkEnd w:id="1829"/>
      <w:bookmarkEnd w:id="183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32"/>
      <w:bookmarkEnd w:id="1833"/>
      <w:bookmarkEnd w:id="183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处置子公司部分股权但未丧失控制权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36"/>
      <w:bookmarkEnd w:id="1837"/>
      <w:bookmarkEnd w:id="183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吸收子公司少数股东股权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76,123,800.00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22,141,481.65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79,905,849.29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150,897.60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102,047,330.94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76,274,697.60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40"/>
      <w:bookmarkEnd w:id="1841"/>
      <w:bookmarkEnd w:id="1843"/>
    </w:p>
    <w:p>
      <w:pPr>
        <w:pStyle w:val="Style33"/>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0"/>
      <w:bookmarkEnd w:id="1841"/>
      <w:bookmarkEnd w:id="184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254,349,341.01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179,271,764.54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26,421,637.57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45,669,196.32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16,668,176.37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15,135,805.46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19,010,256.49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5,007,561.63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4,298,922.12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2,238,648.32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6,145,852.32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227,047.84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109,475.89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8,296,136.80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9,232,488.54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-4,430,423.29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-9,157,896.34</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1,617,519.32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-4,930,727.67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-314,371.74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-700,414.51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-70,671,512.68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-8,733,725.01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-150,181,552.14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-201,599,725.70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152,817,309.78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144,920,633.30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48,910,815.62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5,544,467.50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310,003,861.59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185,250,981.66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843,105,529.13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948,206,310.81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948,206,310.81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610,855,444.26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-105,100,781.68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337,350,866.55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45"/>
      <w:bookmarkEnd w:id="1846"/>
      <w:bookmarkEnd w:id="18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黑龙江华颂信息技术有限公司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4,565,006.85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黑龙江华颂信息技术有限公司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4,565,006.85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634,993.15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numPr>
          <w:ilvl w:val="0"/>
          <w:numId w:val="93"/>
        </w:numPr>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本期收到的处置子公司的现金净额</w:t>
      </w:r>
      <w:bookmarkEnd w:id="1848"/>
      <w:bookmarkEnd w:id="1849"/>
      <w:bookmarkEnd w:id="185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93"/>
        </w:numPr>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现金和现金等价物的构成</w:t>
      </w:r>
      <w:bookmarkEnd w:id="1852"/>
      <w:bookmarkEnd w:id="1853"/>
      <w:bookmarkEnd w:id="18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843,105,529.13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948,206,310.81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137,483.32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156,449.91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842,911,338.85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948,013,131.96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36,728.94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843,105,529.13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948,206,310.81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5,288,278.34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8</w:t>
      </w:r>
      <w:bookmarkEnd w:id="185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56"/>
      <w:bookmarkEnd w:id="1857"/>
      <w:bookmarkEnd w:id="1859"/>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8</w:t>
      </w:r>
      <w:bookmarkEnd w:id="186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60"/>
      <w:bookmarkEnd w:id="1861"/>
      <w:bookmarkEnd w:id="186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5,288,278.34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保函保证金等</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5,288,278.34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日与招商银行福州分行签订《质押合同》，合同编号为</w:t>
      </w:r>
      <w:r>
        <w:rPr>
          <w:rFonts w:ascii="Times New Roman" w:eastAsia="Times New Roman" w:hAnsi="Times New Roman" w:cs="Times New Roman"/>
          <w:color w:val="000000"/>
          <w:spacing w:val="0"/>
          <w:w w:val="100"/>
          <w:position w:val="0"/>
        </w:rPr>
        <w:t>2019</w:t>
      </w:r>
      <w:r>
        <w:rPr>
          <w:color w:val="000000"/>
          <w:spacing w:val="0"/>
          <w:w w:val="100"/>
          <w:position w:val="0"/>
        </w:rPr>
        <w:t>年质字第</w:t>
      </w:r>
      <w:r>
        <w:rPr>
          <w:rFonts w:ascii="Times New Roman" w:eastAsia="Times New Roman" w:hAnsi="Times New Roman" w:cs="Times New Roman"/>
          <w:color w:val="000000"/>
          <w:spacing w:val="0"/>
          <w:w w:val="100"/>
          <w:position w:val="0"/>
        </w:rPr>
        <w:t>A01-0002</w:t>
      </w:r>
      <w:r>
        <w:rPr>
          <w:color w:val="000000"/>
          <w:spacing w:val="0"/>
          <w:w w:val="100"/>
          <w:position w:val="0"/>
        </w:rPr>
        <w:t xml:space="preserve">号，公司将持有的子公 </w:t>
      </w:r>
      <w:r>
        <w:rPr>
          <w:color w:val="000000"/>
          <w:spacing w:val="0"/>
          <w:w w:val="100"/>
          <w:position w:val="0"/>
        </w:rPr>
        <w:t>司广东瑞联科技有限公司</w:t>
      </w:r>
      <w:r>
        <w:rPr>
          <w:rFonts w:ascii="Times New Roman" w:eastAsia="Times New Roman" w:hAnsi="Times New Roman" w:cs="Times New Roman"/>
          <w:color w:val="000000"/>
          <w:spacing w:val="0"/>
          <w:w w:val="100"/>
          <w:position w:val="0"/>
        </w:rPr>
        <w:t>794.04</w:t>
      </w:r>
      <w:r>
        <w:rPr>
          <w:color w:val="000000"/>
          <w:spacing w:val="0"/>
          <w:w w:val="100"/>
          <w:position w:val="0"/>
        </w:rPr>
        <w:t>万股的股权作为质押物向招商银行福州分行贷款。</w:t>
      </w:r>
    </w:p>
    <w:p>
      <w:pPr>
        <w:pStyle w:val="Style33"/>
        <w:keepNext/>
        <w:keepLines/>
        <w:widowControl w:val="0"/>
        <w:shd w:val="clear" w:color="auto" w:fill="auto"/>
        <w:bidi w:val="0"/>
        <w:spacing w:before="0" w:after="380" w:line="240"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64"/>
      <w:bookmarkEnd w:id="1865"/>
      <w:bookmarkEnd w:id="1867"/>
    </w:p>
    <w:p>
      <w:pPr>
        <w:pStyle w:val="Style33"/>
        <w:keepNext/>
        <w:keepLines/>
        <w:widowControl w:val="0"/>
        <w:shd w:val="clear" w:color="auto" w:fill="auto"/>
        <w:bidi w:val="0"/>
        <w:spacing w:before="0" w:after="380" w:line="240" w:lineRule="auto"/>
        <w:ind w:left="0" w:right="0" w:firstLine="0"/>
        <w:jc w:val="both"/>
      </w:pPr>
      <w:bookmarkStart w:id="1864" w:name="bookmark1864"/>
      <w:bookmarkStart w:id="1865" w:name="bookmark1865"/>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64"/>
      <w:bookmarkEnd w:id="1865"/>
      <w:bookmarkEnd w:id="18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331" w:lineRule="exact"/>
        <w:ind w:left="0" w:right="0" w:firstLine="0"/>
        <w:jc w:val="both"/>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69"/>
      <w:bookmarkEnd w:id="1870"/>
      <w:bookmarkEnd w:id="1871"/>
    </w:p>
    <w:p>
      <w:pPr>
        <w:pStyle w:val="Style22"/>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31" w:lineRule="exact"/>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8</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72"/>
      <w:bookmarkEnd w:id="1873"/>
      <w:bookmarkEnd w:id="1875"/>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83" w:val="left"/>
        </w:tabs>
        <w:bidi w:val="0"/>
        <w:spacing w:before="0" w:after="280" w:line="331" w:lineRule="exact"/>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8</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76"/>
      <w:bookmarkEnd w:id="1877"/>
      <w:bookmarkEnd w:id="1879"/>
    </w:p>
    <w:p>
      <w:pPr>
        <w:pStyle w:val="Style33"/>
        <w:keepNext/>
        <w:keepLines/>
        <w:widowControl w:val="0"/>
        <w:shd w:val="clear" w:color="auto" w:fill="auto"/>
        <w:bidi w:val="0"/>
        <w:spacing w:before="0" w:after="380" w:line="331" w:lineRule="exact"/>
        <w:ind w:left="0" w:right="0" w:firstLine="0"/>
        <w:jc w:val="both"/>
      </w:pPr>
      <w:bookmarkStart w:id="1876" w:name="bookmark1876"/>
      <w:bookmarkStart w:id="1877" w:name="bookmark1877"/>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76"/>
      <w:bookmarkEnd w:id="1877"/>
      <w:bookmarkEnd w:id="1880"/>
    </w:p>
    <w:p>
      <w:pPr>
        <w:pStyle w:val="Style2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409,379.26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28,042,874.78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28,042,874.78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30,342,874.78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28,452,254.04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81"/>
      <w:bookmarkEnd w:id="1882"/>
      <w:bookmarkEnd w:id="188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8</w:t>
      </w:r>
      <w:bookmarkEnd w:id="188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84"/>
      <w:bookmarkEnd w:id="1885"/>
      <w:bookmarkEnd w:id="1887"/>
    </w:p>
    <w:p>
      <w:pPr>
        <w:pStyle w:val="Style27"/>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sz w:val="24"/>
          <w:szCs w:val="24"/>
        </w:rPr>
        <w:t>八</w:t>
      </w:r>
      <w:bookmarkEnd w:id="1890"/>
      <w:r>
        <w:rPr>
          <w:color w:val="000000"/>
          <w:spacing w:val="0"/>
          <w:w w:val="100"/>
          <w:position w:val="0"/>
          <w:sz w:val="24"/>
          <w:szCs w:val="24"/>
        </w:rPr>
        <w:t>、合并范围的变更</w:t>
      </w:r>
      <w:bookmarkEnd w:id="1888"/>
      <w:bookmarkEnd w:id="1889"/>
      <w:bookmarkEnd w:id="1891"/>
    </w:p>
    <w:p>
      <w:pPr>
        <w:pStyle w:val="Style33"/>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bookmarkEnd w:id="1894"/>
      <w:r>
        <w:rPr>
          <w:color w:val="000000"/>
          <w:spacing w:val="0"/>
          <w:w w:val="100"/>
          <w:position w:val="0"/>
        </w:rPr>
        <w:t>、非同一控制下企业合并</w:t>
      </w:r>
      <w:bookmarkEnd w:id="1892"/>
      <w:bookmarkEnd w:id="1893"/>
      <w:bookmarkEnd w:id="1895"/>
    </w:p>
    <w:p>
      <w:pPr>
        <w:pStyle w:val="Style33"/>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92"/>
      <w:bookmarkEnd w:id="1893"/>
      <w:bookmarkEnd w:id="1896"/>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购买日至期</w:t>
            </w:r>
          </w:p>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末被购买方</w:t>
            </w:r>
          </w:p>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的净利润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黑龙江华颂</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12,590,251.8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改组董事会、 支付投资款、 完成工商变</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更登记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1,608,136.53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683,461.87</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福建中控普 惠信息科技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25,350,000.0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改组董事会、 支付投资款、 完成工商变</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更登记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15,852,274.1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10,390,400.5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7"/>
      <w:bookmarkEnd w:id="1898"/>
      <w:bookmarkEnd w:id="18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黑龙江华颂信息技术有限公司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福建中控普惠信息科技有限公司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12,590,251.87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12,590,251.87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25,350,000.00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4,880,446.90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15,581,761.76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7,709,804.97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9,768,238.24</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after="100" w:line="240" w:lineRule="auto"/>
        <w:ind w:left="0" w:right="0"/>
        <w:jc w:val="both"/>
      </w:pPr>
      <w:r>
        <w:rPr>
          <w:color w:val="000000"/>
          <w:spacing w:val="0"/>
          <w:w w:val="100"/>
          <w:position w:val="0"/>
        </w:rPr>
        <w:t>公司合并黑龙江华颂信息技术有限公司合并成本为现金，公允价值为实际支付金额。</w:t>
      </w:r>
    </w:p>
    <w:p>
      <w:pPr>
        <w:pStyle w:val="Style22"/>
        <w:keepNext w:val="0"/>
        <w:keepLines w:val="0"/>
        <w:widowControl w:val="0"/>
        <w:shd w:val="clear" w:color="auto" w:fill="auto"/>
        <w:bidi w:val="0"/>
        <w:spacing w:before="0" w:after="640" w:line="240" w:lineRule="auto"/>
        <w:ind w:left="0" w:right="0"/>
        <w:jc w:val="both"/>
      </w:pPr>
      <w:r>
        <w:rPr>
          <w:color w:val="000000"/>
          <w:spacing w:val="0"/>
          <w:w w:val="100"/>
          <w:position w:val="0"/>
        </w:rPr>
        <w:t xml:space="preserve">公司合并福建中控普惠信息科技有限公司合并成本为支付的股权，公允价值为评估的股权价值。购买日之前持有的股 </w:t>
      </w:r>
      <w:r>
        <w:rPr>
          <w:color w:val="000000"/>
          <w:spacing w:val="0"/>
          <w:w w:val="100"/>
          <w:position w:val="0"/>
        </w:rPr>
        <w:t>权于购买日的公允价值按照市场交易价格确定。</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after="0" w:line="322"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日，博思软件控股子公司北京博思致新互联网科技有限责任公司以人民币</w:t>
      </w:r>
      <w:r>
        <w:rPr>
          <w:rFonts w:ascii="Times New Roman" w:eastAsia="Times New Roman" w:hAnsi="Times New Roman" w:cs="Times New Roman"/>
          <w:color w:val="000000"/>
          <w:spacing w:val="0"/>
          <w:w w:val="100"/>
          <w:position w:val="0"/>
        </w:rPr>
        <w:t>12,590,251.8</w:t>
      </w:r>
      <w:r>
        <w:rPr>
          <w:rFonts w:ascii="Times New Roman" w:eastAsia="Times New Roman" w:hAnsi="Times New Roman" w:cs="Times New Roman"/>
          <w:color w:val="000000"/>
          <w:spacing w:val="0"/>
          <w:w w:val="100"/>
          <w:position w:val="0"/>
        </w:rPr>
        <w:t>7</w:t>
      </w:r>
      <w:r>
        <w:rPr>
          <w:color w:val="000000"/>
          <w:spacing w:val="0"/>
          <w:w w:val="100"/>
          <w:position w:val="0"/>
        </w:rPr>
        <w:t>元收购黑龙江华 颂信息技术有限公司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股权。购买日公司享有的其可辨认净资产公允价值份额为人民币</w:t>
      </w:r>
      <w:r>
        <w:rPr>
          <w:rFonts w:ascii="Times New Roman" w:eastAsia="Times New Roman" w:hAnsi="Times New Roman" w:cs="Times New Roman"/>
          <w:color w:val="000000"/>
          <w:spacing w:val="0"/>
          <w:w w:val="100"/>
          <w:position w:val="0"/>
        </w:rPr>
        <w:t>4,880,446.90</w:t>
      </w:r>
      <w:r>
        <w:rPr>
          <w:color w:val="000000"/>
          <w:spacing w:val="0"/>
          <w:w w:val="100"/>
          <w:position w:val="0"/>
        </w:rPr>
        <w:t>元，合并成本与享 有的其可辨认净资产公允价值份额的差额</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,709,804.9</w:t>
      </w:r>
      <w:r>
        <w:rPr>
          <w:rFonts w:ascii="Times New Roman" w:eastAsia="Times New Roman" w:hAnsi="Times New Roman" w:cs="Times New Roman"/>
          <w:color w:val="000000"/>
          <w:spacing w:val="0"/>
          <w:w w:val="100"/>
          <w:position w:val="0"/>
        </w:rPr>
        <w:t>7</w:t>
      </w:r>
      <w:r>
        <w:rPr>
          <w:color w:val="000000"/>
          <w:spacing w:val="0"/>
          <w:w w:val="100"/>
          <w:position w:val="0"/>
        </w:rPr>
        <w:t>元计入商誉。</w:t>
      </w:r>
    </w:p>
    <w:p>
      <w:pPr>
        <w:pStyle w:val="Style22"/>
        <w:keepNext w:val="0"/>
        <w:keepLines w:val="0"/>
        <w:widowControl w:val="0"/>
        <w:shd w:val="clear" w:color="auto" w:fill="auto"/>
        <w:bidi w:val="0"/>
        <w:spacing w:before="0" w:after="380" w:line="322" w:lineRule="exact"/>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日，博思软件控股子公司博思数采科技发展有限公司（以下简称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数采科技</w:t>
      </w:r>
      <w:r>
        <w:rPr>
          <w:rFonts w:ascii="Times New Roman" w:eastAsia="Times New Roman" w:hAnsi="Times New Roman" w:cs="Times New Roman"/>
          <w:color w:val="000000"/>
          <w:spacing w:val="0"/>
          <w:w w:val="100"/>
          <w:position w:val="0"/>
        </w:rPr>
        <w:t>”</w:t>
      </w:r>
      <w:r>
        <w:rPr>
          <w:color w:val="000000"/>
          <w:spacing w:val="0"/>
          <w:w w:val="100"/>
          <w:position w:val="0"/>
        </w:rPr>
        <w:t>）以其持有的北京博思赋能科 技有限公司</w:t>
      </w:r>
      <w:r>
        <w:rPr>
          <w:rFonts w:ascii="Times New Roman" w:eastAsia="Times New Roman" w:hAnsi="Times New Roman" w:cs="Times New Roman"/>
          <w:color w:val="000000"/>
          <w:spacing w:val="0"/>
          <w:w w:val="100"/>
          <w:position w:val="0"/>
        </w:rPr>
        <w:t>51%</w:t>
      </w:r>
      <w:r>
        <w:rPr>
          <w:color w:val="000000"/>
          <w:spacing w:val="0"/>
          <w:w w:val="100"/>
          <w:position w:val="0"/>
        </w:rPr>
        <w:t xml:space="preserve">股权向福建中控普惠信息科技有限公司增资。购买日之前数采科技持有的福建中控普惠信息科技有限公司 </w:t>
      </w:r>
      <w:r>
        <w:rPr>
          <w:rFonts w:ascii="Times New Roman" w:eastAsia="Times New Roman" w:hAnsi="Times New Roman" w:cs="Times New Roman"/>
          <w:color w:val="000000"/>
          <w:spacing w:val="0"/>
          <w:w w:val="100"/>
          <w:position w:val="0"/>
        </w:rPr>
        <w:t>36%</w:t>
      </w:r>
      <w:r>
        <w:rPr>
          <w:color w:val="000000"/>
          <w:spacing w:val="0"/>
          <w:w w:val="100"/>
          <w:position w:val="0"/>
        </w:rPr>
        <w:t>股权于购买日的公允价值为人民币</w:t>
      </w:r>
      <w:r>
        <w:rPr>
          <w:rFonts w:ascii="Times New Roman" w:eastAsia="Times New Roman" w:hAnsi="Times New Roman" w:cs="Times New Roman"/>
          <w:color w:val="000000"/>
          <w:spacing w:val="0"/>
          <w:w w:val="100"/>
          <w:position w:val="0"/>
        </w:rPr>
        <w:t>12,600,000.00</w:t>
      </w:r>
      <w:r>
        <w:rPr>
          <w:color w:val="000000"/>
          <w:spacing w:val="0"/>
          <w:w w:val="100"/>
          <w:position w:val="0"/>
        </w:rPr>
        <w:t>元。合并成本合计为</w:t>
      </w:r>
      <w:r>
        <w:rPr>
          <w:rFonts w:ascii="Times New Roman" w:eastAsia="Times New Roman" w:hAnsi="Times New Roman" w:cs="Times New Roman"/>
          <w:color w:val="000000"/>
          <w:spacing w:val="0"/>
          <w:w w:val="100"/>
          <w:position w:val="0"/>
        </w:rPr>
        <w:t>25,350,000.00</w:t>
      </w:r>
      <w:r>
        <w:rPr>
          <w:color w:val="000000"/>
          <w:spacing w:val="0"/>
          <w:w w:val="100"/>
          <w:position w:val="0"/>
        </w:rPr>
        <w:t>元。购买日公司享有的其可辨认净资 产公允价值份额为人民币</w:t>
      </w:r>
      <w:r>
        <w:rPr>
          <w:rFonts w:ascii="Times New Roman" w:eastAsia="Times New Roman" w:hAnsi="Times New Roman" w:cs="Times New Roman"/>
          <w:color w:val="000000"/>
          <w:spacing w:val="0"/>
          <w:w w:val="100"/>
          <w:position w:val="0"/>
        </w:rPr>
        <w:t>15,581,761.76</w:t>
      </w:r>
      <w:r>
        <w:rPr>
          <w:color w:val="000000"/>
          <w:spacing w:val="0"/>
          <w:w w:val="100"/>
          <w:position w:val="0"/>
        </w:rPr>
        <w:t>元，合并成本与享有的其可辨认净资产公允价值份额的差额</w:t>
      </w:r>
      <w:r>
        <w:rPr>
          <w:rFonts w:ascii="Times New Roman" w:eastAsia="Times New Roman" w:hAnsi="Times New Roman" w:cs="Times New Roman"/>
          <w:color w:val="000000"/>
          <w:spacing w:val="0"/>
          <w:w w:val="100"/>
          <w:position w:val="0"/>
        </w:rPr>
        <w:t>9,768,238.24</w:t>
      </w:r>
      <w:r>
        <w:rPr>
          <w:color w:val="000000"/>
          <w:spacing w:val="0"/>
          <w:w w:val="100"/>
          <w:position w:val="0"/>
        </w:rPr>
        <w:t>元计入商誉。 其他说明：</w:t>
      </w:r>
    </w:p>
    <w:p>
      <w:pPr>
        <w:pStyle w:val="Style33"/>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00"/>
      <w:bookmarkEnd w:id="1901"/>
      <w:bookmarkEnd w:id="19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黑龙江华颂信息技术有限公司</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福建中控普惠信息科技有限公司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4,565,006.85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4,565,006.85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4,140,481.51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4,140,481.51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759,233.17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759,233.17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1,691,740.76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1,691,740.76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697,147.46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697,147.46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2,839,348.59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2,839,348.59</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29,205,524.34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29,205,524.34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2,183,183.13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2,183,183.13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258,567.47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258,567.47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25,873.27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314,455.92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314,455.92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3,175,359.61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3,175,359.61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135,918.26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890,670.88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890,670.88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222,435.54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2,144,010.45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2,144,010.45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4,880,446.90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4,880,446.90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36,678,971.79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34,383,971.79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-200,937.69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4,880,446.90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4,880,446.90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36,879,909.48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34,584,909.48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100" w:line="346" w:lineRule="exact"/>
        <w:ind w:left="0" w:right="0" w:firstLine="440"/>
        <w:jc w:val="left"/>
      </w:pPr>
      <w:r>
        <w:rPr>
          <w:color w:val="000000"/>
          <w:spacing w:val="0"/>
          <w:w w:val="100"/>
          <w:position w:val="0"/>
        </w:rPr>
        <w:t>按账面价值确认为可辨认资产、负债公允价值，对无形资产软件进行评估，评估价值为其公允价值。 企业合并中承担的被购买方的或有负债：</w:t>
      </w:r>
    </w:p>
    <w:p>
      <w:pPr>
        <w:pStyle w:val="Style22"/>
        <w:keepNext w:val="0"/>
        <w:keepLines w:val="0"/>
        <w:widowControl w:val="0"/>
        <w:shd w:val="clear" w:color="auto" w:fill="auto"/>
        <w:bidi w:val="0"/>
        <w:spacing w:before="0" w:after="320" w:line="346" w:lineRule="exact"/>
        <w:ind w:left="0" w:right="0" w:firstLine="0"/>
        <w:jc w:val="left"/>
      </w:pPr>
      <w:r>
        <w:rPr>
          <w:color w:val="000000"/>
          <w:spacing w:val="0"/>
          <w:w w:val="100"/>
          <w:position w:val="0"/>
        </w:rPr>
        <w:t>企业合并中无承担的被购买方的或有负债。</w:t>
      </w:r>
    </w:p>
    <w:p>
      <w:pPr>
        <w:pStyle w:val="Style2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6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04"/>
      <w:bookmarkEnd w:id="1905"/>
      <w:bookmarkEnd w:id="1907"/>
    </w:p>
    <w:p>
      <w:pPr>
        <w:pStyle w:val="Style2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被购买方名称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购买日之前原持有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股权在购买日的账</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福建中控普惠信息 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13,456,335.49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-856,335.49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市场交易价格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80" w:line="240" w:lineRule="auto"/>
        <w:ind w:left="0" w:right="0" w:firstLine="0"/>
        <w:jc w:val="left"/>
      </w:pPr>
      <w:bookmarkStart w:id="1908" w:name="bookmark1908"/>
      <w:r>
        <w:rPr>
          <w:b/>
          <w:bCs/>
          <w:color w:val="000000"/>
          <w:spacing w:val="0"/>
          <w:w w:val="100"/>
          <w:position w:val="0"/>
        </w:rPr>
        <w:t>（</w:t>
      </w:r>
      <w:bookmarkEnd w:id="1908"/>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42"/>
        <w:keepNext w:val="0"/>
        <w:keepLines w:val="0"/>
        <w:widowControl w:val="0"/>
        <w:shd w:val="clear" w:color="auto" w:fill="auto"/>
        <w:tabs>
          <w:tab w:pos="493" w:val="left"/>
        </w:tabs>
        <w:bidi w:val="0"/>
        <w:spacing w:before="0" w:after="380" w:line="240" w:lineRule="auto"/>
        <w:ind w:left="0" w:right="0" w:firstLine="0"/>
        <w:jc w:val="left"/>
      </w:pPr>
      <w:bookmarkStart w:id="1909" w:name="bookmark1909"/>
      <w:r>
        <w:rPr>
          <w:b/>
          <w:bCs/>
          <w:color w:val="000000"/>
          <w:spacing w:val="0"/>
          <w:w w:val="100"/>
          <w:position w:val="0"/>
        </w:rPr>
        <w:t>（</w:t>
      </w:r>
      <w:bookmarkEnd w:id="190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42"/>
        <w:keepNext w:val="0"/>
        <w:keepLines w:val="0"/>
        <w:widowControl w:val="0"/>
        <w:shd w:val="clear" w:color="auto" w:fill="auto"/>
        <w:bidi w:val="0"/>
        <w:spacing w:before="0" w:after="380" w:line="240" w:lineRule="auto"/>
        <w:ind w:left="0" w:right="0" w:firstLine="0"/>
        <w:jc w:val="left"/>
      </w:pPr>
      <w:bookmarkStart w:id="1910" w:name="bookmark1910"/>
      <w:r>
        <w:rPr>
          <w:rFonts w:ascii="Times New Roman" w:eastAsia="Times New Roman" w:hAnsi="Times New Roman" w:cs="Times New Roman"/>
          <w:b/>
          <w:bCs/>
          <w:color w:val="000000"/>
          <w:spacing w:val="0"/>
          <w:w w:val="100"/>
          <w:position w:val="0"/>
        </w:rPr>
        <w:t>2</w:t>
      </w:r>
      <w:bookmarkEnd w:id="1910"/>
      <w:r>
        <w:rPr>
          <w:b/>
          <w:bCs/>
          <w:color w:val="000000"/>
          <w:spacing w:val="0"/>
          <w:w w:val="100"/>
          <w:position w:val="0"/>
        </w:rPr>
        <w:t>、同一控制下企业合并</w:t>
      </w:r>
    </w:p>
    <w:p>
      <w:pPr>
        <w:pStyle w:val="Style4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80" w:line="240" w:lineRule="auto"/>
        <w:ind w:left="0" w:right="0" w:firstLine="0"/>
        <w:jc w:val="left"/>
      </w:pPr>
      <w:bookmarkStart w:id="1911" w:name="bookmark1911"/>
      <w:r>
        <w:rPr>
          <w:b/>
          <w:bCs/>
          <w:color w:val="000000"/>
          <w:spacing w:val="0"/>
          <w:w w:val="100"/>
          <w:position w:val="0"/>
        </w:rPr>
        <w:t>（</w:t>
      </w:r>
      <w:bookmarkEnd w:id="1911"/>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3</w:t>
      </w:r>
      <w:bookmarkEnd w:id="1914"/>
      <w:r>
        <w:rPr>
          <w:color w:val="000000"/>
          <w:spacing w:val="0"/>
          <w:w w:val="100"/>
          <w:position w:val="0"/>
        </w:rPr>
        <w:t>、</w:t>
        <w:tab/>
        <w:t>反向购买</w:t>
      </w:r>
      <w:bookmarkEnd w:id="1912"/>
      <w:bookmarkEnd w:id="1913"/>
      <w:bookmarkEnd w:id="1915"/>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w:t>
        <w:tab/>
        <w:t>处置子公司</w:t>
      </w:r>
      <w:bookmarkEnd w:id="1916"/>
      <w:bookmarkEnd w:id="1917"/>
      <w:bookmarkEnd w:id="1919"/>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color w:val="000000"/>
          <w:spacing w:val="0"/>
          <w:w w:val="100"/>
          <w:position w:val="0"/>
        </w:rPr>
        <w:t>、</w:t>
        <w:tab/>
        <w:t>其他原因的合并范围变动</w:t>
      </w:r>
      <w:bookmarkEnd w:id="1920"/>
      <w:bookmarkEnd w:id="1921"/>
      <w:bookmarkEnd w:id="1923"/>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240" w:lineRule="auto"/>
        <w:ind w:left="21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本期新设立的子公司情况</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深圳博思软件有限公司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云南博思智创软件有限公司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p>
      <w:pPr>
        <w:pStyle w:val="Style29"/>
        <w:keepNext w:val="0"/>
        <w:keepLines w:val="0"/>
        <w:widowControl w:val="0"/>
        <w:shd w:val="clear" w:color="auto" w:fill="auto"/>
        <w:bidi w:val="0"/>
        <w:spacing w:before="0" w:after="0" w:line="240" w:lineRule="auto"/>
        <w:ind w:left="19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公司子公司安徽博思软件有限公司已于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月注销，自注销完成之日起，不再纳入合并范围。</w:t>
      </w:r>
    </w:p>
    <w:p>
      <w:pPr>
        <w:pStyle w:val="Style22"/>
        <w:keepNext w:val="0"/>
        <w:keepLines w:val="0"/>
        <w:widowControl w:val="0"/>
        <w:shd w:val="clear" w:color="auto" w:fill="auto"/>
        <w:bidi w:val="0"/>
        <w:spacing w:before="0" w:after="200" w:line="318"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公司本期吸收合并全资子公司吉林省博思金财科技有限公司（以下简称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吉林金财</w:t>
      </w:r>
      <w:r>
        <w:rPr>
          <w:rFonts w:ascii="Times New Roman" w:eastAsia="Times New Roman" w:hAnsi="Times New Roman" w:cs="Times New Roman"/>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月，吉林金财所有 资产、债权、债务等已完成变更或处置，并取得了长春市</w:t>
      </w:r>
      <w:r>
        <w:rPr>
          <w:color w:val="000000"/>
          <w:spacing w:val="0"/>
          <w:w w:val="100"/>
          <w:position w:val="0"/>
          <w:sz w:val="20"/>
          <w:szCs w:val="20"/>
        </w:rPr>
        <w:t>市场监督管理</w:t>
      </w:r>
      <w:r>
        <w:rPr>
          <w:color w:val="000000"/>
          <w:spacing w:val="0"/>
          <w:w w:val="100"/>
          <w:position w:val="0"/>
        </w:rPr>
        <w:t>局南关分局出具的《准予注销登记通知书》，准予 吉林金财注销登记。至此，公司吸收合并吉林金财的相关手续已全部办理完毕，吉林金财的独立法人资格已被注销，其全部 资产、债权债务及其他一切权利和义务均由公司依法承继。</w:t>
      </w:r>
      <w:r>
        <w:br w:type="page"/>
      </w:r>
    </w:p>
    <w:p>
      <w:pPr>
        <w:pStyle w:val="Style33"/>
        <w:keepNext/>
        <w:keepLines/>
        <w:widowControl w:val="0"/>
        <w:shd w:val="clear" w:color="auto" w:fill="auto"/>
        <w:bidi w:val="0"/>
        <w:spacing w:before="0" w:after="34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6</w:t>
      </w:r>
      <w:bookmarkEnd w:id="1926"/>
      <w:r>
        <w:rPr>
          <w:color w:val="000000"/>
          <w:spacing w:val="0"/>
          <w:w w:val="100"/>
          <w:position w:val="0"/>
        </w:rPr>
        <w:t>、其他</w:t>
      </w:r>
      <w:bookmarkEnd w:id="1924"/>
      <w:bookmarkEnd w:id="1925"/>
      <w:bookmarkEnd w:id="1927"/>
    </w:p>
    <w:p>
      <w:pPr>
        <w:pStyle w:val="Style27"/>
        <w:keepNext/>
        <w:keepLines/>
        <w:widowControl w:val="0"/>
        <w:shd w:val="clear" w:color="auto" w:fill="auto"/>
        <w:bidi w:val="0"/>
        <w:spacing w:before="0" w:after="34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sz w:val="24"/>
          <w:szCs w:val="24"/>
        </w:rPr>
        <w:t>九</w:t>
      </w:r>
      <w:bookmarkEnd w:id="1930"/>
      <w:r>
        <w:rPr>
          <w:color w:val="000000"/>
          <w:spacing w:val="0"/>
          <w:w w:val="100"/>
          <w:position w:val="0"/>
          <w:sz w:val="24"/>
          <w:szCs w:val="24"/>
        </w:rPr>
        <w:t>、在其他主体中的权益</w:t>
      </w:r>
      <w:bookmarkEnd w:id="1928"/>
      <w:bookmarkEnd w:id="1929"/>
      <w:bookmarkEnd w:id="1931"/>
    </w:p>
    <w:p>
      <w:pPr>
        <w:pStyle w:val="Style33"/>
        <w:keepNext/>
        <w:keepLines/>
        <w:widowControl w:val="0"/>
        <w:shd w:val="clear" w:color="auto" w:fill="auto"/>
        <w:bidi w:val="0"/>
        <w:spacing w:before="0" w:after="34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bookmarkEnd w:id="1934"/>
      <w:r>
        <w:rPr>
          <w:color w:val="000000"/>
          <w:spacing w:val="0"/>
          <w:w w:val="100"/>
          <w:position w:val="0"/>
        </w:rPr>
        <w:t>、在子公司中的权益</w:t>
      </w:r>
      <w:bookmarkEnd w:id="1932"/>
      <w:bookmarkEnd w:id="1933"/>
      <w:bookmarkEnd w:id="1935"/>
    </w:p>
    <w:p>
      <w:pPr>
        <w:pStyle w:val="Style33"/>
        <w:keepNext/>
        <w:keepLines/>
        <w:widowControl w:val="0"/>
        <w:shd w:val="clear" w:color="auto" w:fill="auto"/>
        <w:bidi w:val="0"/>
        <w:spacing w:before="0" w:after="340" w:line="240" w:lineRule="auto"/>
        <w:ind w:left="0" w:right="0" w:firstLine="0"/>
        <w:jc w:val="left"/>
      </w:pPr>
      <w:bookmarkStart w:id="1932" w:name="bookmark1932"/>
      <w:bookmarkStart w:id="1933" w:name="bookmark1933"/>
      <w:bookmarkStart w:id="1936" w:name="bookmark19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32"/>
      <w:bookmarkEnd w:id="1933"/>
      <w:bookmarkEnd w:id="193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黑龙江博思软件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黑龙江省哈尔滨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黑龙江省哈尔滨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计算机软硬件的 技术开发及销 售；计算机网络 工程的技术咨 询、技术服务等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北京博思兴华软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应用软件服务； 技术开发、技术 服务、技术咨询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福建博思电子政 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计算机软件、硬 件、通信及电子 产品的研究、开 发、销售、服务、 培训、技术转让、 技术咨询等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56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福建兴博数政科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软件开发；信息 系统集成服务； 大数据服务；信 息系统运行维护 服务；人工智能 应用软件开发； 人工智能行业应 用系统集成服 务；区块链技术 相关软件和服 务；工程和技术 研究和试验发 展；物联网应用 服务；科技推广 和应用服务；网 络与信息安全软 件开发；软件销 售；技术服务、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咨询、技术交流、 技术转让、技术 推广；计算机软 硬件及辅助设备 批发；计算机软 硬件及辅助设备 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北京博思致新互 联网科技有限责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福州同力科技开 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电子产品、计算 机软硬件的技术 开发、技术咨询、 技术转让、技术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福建博思创业园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福建省闽侯县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福建省闽侯县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创业园的投资建 设及园内企业的 管理、服务等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内蒙古金财信息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内蒙古自治区呼 和浩特市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内蒙古自治区呼 和浩特市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计算机软件开</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发、服务及销售; 计算机硬件、办 公服务器的销售</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北京博思财信网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吉林省博思金财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计算机软件开发 及技术服务等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广东瑞联科技有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信息技术咨询服 务</w:t>
            </w:r>
            <w:r>
              <w:rPr>
                <w:rFonts w:ascii="Times New Roman" w:eastAsia="Times New Roman" w:hAnsi="Times New Roman" w:cs="Times New Roman"/>
                <w:color w:val="000000"/>
                <w:spacing w:val="0"/>
                <w:w w:val="100"/>
                <w:position w:val="0"/>
              </w:rPr>
              <w:t>;</w:t>
            </w:r>
            <w:r>
              <w:rPr>
                <w:color w:val="000000"/>
                <w:spacing w:val="0"/>
                <w:w w:val="100"/>
                <w:position w:val="0"/>
              </w:rPr>
              <w:t>信息系统集成 服务</w:t>
            </w:r>
            <w:r>
              <w:rPr>
                <w:rFonts w:ascii="Times New Roman" w:eastAsia="Times New Roman" w:hAnsi="Times New Roman" w:cs="Times New Roman"/>
                <w:color w:val="000000"/>
                <w:spacing w:val="0"/>
                <w:w w:val="100"/>
                <w:position w:val="0"/>
              </w:rPr>
              <w:t>;</w:t>
            </w:r>
            <w:r>
              <w:rPr>
                <w:color w:val="000000"/>
                <w:spacing w:val="0"/>
                <w:w w:val="100"/>
                <w:position w:val="0"/>
              </w:rPr>
              <w:t>软件开发等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天津博思科技发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科学研究和技术 服务业；计算机 系统服务、软件 开发；计算机软 硬件及辅助设备 批发兼零售等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青海博思网络信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电子商务；软件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技术服务；网络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工程；计算机软 件开发等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福建博思信息科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福建省漳州市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福建省漳州市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网络与信息安全 软件开发；基础 软件开发；应用 软件开发等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北京博思广通信 息系统有限公司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计算机系统服 务；软件开发； 基础软件服务； 应用软件服务等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福建博思数字科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应用软件开发； 数字新媒体；大 数据服务；软件 运行维护服务； 其他信息系统集 成服务等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博思数采科技发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网络与信息安全 软件开发；应用 软件开发；信息 安全服务；软件 运行维护服务； 物联网技术服 务；信息技术咨 询服务等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福建博金信科技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计算机科学技术 研究服务；计算 机、软件及辅助 设备批发；计算 机、软件及辅助 设备零售等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福建博思智数科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大数据服务；互 联网数据中心业 务；信息技术咨 询服务；物联网 技术服务等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福建博思云易智 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基础软件开发；</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信息技术咨询服 务；软件运行维 护服务；大数据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湖北博思软件信 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大数据、物 联网领域内的技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术咨询、技术转 让、技术服务及 产品研发、销售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福建博思智慧信 息产业科技有限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网络与信息安全 软件开发；应用 软件开发；信息 安全服务；软件 运行维护服务； 物联网技术服务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江西博思软件有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江西省南昌市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江西省南昌市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第二类增值电信 业务，互联网信 息服务，测绘服 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安徽博思软件有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电子计算机软、 硬件开发、销售;</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电子计算机网络 工程技术咨询、 技术服务等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博思数村科技发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软件开发；人工 智能应用软件开 发；人工智能基 础软件开发；大 数据服务等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深圳博思软件有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软件开发；信息 系统集成服务； 信息技术咨询服 务；计算机系统 服务；软件销售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云南博思智创软 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云南省昆明市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云南省昆明市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软件开发；软件 销售；软件外包 服务等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37"/>
      <w:bookmarkEnd w:id="1938"/>
      <w:bookmarkEnd w:id="193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本报告期，少数股东权益占集团所有者权益比例为</w:t>
      </w:r>
      <w:r>
        <w:rPr>
          <w:rFonts w:ascii="Times New Roman" w:eastAsia="Times New Roman" w:hAnsi="Times New Roman" w:cs="Times New Roman"/>
          <w:color w:val="000000"/>
          <w:spacing w:val="0"/>
          <w:w w:val="100"/>
          <w:position w:val="0"/>
        </w:rPr>
        <w:t>13.94%</w:t>
      </w:r>
      <w:r>
        <w:rPr>
          <w:color w:val="000000"/>
          <w:spacing w:val="0"/>
          <w:w w:val="100"/>
          <w:position w:val="0"/>
        </w:rPr>
        <w:t>，对企业集团不具有重要性。</w:t>
      </w:r>
    </w:p>
    <w:p>
      <w:pPr>
        <w:pStyle w:val="Style33"/>
        <w:keepNext/>
        <w:keepLines/>
        <w:widowControl w:val="0"/>
        <w:shd w:val="clear" w:color="auto" w:fill="auto"/>
        <w:bidi w:val="0"/>
        <w:spacing w:before="0" w:after="38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40"/>
      <w:bookmarkEnd w:id="1941"/>
      <w:bookmarkEnd w:id="194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44"/>
      <w:bookmarkEnd w:id="1945"/>
      <w:bookmarkEnd w:id="1947"/>
    </w:p>
    <w:p>
      <w:pPr>
        <w:pStyle w:val="Style33"/>
        <w:keepNext/>
        <w:keepLines/>
        <w:widowControl w:val="0"/>
        <w:shd w:val="clear" w:color="auto" w:fill="auto"/>
        <w:tabs>
          <w:tab w:pos="493" w:val="left"/>
        </w:tabs>
        <w:bidi w:val="0"/>
        <w:spacing w:before="0" w:after="380" w:line="240" w:lineRule="auto"/>
        <w:ind w:left="0" w:right="0" w:firstLine="0"/>
        <w:jc w:val="left"/>
      </w:pPr>
      <w:bookmarkStart w:id="1944" w:name="bookmark1944"/>
      <w:bookmarkStart w:id="1945" w:name="bookmark1945"/>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44"/>
      <w:bookmarkEnd w:id="1945"/>
      <w:bookmarkEnd w:id="1949"/>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2</w:t>
      </w:r>
      <w:bookmarkEnd w:id="1952"/>
      <w:r>
        <w:rPr>
          <w:color w:val="000000"/>
          <w:spacing w:val="0"/>
          <w:w w:val="100"/>
          <w:position w:val="0"/>
        </w:rPr>
        <w:t>、在子公司的所有者权益份额发生变化且仍控制子公司的交易</w:t>
      </w:r>
      <w:bookmarkEnd w:id="1950"/>
      <w:bookmarkEnd w:id="1951"/>
      <w:bookmarkEnd w:id="1953"/>
    </w:p>
    <w:p>
      <w:pPr>
        <w:pStyle w:val="Style33"/>
        <w:keepNext/>
        <w:keepLines/>
        <w:widowControl w:val="0"/>
        <w:shd w:val="clear" w:color="auto" w:fill="auto"/>
        <w:tabs>
          <w:tab w:pos="493" w:val="left"/>
        </w:tabs>
        <w:bidi w:val="0"/>
        <w:spacing w:before="0" w:after="380" w:line="240" w:lineRule="auto"/>
        <w:ind w:left="0" w:right="0" w:firstLine="0"/>
        <w:jc w:val="left"/>
      </w:pPr>
      <w:bookmarkStart w:id="1950" w:name="bookmark1950"/>
      <w:bookmarkStart w:id="1951" w:name="bookmark1951"/>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50"/>
      <w:bookmarkEnd w:id="1951"/>
      <w:bookmarkEnd w:id="1955"/>
    </w:p>
    <w:p>
      <w:pPr>
        <w:pStyle w:val="Style33"/>
        <w:keepNext/>
        <w:keepLines/>
        <w:widowControl w:val="0"/>
        <w:shd w:val="clear" w:color="auto" w:fill="auto"/>
        <w:tabs>
          <w:tab w:pos="493" w:val="left"/>
        </w:tabs>
        <w:bidi w:val="0"/>
        <w:spacing w:before="0" w:after="380" w:line="240" w:lineRule="auto"/>
        <w:ind w:left="0" w:right="0" w:firstLine="0"/>
        <w:jc w:val="left"/>
      </w:pPr>
      <w:bookmarkStart w:id="1950" w:name="bookmark1950"/>
      <w:bookmarkStart w:id="1951" w:name="bookmark1951"/>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50"/>
      <w:bookmarkEnd w:id="1951"/>
      <w:bookmarkEnd w:id="195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3</w:t>
      </w:r>
      <w:bookmarkEnd w:id="1960"/>
      <w:r>
        <w:rPr>
          <w:color w:val="000000"/>
          <w:spacing w:val="0"/>
          <w:w w:val="100"/>
          <w:position w:val="0"/>
        </w:rPr>
        <w:t>、在合营安排或联营企业中的权益</w:t>
      </w:r>
      <w:bookmarkEnd w:id="1958"/>
      <w:bookmarkEnd w:id="1959"/>
      <w:bookmarkEnd w:id="1961"/>
    </w:p>
    <w:p>
      <w:pPr>
        <w:pStyle w:val="Style33"/>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58"/>
      <w:bookmarkEnd w:id="1959"/>
      <w:bookmarkEnd w:id="196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2"/>
        <w:keepNext w:val="0"/>
        <w:keepLines w:val="0"/>
        <w:widowControl w:val="0"/>
        <w:shd w:val="clear" w:color="auto" w:fill="auto"/>
        <w:bidi w:val="0"/>
        <w:spacing w:before="0" w:after="0" w:line="318" w:lineRule="exact"/>
        <w:ind w:left="0" w:right="0" w:firstLine="580"/>
        <w:jc w:val="both"/>
      </w:pPr>
      <w:bookmarkStart w:id="1963" w:name="bookmark1963"/>
      <w:r>
        <w:rPr>
          <w:rFonts w:ascii="Times New Roman" w:eastAsia="Times New Roman" w:hAnsi="Times New Roman" w:cs="Times New Roman"/>
          <w:color w:val="000000"/>
          <w:spacing w:val="0"/>
          <w:w w:val="100"/>
          <w:position w:val="0"/>
        </w:rPr>
        <w:t>1</w:t>
      </w:r>
      <w:bookmarkEnd w:id="1963"/>
      <w:r>
        <w:rPr>
          <w:color w:val="000000"/>
          <w:spacing w:val="0"/>
          <w:w w:val="100"/>
          <w:position w:val="0"/>
        </w:rPr>
        <w:t>）公司持有参股公司福建博宇信息科技股份有限公司</w:t>
      </w:r>
      <w:r>
        <w:rPr>
          <w:rFonts w:ascii="Times New Roman" w:eastAsia="Times New Roman" w:hAnsi="Times New Roman" w:cs="Times New Roman"/>
          <w:color w:val="000000"/>
          <w:spacing w:val="0"/>
          <w:w w:val="100"/>
          <w:position w:val="0"/>
        </w:rPr>
        <w:t>14.71%</w:t>
      </w:r>
      <w:r>
        <w:rPr>
          <w:color w:val="000000"/>
          <w:spacing w:val="0"/>
          <w:w w:val="100"/>
          <w:position w:val="0"/>
        </w:rPr>
        <w:t>的股权，公司高级副总裁汪彦担任该公司董事，公司对 其具有重大影响。</w:t>
      </w:r>
    </w:p>
    <w:p>
      <w:pPr>
        <w:pStyle w:val="Style22"/>
        <w:keepNext w:val="0"/>
        <w:keepLines w:val="0"/>
        <w:widowControl w:val="0"/>
        <w:shd w:val="clear" w:color="auto" w:fill="auto"/>
        <w:tabs>
          <w:tab w:pos="718" w:val="left"/>
        </w:tabs>
        <w:bidi w:val="0"/>
        <w:spacing w:before="0" w:after="0" w:line="318" w:lineRule="exact"/>
        <w:ind w:left="0" w:right="0" w:firstLine="360"/>
        <w:jc w:val="both"/>
      </w:pPr>
      <w:bookmarkStart w:id="1964" w:name="bookmark1964"/>
      <w:r>
        <w:rPr>
          <w:rFonts w:ascii="Times New Roman" w:eastAsia="Times New Roman" w:hAnsi="Times New Roman" w:cs="Times New Roman"/>
          <w:color w:val="000000"/>
          <w:spacing w:val="0"/>
          <w:w w:val="100"/>
          <w:position w:val="0"/>
        </w:rPr>
        <w:t>2</w:t>
      </w:r>
      <w:bookmarkEnd w:id="1964"/>
      <w:r>
        <w:rPr>
          <w:color w:val="000000"/>
          <w:spacing w:val="0"/>
          <w:w w:val="100"/>
          <w:position w:val="0"/>
        </w:rPr>
        <w:t>）</w:t>
        <w:tab/>
        <w:t>公司持有参股公司福建慧舟信息科技有限公司</w:t>
      </w:r>
      <w:r>
        <w:rPr>
          <w:rFonts w:ascii="Times New Roman" w:eastAsia="Times New Roman" w:hAnsi="Times New Roman" w:cs="Times New Roman"/>
          <w:color w:val="000000"/>
          <w:spacing w:val="0"/>
          <w:w w:val="100"/>
          <w:position w:val="0"/>
        </w:rPr>
        <w:t>15.87%</w:t>
      </w:r>
      <w:r>
        <w:rPr>
          <w:color w:val="000000"/>
          <w:spacing w:val="0"/>
          <w:w w:val="100"/>
          <w:position w:val="0"/>
        </w:rPr>
        <w:t>的股权，公司高级副总裁汪彦担任该公司董事，公司对其具有 重大影响。</w:t>
      </w:r>
    </w:p>
    <w:p>
      <w:pPr>
        <w:pStyle w:val="Style22"/>
        <w:keepNext w:val="0"/>
        <w:keepLines w:val="0"/>
        <w:widowControl w:val="0"/>
        <w:shd w:val="clear" w:color="auto" w:fill="auto"/>
        <w:bidi w:val="0"/>
        <w:spacing w:before="0" w:after="0" w:line="318" w:lineRule="exact"/>
        <w:ind w:left="0" w:right="0" w:firstLine="360"/>
        <w:jc w:val="both"/>
      </w:pPr>
      <w:bookmarkStart w:id="1965" w:name="bookmark1965"/>
      <w:r>
        <w:rPr>
          <w:rFonts w:ascii="Times New Roman" w:eastAsia="Times New Roman" w:hAnsi="Times New Roman" w:cs="Times New Roman"/>
          <w:color w:val="000000"/>
          <w:spacing w:val="0"/>
          <w:w w:val="100"/>
          <w:position w:val="0"/>
        </w:rPr>
        <w:t>3</w:t>
      </w:r>
      <w:bookmarkEnd w:id="1965"/>
      <w:r>
        <w:rPr>
          <w:color w:val="000000"/>
          <w:spacing w:val="0"/>
          <w:w w:val="100"/>
          <w:position w:val="0"/>
        </w:rPr>
        <w:t>） 公司持有参股公司福建博耕科技有限公司</w:t>
      </w:r>
      <w:r>
        <w:rPr>
          <w:rFonts w:ascii="Times New Roman" w:eastAsia="Times New Roman" w:hAnsi="Times New Roman" w:cs="Times New Roman"/>
          <w:color w:val="000000"/>
          <w:spacing w:val="0"/>
          <w:w w:val="100"/>
          <w:position w:val="0"/>
        </w:rPr>
        <w:t>15.13%</w:t>
      </w:r>
      <w:r>
        <w:rPr>
          <w:color w:val="000000"/>
          <w:spacing w:val="0"/>
          <w:w w:val="100"/>
          <w:position w:val="0"/>
        </w:rPr>
        <w:t>的股权，公司高级副总裁汪彦担任该公司监事，且博思软件部分董 事、高管持有福建博耕科技股东福州市长乐区引领科技中心（有限合伙）、福州市长乐区寻梦科技中心（有限合伙）部分股 权，对公司决策具有重大影响。公司对其具有重大影响。</w:t>
      </w:r>
    </w:p>
    <w:p>
      <w:pPr>
        <w:pStyle w:val="Style22"/>
        <w:keepNext w:val="0"/>
        <w:keepLines w:val="0"/>
        <w:widowControl w:val="0"/>
        <w:shd w:val="clear" w:color="auto" w:fill="auto"/>
        <w:bidi w:val="0"/>
        <w:spacing w:before="0" w:after="360" w:line="318" w:lineRule="exact"/>
        <w:ind w:left="0" w:right="0" w:firstLine="360"/>
        <w:jc w:val="both"/>
        <w:rPr>
          <w:sz w:val="20"/>
          <w:szCs w:val="20"/>
        </w:rPr>
      </w:pPr>
      <w:bookmarkStart w:id="1966" w:name="bookmark1966"/>
      <w:r>
        <w:rPr>
          <w:rFonts w:ascii="Times New Roman" w:eastAsia="Times New Roman" w:hAnsi="Times New Roman" w:cs="Times New Roman"/>
          <w:color w:val="000000"/>
          <w:spacing w:val="0"/>
          <w:w w:val="100"/>
          <w:position w:val="0"/>
          <w:sz w:val="18"/>
          <w:szCs w:val="18"/>
        </w:rPr>
        <w:t>4</w:t>
      </w:r>
      <w:bookmarkEnd w:id="1966"/>
      <w:r>
        <w:rPr>
          <w:color w:val="000000"/>
          <w:spacing w:val="0"/>
          <w:w w:val="100"/>
          <w:position w:val="0"/>
          <w:sz w:val="18"/>
          <w:szCs w:val="18"/>
        </w:rPr>
        <w:t>） 子公司数采科技持有参股公司安徽政采信息科技有限公司</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sz w:val="18"/>
          <w:szCs w:val="18"/>
        </w:rPr>
        <w:t>股权。安徽政采将采用数采科技的软件，数采科技 负责软件的需求完善，同时安徽政采采用数采科技的系统运营产品，平台搭建和运维由数采科技负责。因被投资单位的生产 经营需要依赖数采科技的关键技术，数采科技对其有重大影响</w:t>
      </w:r>
      <w:r>
        <w:rPr>
          <w:color w:val="000000"/>
          <w:spacing w:val="0"/>
          <w:w w:val="100"/>
          <w:position w:val="0"/>
          <w:sz w:val="20"/>
          <w:szCs w:val="20"/>
        </w:rPr>
        <w:t>。</w:t>
      </w:r>
    </w:p>
    <w:p>
      <w:pPr>
        <w:pStyle w:val="Style33"/>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67"/>
      <w:bookmarkEnd w:id="1968"/>
      <w:bookmarkEnd w:id="19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95"/>
        </w:numPr>
        <w:shd w:val="clear" w:color="auto" w:fill="auto"/>
        <w:bidi w:val="0"/>
        <w:spacing w:before="0" w:after="38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重要联营企业的主要财务信息</w:t>
      </w:r>
      <w:bookmarkEnd w:id="1970"/>
      <w:bookmarkEnd w:id="1971"/>
      <w:bookmarkEnd w:id="19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74"/>
      <w:bookmarkEnd w:id="1975"/>
      <w:bookmarkEnd w:id="197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76,652,224.63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56,953,590.13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1,579,989.75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1,815,746.23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1,579,989.75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1,815,746.23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78"/>
      <w:bookmarkEnd w:id="1979"/>
      <w:bookmarkEnd w:id="1981"/>
    </w:p>
    <w:p>
      <w:pPr>
        <w:pStyle w:val="Style33"/>
        <w:keepNext/>
        <w:keepLines/>
        <w:widowControl w:val="0"/>
        <w:shd w:val="clear" w:color="auto" w:fill="auto"/>
        <w:tabs>
          <w:tab w:pos="493" w:val="left"/>
        </w:tabs>
        <w:bidi w:val="0"/>
        <w:spacing w:before="0" w:after="380" w:line="240" w:lineRule="auto"/>
        <w:ind w:left="0" w:right="0" w:firstLine="0"/>
        <w:jc w:val="left"/>
      </w:pPr>
      <w:bookmarkStart w:id="1978" w:name="bookmark1978"/>
      <w:bookmarkStart w:id="1979" w:name="bookmark1979"/>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78"/>
      <w:bookmarkEnd w:id="1979"/>
      <w:bookmarkEnd w:id="198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numPr>
          <w:ilvl w:val="0"/>
          <w:numId w:val="97"/>
        </w:numPr>
        <w:shd w:val="clear" w:color="auto" w:fill="auto"/>
        <w:tabs>
          <w:tab w:pos="493" w:val="left"/>
        </w:tabs>
        <w:bidi w:val="0"/>
        <w:spacing w:before="0" w:line="240" w:lineRule="auto"/>
        <w:ind w:left="0" w:right="0" w:firstLine="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与合营企业投资相关的未确认承诺</w:t>
      </w:r>
      <w:bookmarkEnd w:id="1984"/>
      <w:bookmarkEnd w:id="1985"/>
      <w:bookmarkEnd w:id="1987"/>
    </w:p>
    <w:p>
      <w:pPr>
        <w:pStyle w:val="Style33"/>
        <w:keepNext/>
        <w:keepLines/>
        <w:widowControl w:val="0"/>
        <w:numPr>
          <w:ilvl w:val="0"/>
          <w:numId w:val="97"/>
        </w:numPr>
        <w:shd w:val="clear" w:color="auto" w:fill="auto"/>
        <w:tabs>
          <w:tab w:pos="493" w:val="left"/>
        </w:tabs>
        <w:bidi w:val="0"/>
        <w:spacing w:before="0" w:line="240" w:lineRule="auto"/>
        <w:ind w:left="0" w:right="0" w:firstLine="0"/>
        <w:jc w:val="left"/>
      </w:pPr>
      <w:bookmarkStart w:id="1984" w:name="bookmark1984"/>
      <w:bookmarkStart w:id="1985" w:name="bookmark1985"/>
      <w:bookmarkStart w:id="1988" w:name="bookmark1988"/>
      <w:bookmarkStart w:id="1989" w:name="bookmark1989"/>
      <w:bookmarkEnd w:id="1988"/>
      <w:r>
        <w:rPr>
          <w:color w:val="000000"/>
          <w:spacing w:val="0"/>
          <w:w w:val="100"/>
          <w:position w:val="0"/>
        </w:rPr>
        <w:t>与合营企业或联营企业投资相关的或有负债</w:t>
      </w:r>
      <w:bookmarkEnd w:id="1984"/>
      <w:bookmarkEnd w:id="1985"/>
      <w:bookmarkEnd w:id="1989"/>
    </w:p>
    <w:p>
      <w:pPr>
        <w:pStyle w:val="Style33"/>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、重要的共同经营</w:t>
      </w:r>
      <w:bookmarkEnd w:id="1984"/>
      <w:bookmarkEnd w:id="1985"/>
      <w:bookmarkEnd w:id="1991"/>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在共同经营中的持股比例或享有的份额不同于表决权比例的说明：</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共同经营为单独主体的，分类为共同经营的依据：</w:t>
      </w:r>
    </w:p>
    <w:p>
      <w:pPr>
        <w:pStyle w:val="Style2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color w:val="000000"/>
          <w:spacing w:val="0"/>
          <w:w w:val="100"/>
          <w:position w:val="0"/>
        </w:rPr>
        <w:t>、</w:t>
        <w:tab/>
        <w:t>在未纳入合并财务报表范围的结构化主体中的权益</w:t>
      </w:r>
      <w:bookmarkEnd w:id="1992"/>
      <w:bookmarkEnd w:id="1993"/>
      <w:bookmarkEnd w:id="1995"/>
    </w:p>
    <w:p>
      <w:pPr>
        <w:pStyle w:val="Style2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78" w:val="left"/>
        </w:tabs>
        <w:bidi w:val="0"/>
        <w:spacing w:before="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6</w:t>
      </w:r>
      <w:bookmarkEnd w:id="1998"/>
      <w:r>
        <w:rPr>
          <w:color w:val="000000"/>
          <w:spacing w:val="0"/>
          <w:w w:val="100"/>
          <w:position w:val="0"/>
        </w:rPr>
        <w:t>、</w:t>
        <w:tab/>
        <w:t>其他</w:t>
      </w:r>
      <w:bookmarkEnd w:id="1996"/>
      <w:bookmarkEnd w:id="1997"/>
      <w:bookmarkEnd w:id="1999"/>
    </w:p>
    <w:p>
      <w:pPr>
        <w:pStyle w:val="Style27"/>
        <w:keepNext/>
        <w:keepLines/>
        <w:widowControl w:val="0"/>
        <w:shd w:val="clear" w:color="auto" w:fill="auto"/>
        <w:bidi w:val="0"/>
        <w:spacing w:before="0" w:line="240" w:lineRule="auto"/>
        <w:ind w:left="0" w:right="0" w:firstLine="0"/>
        <w:jc w:val="left"/>
      </w:pPr>
      <w:bookmarkStart w:id="2000" w:name="bookmark2000"/>
      <w:bookmarkStart w:id="2001" w:name="bookmark2001"/>
      <w:bookmarkStart w:id="2002" w:name="bookmark2002"/>
      <w:r>
        <w:rPr>
          <w:color w:val="000000"/>
          <w:spacing w:val="0"/>
          <w:w w:val="100"/>
          <w:position w:val="0"/>
          <w:sz w:val="24"/>
          <w:szCs w:val="24"/>
        </w:rPr>
        <w:t>十、与金融工具相关的风险</w:t>
      </w:r>
      <w:bookmarkEnd w:id="2000"/>
      <w:bookmarkEnd w:id="2001"/>
      <w:bookmarkEnd w:id="2002"/>
    </w:p>
    <w:p>
      <w:pPr>
        <w:pStyle w:val="Style22"/>
        <w:keepNext w:val="0"/>
        <w:keepLines w:val="0"/>
        <w:widowControl w:val="0"/>
        <w:numPr>
          <w:ilvl w:val="0"/>
          <w:numId w:val="99"/>
        </w:numPr>
        <w:shd w:val="clear" w:color="auto" w:fill="auto"/>
        <w:bidi w:val="0"/>
        <w:spacing w:before="0" w:after="0"/>
        <w:ind w:left="0" w:right="0"/>
        <w:jc w:val="both"/>
      </w:pPr>
      <w:bookmarkStart w:id="2003" w:name="bookmark2003"/>
      <w:bookmarkEnd w:id="2003"/>
      <w:r>
        <w:rPr>
          <w:color w:val="000000"/>
          <w:spacing w:val="0"/>
          <w:w w:val="100"/>
          <w:position w:val="0"/>
        </w:rPr>
        <w:t>信用风险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本公司其他金融资产包括货币资金、其他应收款等，这些金融资产的信用风险源自于交易对手违约，最大信用风险敞口 为资产负债表中每项金融资产的账面金额。本公司没有提供任何其他可能令本公司承受信用风险的担保。</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22"/>
        <w:keepNext w:val="0"/>
        <w:keepLines w:val="0"/>
        <w:widowControl w:val="0"/>
        <w:shd w:val="clear" w:color="auto" w:fill="auto"/>
        <w:bidi w:val="0"/>
        <w:spacing w:before="0" w:after="80" w:line="313" w:lineRule="exact"/>
        <w:ind w:left="0" w:right="0"/>
        <w:jc w:val="both"/>
      </w:pPr>
      <w:r>
        <w:rPr>
          <w:color w:val="000000"/>
          <w:spacing w:val="0"/>
          <w:w w:val="100"/>
          <w:position w:val="0"/>
        </w:rPr>
        <w:t>作为本公司信用风险资产管理的一部分，本公司利用账龄和款项性质来评估应收账款和其他应收款的减值损失。本公司 的应收账款和其他应收款涉及大量客户，账龄信息和款项性质可以反映这些客户对于应收账款和其他应收款的偿付能力和坏 账风险。本公司根据历史数据计算不同账龄期间的历史实际坏账率，并考虑了当前及未来经济状况的预测，如国家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 基建投资总额、国家货币政策等前瞻性信息进行调整得出预期损失率。</w:t>
      </w:r>
    </w:p>
    <w:p>
      <w:pPr>
        <w:pStyle w:val="Style2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p>
    <w:tbl>
      <w:tblPr>
        <w:tblOverlap w:val="never"/>
        <w:jc w:val="left"/>
        <w:tblLayout w:type="fixed"/>
      </w:tblPr>
      <w:tblGrid>
        <w:gridCol w:w="3240"/>
        <w:gridCol w:w="2693"/>
        <w:gridCol w:w="2616"/>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692,615,863.83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123,069,694.71</w:t>
            </w:r>
          </w:p>
        </w:tc>
      </w:tr>
    </w:tbl>
    <w:p>
      <w:pPr>
        <w:widowControl w:val="0"/>
        <w:spacing w:line="1" w:lineRule="exact"/>
      </w:pPr>
    </w:p>
    <w:tbl>
      <w:tblPr>
        <w:tblOverlap w:val="never"/>
        <w:jc w:val="left"/>
        <w:tblLayout w:type="fixed"/>
      </w:tblPr>
      <w:tblGrid>
        <w:gridCol w:w="3240"/>
        <w:gridCol w:w="2693"/>
        <w:gridCol w:w="261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48,991,683.63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742,167,547.46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123,069,694.71</w:t>
            </w:r>
          </w:p>
        </w:tc>
      </w:tr>
    </w:tbl>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本公司的主要客户为各省市财政厅、银行、高校等，该等客户具有可靠及良好的信誉，因此，本公司认为该等客户并无 重大信用风险。由于本公司的客户广泛，因此没有重大的信用集中风险。</w:t>
      </w:r>
    </w:p>
    <w:p>
      <w:pPr>
        <w:pStyle w:val="Style22"/>
        <w:keepNext w:val="0"/>
        <w:keepLines w:val="0"/>
        <w:widowControl w:val="0"/>
        <w:numPr>
          <w:ilvl w:val="0"/>
          <w:numId w:val="99"/>
        </w:numPr>
        <w:shd w:val="clear" w:color="auto" w:fill="auto"/>
        <w:tabs>
          <w:tab w:pos="700" w:val="left"/>
        </w:tabs>
        <w:bidi w:val="0"/>
        <w:spacing w:before="0" w:after="0"/>
        <w:ind w:left="0" w:right="0"/>
        <w:jc w:val="both"/>
      </w:pPr>
      <w:bookmarkStart w:id="2004" w:name="bookmark2004"/>
      <w:bookmarkEnd w:id="2004"/>
      <w:r>
        <w:rPr>
          <w:color w:val="000000"/>
          <w:spacing w:val="0"/>
          <w:w w:val="100"/>
          <w:position w:val="0"/>
        </w:rPr>
        <w:t>流动性风险</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业各自负责其现金流量预测。公司下属财务部门基于各成员企业的现金流量预测结果，在公司层面持续监控公司短期和长期 的资金需求，以确保维持充裕的现金储备；同时持续监控是否符合借款协议的规定，从主要金融机构获得提供足够备用资金 的承诺，以满足短期和长期的资金需求。</w:t>
      </w:r>
    </w:p>
    <w:p>
      <w:pPr>
        <w:pStyle w:val="Style22"/>
        <w:keepNext w:val="0"/>
        <w:keepLines w:val="0"/>
        <w:widowControl w:val="0"/>
        <w:numPr>
          <w:ilvl w:val="0"/>
          <w:numId w:val="99"/>
        </w:numPr>
        <w:shd w:val="clear" w:color="auto" w:fill="auto"/>
        <w:tabs>
          <w:tab w:pos="700" w:val="left"/>
        </w:tabs>
        <w:bidi w:val="0"/>
        <w:spacing w:before="0" w:after="0"/>
        <w:ind w:left="0" w:right="0"/>
        <w:jc w:val="both"/>
      </w:pPr>
      <w:bookmarkStart w:id="2005" w:name="bookmark2005"/>
      <w:bookmarkEnd w:id="2005"/>
      <w:r>
        <w:rPr>
          <w:color w:val="000000"/>
          <w:spacing w:val="0"/>
          <w:w w:val="100"/>
          <w:position w:val="0"/>
        </w:rPr>
        <w:t>市场风险</w:t>
      </w:r>
    </w:p>
    <w:p>
      <w:pPr>
        <w:pStyle w:val="Style22"/>
        <w:keepNext w:val="0"/>
        <w:keepLines w:val="0"/>
        <w:widowControl w:val="0"/>
        <w:shd w:val="clear" w:color="auto" w:fill="auto"/>
        <w:tabs>
          <w:tab w:pos="786" w:val="left"/>
        </w:tabs>
        <w:bidi w:val="0"/>
        <w:spacing w:before="0" w:after="0"/>
        <w:ind w:left="0" w:right="0"/>
        <w:jc w:val="both"/>
      </w:pPr>
      <w:bookmarkStart w:id="2006" w:name="bookmark2006"/>
      <w:r>
        <w:rPr>
          <w:rFonts w:ascii="Times New Roman" w:eastAsia="Times New Roman" w:hAnsi="Times New Roman" w:cs="Times New Roman"/>
          <w:color w:val="000000"/>
          <w:spacing w:val="0"/>
          <w:w w:val="100"/>
          <w:position w:val="0"/>
        </w:rPr>
        <w:t>（</w:t>
      </w:r>
      <w:bookmarkEnd w:id="2006"/>
      <w:r>
        <w:rPr>
          <w:rFonts w:ascii="Times New Roman" w:eastAsia="Times New Roman" w:hAnsi="Times New Roman" w:cs="Times New Roman"/>
          <w:color w:val="000000"/>
          <w:spacing w:val="0"/>
          <w:w w:val="100"/>
          <w:position w:val="0"/>
        </w:rPr>
        <w:t>1）</w:t>
        <w:tab/>
      </w:r>
      <w:r>
        <w:rPr>
          <w:color w:val="000000"/>
          <w:spacing w:val="0"/>
          <w:w w:val="100"/>
          <w:position w:val="0"/>
        </w:rPr>
        <w:t>利率风险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w:t>
      </w:r>
    </w:p>
    <w:p>
      <w:pPr>
        <w:pStyle w:val="Style22"/>
        <w:keepNext w:val="0"/>
        <w:keepLines w:val="0"/>
        <w:widowControl w:val="0"/>
        <w:shd w:val="clear" w:color="auto" w:fill="auto"/>
        <w:tabs>
          <w:tab w:pos="786" w:val="left"/>
        </w:tabs>
        <w:bidi w:val="0"/>
        <w:spacing w:before="0" w:after="0"/>
        <w:ind w:left="0" w:right="0"/>
        <w:jc w:val="both"/>
      </w:pPr>
      <w:bookmarkStart w:id="2007" w:name="bookmark2007"/>
      <w:r>
        <w:rPr>
          <w:rFonts w:ascii="Times New Roman" w:eastAsia="Times New Roman" w:hAnsi="Times New Roman" w:cs="Times New Roman"/>
          <w:color w:val="000000"/>
          <w:spacing w:val="0"/>
          <w:w w:val="100"/>
          <w:position w:val="0"/>
        </w:rPr>
        <w:t>（</w:t>
      </w:r>
      <w:bookmarkEnd w:id="2007"/>
      <w:r>
        <w:rPr>
          <w:rFonts w:ascii="Times New Roman" w:eastAsia="Times New Roman" w:hAnsi="Times New Roman" w:cs="Times New Roman"/>
          <w:color w:val="000000"/>
          <w:spacing w:val="0"/>
          <w:w w:val="100"/>
          <w:position w:val="0"/>
        </w:rPr>
        <w:t>2）</w:t>
        <w:tab/>
      </w:r>
      <w:r>
        <w:rPr>
          <w:color w:val="000000"/>
          <w:spacing w:val="0"/>
          <w:w w:val="100"/>
          <w:position w:val="0"/>
        </w:rPr>
        <w:t>价格风险</w:t>
      </w:r>
    </w:p>
    <w:p>
      <w:pPr>
        <w:pStyle w:val="Style22"/>
        <w:keepNext w:val="0"/>
        <w:keepLines w:val="0"/>
        <w:widowControl w:val="0"/>
        <w:shd w:val="clear" w:color="auto" w:fill="auto"/>
        <w:bidi w:val="0"/>
        <w:spacing w:before="0" w:after="360" w:line="313" w:lineRule="exact"/>
        <w:ind w:left="0" w:right="0"/>
        <w:jc w:val="both"/>
      </w:pPr>
      <w:r>
        <w:rPr>
          <w:color w:val="000000"/>
          <w:spacing w:val="0"/>
          <w:w w:val="100"/>
          <w:position w:val="0"/>
        </w:rPr>
        <w:t>价格风险指汇率风险和利率风险以外的市场价格变动而发生波动的风险，主要源于商品价格、股票市场指数、权益工具 价格以及其他风险变量的变化。</w:t>
      </w:r>
    </w:p>
    <w:p>
      <w:pPr>
        <w:pStyle w:val="Style27"/>
        <w:keepNext/>
        <w:keepLines/>
        <w:widowControl w:val="0"/>
        <w:shd w:val="clear" w:color="auto" w:fill="auto"/>
        <w:bidi w:val="0"/>
        <w:spacing w:before="0" w:line="240" w:lineRule="auto"/>
        <w:ind w:left="0" w:right="0" w:firstLine="0"/>
        <w:jc w:val="left"/>
      </w:pPr>
      <w:bookmarkStart w:id="2008" w:name="bookmark2008"/>
      <w:bookmarkStart w:id="2009" w:name="bookmark2009"/>
      <w:bookmarkStart w:id="2010" w:name="bookmark2010"/>
      <w:r>
        <w:rPr>
          <w:color w:val="000000"/>
          <w:spacing w:val="0"/>
          <w:w w:val="100"/>
          <w:position w:val="0"/>
          <w:sz w:val="24"/>
          <w:szCs w:val="24"/>
        </w:rPr>
        <w:t>十^一、公允价值的披露</w:t>
      </w:r>
      <w:bookmarkEnd w:id="2008"/>
      <w:bookmarkEnd w:id="2009"/>
      <w:bookmarkEnd w:id="2010"/>
    </w:p>
    <w:p>
      <w:pPr>
        <w:pStyle w:val="Style33"/>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11"/>
      <w:bookmarkEnd w:id="2012"/>
      <w:bookmarkEnd w:id="20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70,220,518.26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70,220,518.26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2,671,964.35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2,671,964.35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70,220,518.26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3,231,964.35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73,452,482.61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bookmarkEnd w:id="2016"/>
      <w:r>
        <w:rPr>
          <w:color w:val="000000"/>
          <w:spacing w:val="0"/>
          <w:w w:val="100"/>
          <w:position w:val="0"/>
        </w:rPr>
        <w:t>、</w:t>
        <w:tab/>
        <w:t>持续和非持续第一层次公允价值计量项目市价的确定依据</w:t>
      </w:r>
      <w:bookmarkEnd w:id="2014"/>
      <w:bookmarkEnd w:id="2015"/>
      <w:bookmarkEnd w:id="2017"/>
    </w:p>
    <w:p>
      <w:pPr>
        <w:pStyle w:val="Style33"/>
        <w:keepNext/>
        <w:keepLines/>
        <w:widowControl w:val="0"/>
        <w:shd w:val="clear" w:color="auto" w:fill="auto"/>
        <w:tabs>
          <w:tab w:pos="378" w:val="left"/>
        </w:tabs>
        <w:bidi w:val="0"/>
        <w:spacing w:before="0" w:after="300" w:line="240" w:lineRule="auto"/>
        <w:ind w:left="0" w:right="0" w:firstLine="0"/>
        <w:jc w:val="left"/>
      </w:pPr>
      <w:bookmarkStart w:id="2014" w:name="bookmark2014"/>
      <w:bookmarkStart w:id="2015" w:name="bookmark2015"/>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w:t>
        <w:tab/>
        <w:t>持续和非持续第二层次公允价值计量项目，采用的估值技术和重要参数的定性及定量信息</w:t>
      </w:r>
      <w:bookmarkEnd w:id="2014"/>
      <w:bookmarkEnd w:id="2015"/>
      <w:bookmarkEnd w:id="2019"/>
    </w:p>
    <w:p>
      <w:pPr>
        <w:pStyle w:val="Style22"/>
        <w:keepNext w:val="0"/>
        <w:keepLines w:val="0"/>
        <w:widowControl w:val="0"/>
        <w:shd w:val="clear" w:color="auto" w:fill="auto"/>
        <w:bidi w:val="0"/>
        <w:spacing w:before="0" w:after="300" w:line="307" w:lineRule="exact"/>
        <w:ind w:left="0" w:right="0"/>
        <w:jc w:val="both"/>
      </w:pPr>
      <w:r>
        <w:rPr>
          <w:color w:val="000000"/>
          <w:spacing w:val="0"/>
          <w:w w:val="100"/>
          <w:position w:val="0"/>
        </w:rPr>
        <w:t>公司选用上述金融资产合同规定的可观察输入值，并结合金融资产持有期间的市场验证值对收益率进行调整，并以此计 算上述金融资产的公允价值。</w:t>
      </w:r>
    </w:p>
    <w:p>
      <w:pPr>
        <w:pStyle w:val="Style42"/>
        <w:keepNext w:val="0"/>
        <w:keepLines w:val="0"/>
        <w:widowControl w:val="0"/>
        <w:shd w:val="clear" w:color="auto" w:fill="auto"/>
        <w:tabs>
          <w:tab w:pos="378" w:val="left"/>
        </w:tabs>
        <w:bidi w:val="0"/>
        <w:spacing w:before="0" w:after="300" w:line="240" w:lineRule="auto"/>
        <w:ind w:left="0" w:right="0" w:firstLine="0"/>
        <w:jc w:val="left"/>
      </w:pPr>
      <w:bookmarkStart w:id="2020" w:name="bookmark2020"/>
      <w:r>
        <w:rPr>
          <w:rFonts w:ascii="Times New Roman" w:eastAsia="Times New Roman" w:hAnsi="Times New Roman" w:cs="Times New Roman"/>
          <w:b/>
          <w:bCs/>
          <w:color w:val="000000"/>
          <w:spacing w:val="0"/>
          <w:w w:val="100"/>
          <w:position w:val="0"/>
        </w:rPr>
        <w:t>4</w:t>
      </w:r>
      <w:bookmarkEnd w:id="2020"/>
      <w:r>
        <w:rPr>
          <w:b/>
          <w:bCs/>
          <w:color w:val="000000"/>
          <w:spacing w:val="0"/>
          <w:w w:val="100"/>
          <w:position w:val="0"/>
        </w:rPr>
        <w:t>、</w:t>
        <w:tab/>
        <w:t>持续和非持续第三层次公允价值计量项目，采用的估值技术和重要参数的定性及定量信息</w:t>
      </w:r>
    </w:p>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本公司持有的分类为以公允价值计量且其变动计入其他综合收益的金融资产主要为应收票据和其他权益工具投资。</w:t>
      </w:r>
    </w:p>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本公司经评估后认为报告期内所持有的应收票据不存在重大的信用风险且期限较短，其公允价值根据本金确定。</w:t>
      </w:r>
    </w:p>
    <w:p>
      <w:pPr>
        <w:pStyle w:val="Style22"/>
        <w:keepNext w:val="0"/>
        <w:keepLines w:val="0"/>
        <w:widowControl w:val="0"/>
        <w:shd w:val="clear" w:color="auto" w:fill="auto"/>
        <w:bidi w:val="0"/>
        <w:spacing w:before="0" w:after="700" w:line="322" w:lineRule="exact"/>
        <w:ind w:left="0" w:right="0" w:firstLine="0"/>
        <w:jc w:val="left"/>
      </w:pPr>
      <w:r>
        <w:rPr>
          <w:color w:val="000000"/>
          <w:spacing w:val="0"/>
          <w:w w:val="100"/>
          <w:position w:val="0"/>
        </w:rPr>
        <w:t>其他权益工具投资系本公司持有的</w:t>
      </w:r>
      <w:r>
        <w:rPr>
          <w:rFonts w:ascii="Times New Roman" w:eastAsia="Times New Roman" w:hAnsi="Times New Roman" w:cs="Times New Roman"/>
          <w:color w:val="000000"/>
          <w:spacing w:val="0"/>
          <w:w w:val="100"/>
          <w:position w:val="0"/>
        </w:rPr>
        <w:t>“</w:t>
      </w:r>
      <w:r>
        <w:rPr>
          <w:color w:val="000000"/>
          <w:spacing w:val="0"/>
          <w:w w:val="100"/>
          <w:position w:val="0"/>
        </w:rPr>
        <w:t>福建畅享出行网络科技有限公司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股权投资，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日，采用公司占净资产份额作 为其公允价值的参考依据。</w:t>
      </w:r>
    </w:p>
    <w:p>
      <w:pPr>
        <w:pStyle w:val="Style42"/>
        <w:keepNext w:val="0"/>
        <w:keepLines w:val="0"/>
        <w:widowControl w:val="0"/>
        <w:shd w:val="clear" w:color="auto" w:fill="auto"/>
        <w:tabs>
          <w:tab w:pos="378" w:val="left"/>
        </w:tabs>
        <w:bidi w:val="0"/>
        <w:spacing w:before="0" w:after="380" w:line="240" w:lineRule="auto"/>
        <w:ind w:left="0" w:right="0" w:firstLine="0"/>
        <w:jc w:val="left"/>
      </w:pPr>
      <w:bookmarkStart w:id="2021" w:name="bookmark2021"/>
      <w:r>
        <w:rPr>
          <w:rFonts w:ascii="Times New Roman" w:eastAsia="Times New Roman" w:hAnsi="Times New Roman" w:cs="Times New Roman"/>
          <w:b/>
          <w:bCs/>
          <w:color w:val="000000"/>
          <w:spacing w:val="0"/>
          <w:w w:val="100"/>
          <w:position w:val="0"/>
        </w:rPr>
        <w:t>5</w:t>
      </w:r>
      <w:bookmarkEnd w:id="2021"/>
      <w:r>
        <w:rPr>
          <w:b/>
          <w:bCs/>
          <w:color w:val="000000"/>
          <w:spacing w:val="0"/>
          <w:w w:val="100"/>
          <w:position w:val="0"/>
        </w:rPr>
        <w:t>、</w:t>
        <w:tab/>
        <w:t>持续的第三层次公允价值计量项目，期初与期末账面价值间的调节信息及不可观察参数敏感性分析</w:t>
      </w:r>
    </w:p>
    <w:p>
      <w:pPr>
        <w:pStyle w:val="Style42"/>
        <w:keepNext w:val="0"/>
        <w:keepLines w:val="0"/>
        <w:widowControl w:val="0"/>
        <w:shd w:val="clear" w:color="auto" w:fill="auto"/>
        <w:tabs>
          <w:tab w:pos="378" w:val="left"/>
        </w:tabs>
        <w:bidi w:val="0"/>
        <w:spacing w:before="0" w:after="380" w:line="240" w:lineRule="auto"/>
        <w:ind w:left="0" w:right="0" w:firstLine="0"/>
        <w:jc w:val="left"/>
      </w:pPr>
      <w:bookmarkStart w:id="2022" w:name="bookmark2022"/>
      <w:r>
        <w:rPr>
          <w:rFonts w:ascii="Times New Roman" w:eastAsia="Times New Roman" w:hAnsi="Times New Roman" w:cs="Times New Roman"/>
          <w:b/>
          <w:bCs/>
          <w:color w:val="000000"/>
          <w:spacing w:val="0"/>
          <w:w w:val="100"/>
          <w:position w:val="0"/>
        </w:rPr>
        <w:t>6</w:t>
      </w:r>
      <w:bookmarkEnd w:id="2022"/>
      <w:r>
        <w:rPr>
          <w:b/>
          <w:bCs/>
          <w:color w:val="000000"/>
          <w:spacing w:val="0"/>
          <w:w w:val="100"/>
          <w:position w:val="0"/>
        </w:rPr>
        <w:t>、</w:t>
        <w:tab/>
        <w:t>持续的公允价值计量项目，本期内发生各层级之间转换的，转换的原因及确定转换时点的政策</w:t>
      </w:r>
    </w:p>
    <w:p>
      <w:pPr>
        <w:pStyle w:val="Style42"/>
        <w:keepNext w:val="0"/>
        <w:keepLines w:val="0"/>
        <w:widowControl w:val="0"/>
        <w:shd w:val="clear" w:color="auto" w:fill="auto"/>
        <w:tabs>
          <w:tab w:pos="378" w:val="left"/>
        </w:tabs>
        <w:bidi w:val="0"/>
        <w:spacing w:before="0" w:after="380" w:line="240" w:lineRule="auto"/>
        <w:ind w:left="0" w:right="0" w:firstLine="0"/>
        <w:jc w:val="left"/>
      </w:pPr>
      <w:bookmarkStart w:id="2023" w:name="bookmark2023"/>
      <w:r>
        <w:rPr>
          <w:rFonts w:ascii="Times New Roman" w:eastAsia="Times New Roman" w:hAnsi="Times New Roman" w:cs="Times New Roman"/>
          <w:b/>
          <w:bCs/>
          <w:color w:val="000000"/>
          <w:spacing w:val="0"/>
          <w:w w:val="100"/>
          <w:position w:val="0"/>
        </w:rPr>
        <w:t>7</w:t>
      </w:r>
      <w:bookmarkEnd w:id="2023"/>
      <w:r>
        <w:rPr>
          <w:b/>
          <w:bCs/>
          <w:color w:val="000000"/>
          <w:spacing w:val="0"/>
          <w:w w:val="100"/>
          <w:position w:val="0"/>
        </w:rPr>
        <w:t>、</w:t>
        <w:tab/>
        <w:t>本期内发生的估值技术变更及变更原因</w:t>
      </w:r>
    </w:p>
    <w:p>
      <w:pPr>
        <w:pStyle w:val="Style42"/>
        <w:keepNext w:val="0"/>
        <w:keepLines w:val="0"/>
        <w:widowControl w:val="0"/>
        <w:shd w:val="clear" w:color="auto" w:fill="auto"/>
        <w:tabs>
          <w:tab w:pos="378" w:val="left"/>
        </w:tabs>
        <w:bidi w:val="0"/>
        <w:spacing w:before="0" w:after="300" w:line="240" w:lineRule="auto"/>
        <w:ind w:left="0" w:right="0" w:firstLine="0"/>
        <w:jc w:val="left"/>
      </w:pPr>
      <w:bookmarkStart w:id="2024" w:name="bookmark2024"/>
      <w:r>
        <w:rPr>
          <w:rFonts w:ascii="Times New Roman" w:eastAsia="Times New Roman" w:hAnsi="Times New Roman" w:cs="Times New Roman"/>
          <w:b/>
          <w:bCs/>
          <w:color w:val="000000"/>
          <w:spacing w:val="0"/>
          <w:w w:val="100"/>
          <w:position w:val="0"/>
        </w:rPr>
        <w:t>8</w:t>
      </w:r>
      <w:bookmarkEnd w:id="2024"/>
      <w:r>
        <w:rPr>
          <w:b/>
          <w:bCs/>
          <w:color w:val="000000"/>
          <w:spacing w:val="0"/>
          <w:w w:val="100"/>
          <w:position w:val="0"/>
        </w:rPr>
        <w:t>、</w:t>
        <w:tab/>
        <w:t>不以公允价值计量的金融资产和金融负债的公允价值情况</w:t>
      </w:r>
    </w:p>
    <w:p>
      <w:pPr>
        <w:pStyle w:val="Style22"/>
        <w:keepNext w:val="0"/>
        <w:keepLines w:val="0"/>
        <w:widowControl w:val="0"/>
        <w:shd w:val="clear" w:color="auto" w:fill="auto"/>
        <w:bidi w:val="0"/>
        <w:spacing w:before="0" w:after="380" w:line="307" w:lineRule="exact"/>
        <w:ind w:left="380" w:right="0" w:firstLine="0"/>
        <w:jc w:val="both"/>
      </w:pPr>
      <w:r>
        <w:rPr>
          <w:color w:val="000000"/>
          <w:spacing w:val="0"/>
          <w:w w:val="100"/>
          <w:position w:val="0"/>
        </w:rPr>
        <w:t>不以公允价值计量的金融资产和负债主要包括：应收款项、短期借款、应付款项、一年内到期的非流动负债和长期借款。 上述不以公允价值计量的金融资产和负债的账面价值与公允价值相差很小。</w:t>
      </w:r>
    </w:p>
    <w:p>
      <w:pPr>
        <w:pStyle w:val="Style42"/>
        <w:keepNext w:val="0"/>
        <w:keepLines w:val="0"/>
        <w:widowControl w:val="0"/>
        <w:shd w:val="clear" w:color="auto" w:fill="auto"/>
        <w:tabs>
          <w:tab w:pos="378" w:val="left"/>
        </w:tabs>
        <w:bidi w:val="0"/>
        <w:spacing w:before="0" w:after="300" w:line="240" w:lineRule="auto"/>
        <w:ind w:left="0" w:right="0" w:firstLine="0"/>
        <w:jc w:val="left"/>
      </w:pPr>
      <w:bookmarkStart w:id="2025" w:name="bookmark2025"/>
      <w:r>
        <w:rPr>
          <w:rFonts w:ascii="Times New Roman" w:eastAsia="Times New Roman" w:hAnsi="Times New Roman" w:cs="Times New Roman"/>
          <w:b/>
          <w:bCs/>
          <w:color w:val="000000"/>
          <w:spacing w:val="0"/>
          <w:w w:val="100"/>
          <w:position w:val="0"/>
        </w:rPr>
        <w:t>9</w:t>
      </w:r>
      <w:bookmarkEnd w:id="2025"/>
      <w:r>
        <w:rPr>
          <w:b/>
          <w:bCs/>
          <w:color w:val="000000"/>
          <w:spacing w:val="0"/>
          <w:w w:val="100"/>
          <w:position w:val="0"/>
        </w:rPr>
        <w:t>、</w:t>
        <w:tab/>
        <w:t>其他</w:t>
      </w:r>
    </w:p>
    <w:p>
      <w:pPr>
        <w:pStyle w:val="Style27"/>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r>
        <w:rPr>
          <w:color w:val="000000"/>
          <w:spacing w:val="0"/>
          <w:w w:val="100"/>
          <w:position w:val="0"/>
          <w:sz w:val="24"/>
          <w:szCs w:val="24"/>
        </w:rPr>
        <w:t>十二、关联方及关联交易</w:t>
      </w:r>
      <w:bookmarkEnd w:id="2026"/>
      <w:bookmarkEnd w:id="2027"/>
      <w:bookmarkEnd w:id="2028"/>
    </w:p>
    <w:p>
      <w:pPr>
        <w:pStyle w:val="Style4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本企业最终控制方是陈航先生。</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tabs>
          <w:tab w:pos="378" w:val="left"/>
        </w:tabs>
        <w:bidi w:val="0"/>
        <w:spacing w:before="0" w:after="380" w:line="240" w:lineRule="auto"/>
        <w:ind w:left="0" w:right="0" w:firstLine="0"/>
        <w:jc w:val="left"/>
      </w:pPr>
      <w:bookmarkStart w:id="2029" w:name="bookmark2029"/>
      <w:r>
        <w:rPr>
          <w:rFonts w:ascii="Times New Roman" w:eastAsia="Times New Roman" w:hAnsi="Times New Roman" w:cs="Times New Roman"/>
          <w:b/>
          <w:bCs/>
          <w:color w:val="000000"/>
          <w:spacing w:val="0"/>
          <w:w w:val="100"/>
          <w:position w:val="0"/>
        </w:rPr>
        <w:t>2</w:t>
      </w:r>
      <w:bookmarkEnd w:id="2029"/>
      <w:r>
        <w:rPr>
          <w:b/>
          <w:bCs/>
          <w:color w:val="000000"/>
          <w:spacing w:val="0"/>
          <w:w w:val="100"/>
          <w:position w:val="0"/>
        </w:rPr>
        <w:t>、</w:t>
        <w:tab/>
        <w:t>本企业的子公司情况</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42"/>
        <w:keepNext w:val="0"/>
        <w:keepLines w:val="0"/>
        <w:widowControl w:val="0"/>
        <w:shd w:val="clear" w:color="auto" w:fill="auto"/>
        <w:tabs>
          <w:tab w:pos="378" w:val="left"/>
        </w:tabs>
        <w:bidi w:val="0"/>
        <w:spacing w:before="0" w:after="380" w:line="240" w:lineRule="auto"/>
        <w:ind w:left="0" w:right="0" w:firstLine="0"/>
        <w:jc w:val="left"/>
      </w:pPr>
      <w:bookmarkStart w:id="2030" w:name="bookmark2030"/>
      <w:r>
        <w:rPr>
          <w:rFonts w:ascii="Times New Roman" w:eastAsia="Times New Roman" w:hAnsi="Times New Roman" w:cs="Times New Roman"/>
          <w:b/>
          <w:bCs/>
          <w:color w:val="000000"/>
          <w:spacing w:val="0"/>
          <w:w w:val="100"/>
          <w:position w:val="0"/>
        </w:rPr>
        <w:t>3</w:t>
      </w:r>
      <w:bookmarkEnd w:id="2030"/>
      <w:r>
        <w:rPr>
          <w:b/>
          <w:bCs/>
          <w:color w:val="000000"/>
          <w:spacing w:val="0"/>
          <w:w w:val="100"/>
          <w:position w:val="0"/>
        </w:rPr>
        <w:t>、</w:t>
        <w:tab/>
        <w:t>本企业合营和联营企业情况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本企业重要的合营或联营企业详见附注七、注释</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14.71%</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泉州市搏浪科技集团有限公司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25.59%</w:t>
            </w:r>
            <w:r>
              <w:rPr>
                <w:color w:val="000000"/>
                <w:spacing w:val="0"/>
                <w:w w:val="100"/>
                <w:position w:val="0"/>
              </w:rPr>
              <w:t>的股权</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福建慧舟信息科技有限公司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15.87%</w:t>
            </w:r>
            <w:r>
              <w:rPr>
                <w:color w:val="000000"/>
                <w:spacing w:val="0"/>
                <w:w w:val="100"/>
                <w:position w:val="0"/>
              </w:rPr>
              <w:t>的股权</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北京恰空网络科技有限公司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30.00%</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福建博耕科技有限公司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15.13%</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宁德市融鑫科技有限公司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49.00%</w:t>
            </w:r>
            <w:r>
              <w:rPr>
                <w:color w:val="000000"/>
                <w:spacing w:val="0"/>
                <w:w w:val="100"/>
                <w:position w:val="0"/>
              </w:rPr>
              <w:t>的股权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安徽政采信息科技有限公司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博思软件通过博思数采科技发展有限公司间接持有其</w:t>
            </w:r>
            <w:r>
              <w:rPr>
                <w:rFonts w:ascii="Times New Roman" w:eastAsia="Times New Roman" w:hAnsi="Times New Roman" w:cs="Times New Roman"/>
                <w:color w:val="000000"/>
                <w:spacing w:val="0"/>
                <w:w w:val="100"/>
                <w:position w:val="0"/>
              </w:rPr>
              <w:t xml:space="preserve">6.42% </w:t>
            </w:r>
            <w:r>
              <w:rPr>
                <w:color w:val="000000"/>
                <w:spacing w:val="0"/>
                <w:w w:val="100"/>
                <w:position w:val="0"/>
              </w:rPr>
              <w:t>的股权</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哈尔滨派斯内特科技发展有限公司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博思软件通过北京博思致新互联网科技有限责任公司间接持 有其</w:t>
            </w:r>
            <w:r>
              <w:rPr>
                <w:rFonts w:ascii="Times New Roman" w:eastAsia="Times New Roman" w:hAnsi="Times New Roman" w:cs="Times New Roman"/>
                <w:color w:val="000000"/>
                <w:spacing w:val="0"/>
                <w:w w:val="100"/>
                <w:position w:val="0"/>
              </w:rPr>
              <w:t>10.20%</w:t>
            </w:r>
            <w:r>
              <w:rPr>
                <w:color w:val="000000"/>
                <w:spacing w:val="0"/>
                <w:w w:val="100"/>
                <w:position w:val="0"/>
              </w:rPr>
              <w:t>的股权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漳州博思信息科技有限公司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博思软件通过福建博思信息科技有限公司间接持有其</w:t>
            </w:r>
            <w:r>
              <w:rPr>
                <w:rFonts w:ascii="Times New Roman" w:eastAsia="Times New Roman" w:hAnsi="Times New Roman" w:cs="Times New Roman"/>
                <w:color w:val="000000"/>
                <w:spacing w:val="0"/>
                <w:w w:val="100"/>
                <w:position w:val="0"/>
              </w:rPr>
              <w:t xml:space="preserve">15.30% </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福州汇票钧安信息技术有限公司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25.00%</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北京中科京安科技有限公司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30.00%</w:t>
            </w:r>
            <w:r>
              <w:rPr>
                <w:color w:val="000000"/>
                <w:spacing w:val="0"/>
                <w:w w:val="100"/>
                <w:position w:val="0"/>
              </w:rPr>
              <w:t>的股权</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绿金（深圳）商业保理有限公司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博思软件通过博思数采科技发展有限公司间接持有其</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的股权</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4</w:t>
      </w:r>
      <w:bookmarkEnd w:id="2033"/>
      <w:r>
        <w:rPr>
          <w:color w:val="000000"/>
          <w:spacing w:val="0"/>
          <w:w w:val="100"/>
          <w:position w:val="0"/>
        </w:rPr>
        <w:t>、其他关联方情况</w:t>
      </w:r>
      <w:bookmarkEnd w:id="2031"/>
      <w:bookmarkEnd w:id="2032"/>
      <w:bookmarkEnd w:id="20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林芝腾讯一致行动人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林芝腾讯一致行动人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福建九月文旅集团有限公司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公司董事长陈航的配偶赵榕持有其</w:t>
            </w:r>
            <w:r>
              <w:rPr>
                <w:rFonts w:ascii="Times New Roman" w:eastAsia="Times New Roman" w:hAnsi="Times New Roman" w:cs="Times New Roman"/>
                <w:color w:val="000000"/>
                <w:spacing w:val="0"/>
                <w:w w:val="100"/>
                <w:position w:val="0"/>
              </w:rPr>
              <w:t>25.50%</w:t>
            </w:r>
            <w:r>
              <w:rPr>
                <w:color w:val="000000"/>
                <w:spacing w:val="0"/>
                <w:w w:val="100"/>
                <w:position w:val="0"/>
              </w:rPr>
              <w:t>的股权，并担任监 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北京大数元科技发展有限公司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公司董事、总经理刘少华的配偶陈月惠直接持有其</w:t>
            </w:r>
            <w:r>
              <w:rPr>
                <w:rFonts w:ascii="Times New Roman" w:eastAsia="Times New Roman" w:hAnsi="Times New Roman" w:cs="Times New Roman"/>
                <w:color w:val="000000"/>
                <w:spacing w:val="0"/>
                <w:w w:val="100"/>
                <w:position w:val="0"/>
              </w:rPr>
              <w:t>13.60%</w:t>
            </w:r>
            <w:r>
              <w:rPr>
                <w:color w:val="000000"/>
                <w:spacing w:val="0"/>
                <w:w w:val="100"/>
                <w:position w:val="0"/>
              </w:rPr>
              <w:t>的 股权，并通过天津博大数元科技中心（有限合伙）、天津盛大 数元科技中心（有限合伙）间接持有其</w:t>
            </w:r>
            <w:r>
              <w:rPr>
                <w:rFonts w:ascii="Times New Roman" w:eastAsia="Times New Roman" w:hAnsi="Times New Roman" w:cs="Times New Roman"/>
                <w:color w:val="000000"/>
                <w:spacing w:val="0"/>
                <w:w w:val="100"/>
                <w:position w:val="0"/>
              </w:rPr>
              <w:t>14.27%</w:t>
            </w:r>
            <w:r>
              <w:rPr>
                <w:color w:val="000000"/>
                <w:spacing w:val="0"/>
                <w:w w:val="100"/>
                <w:position w:val="0"/>
              </w:rPr>
              <w:t>的股权，同时 担任董事长、法定代表人；刘少华的女儿刘洋持有其</w:t>
            </w:r>
            <w:r>
              <w:rPr>
                <w:rFonts w:ascii="Times New Roman" w:eastAsia="Times New Roman" w:hAnsi="Times New Roman" w:cs="Times New Roman"/>
                <w:color w:val="000000"/>
                <w:spacing w:val="0"/>
                <w:w w:val="100"/>
                <w:position w:val="0"/>
              </w:rPr>
              <w:t xml:space="preserve">6.00% </w:t>
            </w:r>
            <w:r>
              <w:rPr>
                <w:color w:val="000000"/>
                <w:spacing w:val="0"/>
                <w:w w:val="100"/>
                <w:position w:val="0"/>
              </w:rPr>
              <w:t>的股权。</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公司董事、副总经理郑升尉持有其</w:t>
            </w:r>
            <w:r>
              <w:rPr>
                <w:rFonts w:ascii="Times New Roman" w:eastAsia="Times New Roman" w:hAnsi="Times New Roman" w:cs="Times New Roman"/>
                <w:color w:val="000000"/>
                <w:spacing w:val="0"/>
                <w:w w:val="100"/>
                <w:position w:val="0"/>
              </w:rPr>
              <w:t>80.00%</w:t>
            </w:r>
            <w:r>
              <w:rPr>
                <w:color w:val="000000"/>
                <w:spacing w:val="0"/>
                <w:w w:val="100"/>
                <w:position w:val="0"/>
              </w:rPr>
              <w:t>股权，并担任执行 董事、法定代表人。</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福建照付通物联网科技有限责任公司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公司监事毛时敏持有其</w:t>
            </w:r>
            <w:r>
              <w:rPr>
                <w:rFonts w:ascii="Times New Roman" w:eastAsia="Times New Roman" w:hAnsi="Times New Roman" w:cs="Times New Roman"/>
                <w:color w:val="000000"/>
                <w:spacing w:val="0"/>
                <w:w w:val="100"/>
                <w:position w:val="0"/>
              </w:rPr>
              <w:t>60.00%</w:t>
            </w:r>
            <w:r>
              <w:rPr>
                <w:color w:val="000000"/>
                <w:spacing w:val="0"/>
                <w:w w:val="100"/>
                <w:position w:val="0"/>
              </w:rPr>
              <w:t>的股权，同时，毛时敏的女儿 毛文芳持有其</w:t>
            </w:r>
            <w:r>
              <w:rPr>
                <w:rFonts w:ascii="Times New Roman" w:eastAsia="Times New Roman" w:hAnsi="Times New Roman" w:cs="Times New Roman"/>
                <w:color w:val="000000"/>
                <w:spacing w:val="0"/>
                <w:w w:val="100"/>
                <w:position w:val="0"/>
              </w:rPr>
              <w:t>17.00%</w:t>
            </w:r>
            <w:r>
              <w:rPr>
                <w:color w:val="000000"/>
                <w:spacing w:val="0"/>
                <w:w w:val="100"/>
                <w:position w:val="0"/>
              </w:rPr>
              <w:t>的股权，并担任执行董事兼总经理、法 定代表人。</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rPr>
              <w:t>12</w:t>
            </w:r>
            <w:r>
              <w:rPr>
                <w:color w:val="000000"/>
                <w:spacing w:val="0"/>
                <w:w w:val="100"/>
                <w:position w:val="0"/>
              </w:rPr>
              <w:t>个月内曾为公司持股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color w:val="000000"/>
          <w:spacing w:val="0"/>
          <w:w w:val="100"/>
          <w:position w:val="0"/>
        </w:rPr>
        <w:t>、关联交易情况</w:t>
      </w:r>
      <w:bookmarkEnd w:id="2035"/>
      <w:bookmarkEnd w:id="2036"/>
      <w:bookmarkEnd w:id="2038"/>
    </w:p>
    <w:p>
      <w:pPr>
        <w:pStyle w:val="Style33"/>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9" w:name="bookmark2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35"/>
      <w:bookmarkEnd w:id="2036"/>
      <w:bookmarkEnd w:id="203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北京大数元科技发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901,415.07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福建慧舟信息科技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410,663.13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哈尔滨派斯内特科 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3,253,684.87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690,534.88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哈尔滨派斯内特科 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38,890.88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884,955.75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漳州博思信息科技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4,983,288.73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1,694,840.83</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腾讯云计算（北京）有限责任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11,288,787.71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18,977,531.80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哈尔滨派斯内特科技发展有限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1,132,075.48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2,933,962.28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福建中控普惠信息科技有限公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2,376,237.63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福建博宇信息科技股份有限公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1,276,091.14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福建博宇信息科技股份有限公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575,820.78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428,396.23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北京大数元科技发展有限公司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1,540,299.09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749,427.32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福建照付通物联网科技有限责 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30,174.74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28,631.62</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福建九月文旅集团有限公司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25,615.72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泉州市搏浪科技集团有限公司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-122,641.51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宁德市融鑫科技有限公司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1,481,132.08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福州汇票钧安信息技术有限公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1,188,118.75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福建慧舟信息科技有限公司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483,578.58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安徽政采信息科技有限公司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134,988.85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福建博耕科技有限公司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22,120.87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18,040,159.71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26,695,373.10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3"/>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0"/>
      <w:bookmarkEnd w:id="2041"/>
      <w:bookmarkEnd w:id="2042"/>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3"/>
        <w:keepNext/>
        <w:keepLines/>
        <w:widowControl w:val="0"/>
        <w:numPr>
          <w:ilvl w:val="0"/>
          <w:numId w:val="101"/>
        </w:numPr>
        <w:shd w:val="clear" w:color="auto" w:fill="auto"/>
        <w:bidi w:val="0"/>
        <w:spacing w:before="0" w:after="38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关联租赁情况</w:t>
      </w:r>
      <w:bookmarkEnd w:id="2043"/>
      <w:bookmarkEnd w:id="2044"/>
      <w:bookmarkEnd w:id="2046"/>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福建慧舟信息科技有限公司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401,032.97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137,881.23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福建博耕科技有限公司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258,200.76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67,113.23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64,954.03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福建九月文旅集团有限公司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78,115.52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60,026.21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808,890.90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329,974.70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腾讯云计算（北京）有限责任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4,764,223.51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1,826,666.66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256,190.50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178,095.24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5,020,414.01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2,004,761.90</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33"/>
        <w:keepNext/>
        <w:keepLines/>
        <w:widowControl w:val="0"/>
        <w:shd w:val="clear" w:color="auto" w:fill="auto"/>
        <w:bidi w:val="0"/>
        <w:spacing w:before="0" w:line="240" w:lineRule="auto"/>
        <w:ind w:left="0" w:right="0" w:firstLine="0"/>
        <w:jc w:val="both"/>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47"/>
      <w:bookmarkEnd w:id="2048"/>
      <w:bookmarkEnd w:id="2050"/>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51"/>
      <w:bookmarkEnd w:id="2052"/>
      <w:bookmarkEnd w:id="2054"/>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55"/>
      <w:bookmarkEnd w:id="2056"/>
      <w:bookmarkEnd w:id="205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59"/>
      <w:bookmarkEnd w:id="2060"/>
      <w:bookmarkEnd w:id="206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4,770,126.28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4,662,660.17</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63"/>
      <w:bookmarkEnd w:id="2064"/>
      <w:bookmarkEnd w:id="2066"/>
    </w:p>
    <w:p>
      <w:pPr>
        <w:pStyle w:val="Style33"/>
        <w:keepNext/>
        <w:keepLines/>
        <w:widowControl w:val="0"/>
        <w:shd w:val="clear" w:color="auto" w:fill="auto"/>
        <w:bidi w:val="0"/>
        <w:spacing w:before="0" w:after="380" w:line="240" w:lineRule="auto"/>
        <w:ind w:left="0" w:right="0" w:firstLine="0"/>
        <w:jc w:val="left"/>
      </w:pPr>
      <w:bookmarkStart w:id="2063" w:name="bookmark2063"/>
      <w:bookmarkStart w:id="2064" w:name="bookmark2064"/>
      <w:bookmarkStart w:id="2067" w:name="bookmark2067"/>
      <w:bookmarkStart w:id="2068" w:name="bookmark2068"/>
      <w:r>
        <w:rPr>
          <w:rFonts w:ascii="Times New Roman" w:eastAsia="Times New Roman" w:hAnsi="Times New Roman" w:cs="Times New Roman"/>
          <w:color w:val="000000"/>
          <w:spacing w:val="0"/>
          <w:w w:val="100"/>
          <w:position w:val="0"/>
        </w:rPr>
        <w:t>6</w:t>
      </w:r>
      <w:bookmarkEnd w:id="2067"/>
      <w:r>
        <w:rPr>
          <w:color w:val="000000"/>
          <w:spacing w:val="0"/>
          <w:w w:val="100"/>
          <w:position w:val="0"/>
        </w:rPr>
        <w:t>、关联方应收应付款项</w:t>
      </w:r>
      <w:bookmarkEnd w:id="2063"/>
      <w:bookmarkEnd w:id="2064"/>
      <w:bookmarkEnd w:id="2068"/>
    </w:p>
    <w:p>
      <w:pPr>
        <w:pStyle w:val="Style33"/>
        <w:keepNext/>
        <w:keepLines/>
        <w:widowControl w:val="0"/>
        <w:shd w:val="clear" w:color="auto" w:fill="auto"/>
        <w:bidi w:val="0"/>
        <w:spacing w:before="0" w:after="380" w:line="240" w:lineRule="auto"/>
        <w:ind w:left="0" w:right="0" w:firstLine="0"/>
        <w:jc w:val="left"/>
      </w:pPr>
      <w:bookmarkStart w:id="2063" w:name="bookmark2063"/>
      <w:bookmarkStart w:id="2064" w:name="bookmark2064"/>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63"/>
      <w:bookmarkEnd w:id="2064"/>
      <w:bookmarkEnd w:id="206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20,675,609.01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4,716,260.30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14,701,066.62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1,421,593.14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北京大数元科技发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1,970,123.67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557,994.17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4,637,069.23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486,881.91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福建中控普惠信息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232,080.00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福建博宇信息科技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117,630.78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1,636,055.53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158,206.57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泉州市搏浪科技集 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551,950.00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316,183.46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182,498.40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福建博耕科技有限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福建慧舟信息科技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安徽政采信息科技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152,537.40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宁德市融鑫科技有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142,713.00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507,485.98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1,238,766.54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福建优福农业科技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福建博宇信息科技 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181,493.30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070" w:name="bookmark2070"/>
      <w:bookmarkStart w:id="2071" w:name="bookmark2071"/>
      <w:bookmarkStart w:id="2072" w:name="bookmark20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0"/>
      <w:bookmarkEnd w:id="2071"/>
      <w:bookmarkEnd w:id="207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北京大数元科技发展有限公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1,369,811.34</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福建博耕科技有限公司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哈尔滨派斯内特科技发展有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3,224,069.87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腾讯云计算（北京）有限责任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漳州博思信息科技有限公司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福建慧舟信息科技有限公司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124,305.99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福建博耕科技有限公司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福建九月文旅集团有限公司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3,212.57</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北京大数元科技发展有限公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103,951.33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373" w:val="left"/>
        </w:tabs>
        <w:bidi w:val="0"/>
        <w:spacing w:before="0" w:after="34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7</w:t>
      </w:r>
      <w:bookmarkEnd w:id="2075"/>
      <w:r>
        <w:rPr>
          <w:color w:val="000000"/>
          <w:spacing w:val="0"/>
          <w:w w:val="100"/>
          <w:position w:val="0"/>
        </w:rPr>
        <w:t>、</w:t>
        <w:tab/>
        <w:t>关联方承诺</w:t>
      </w:r>
      <w:bookmarkEnd w:id="2073"/>
      <w:bookmarkEnd w:id="2074"/>
      <w:bookmarkEnd w:id="2076"/>
    </w:p>
    <w:p>
      <w:pPr>
        <w:pStyle w:val="Style33"/>
        <w:keepNext/>
        <w:keepLines/>
        <w:widowControl w:val="0"/>
        <w:shd w:val="clear" w:color="auto" w:fill="auto"/>
        <w:tabs>
          <w:tab w:pos="378" w:val="left"/>
        </w:tabs>
        <w:bidi w:val="0"/>
        <w:spacing w:before="0" w:after="340" w:line="240" w:lineRule="auto"/>
        <w:ind w:left="0" w:right="0" w:firstLine="0"/>
        <w:jc w:val="left"/>
      </w:pPr>
      <w:bookmarkStart w:id="2073" w:name="bookmark2073"/>
      <w:bookmarkStart w:id="2074" w:name="bookmark2074"/>
      <w:bookmarkStart w:id="2077" w:name="bookmark2077"/>
      <w:bookmarkStart w:id="2078" w:name="bookmark2078"/>
      <w:r>
        <w:rPr>
          <w:rFonts w:ascii="Times New Roman" w:eastAsia="Times New Roman" w:hAnsi="Times New Roman" w:cs="Times New Roman"/>
          <w:color w:val="000000"/>
          <w:spacing w:val="0"/>
          <w:w w:val="100"/>
          <w:position w:val="0"/>
        </w:rPr>
        <w:t>8</w:t>
      </w:r>
      <w:bookmarkEnd w:id="2077"/>
      <w:r>
        <w:rPr>
          <w:color w:val="000000"/>
          <w:spacing w:val="0"/>
          <w:w w:val="100"/>
          <w:position w:val="0"/>
        </w:rPr>
        <w:t>、</w:t>
        <w:tab/>
        <w:t>其他</w:t>
      </w:r>
      <w:bookmarkEnd w:id="2073"/>
      <w:bookmarkEnd w:id="2074"/>
      <w:bookmarkEnd w:id="2078"/>
    </w:p>
    <w:p>
      <w:pPr>
        <w:pStyle w:val="Style27"/>
        <w:keepNext/>
        <w:keepLines/>
        <w:widowControl w:val="0"/>
        <w:shd w:val="clear" w:color="auto" w:fill="auto"/>
        <w:bidi w:val="0"/>
        <w:spacing w:before="0" w:after="34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十三、股份支付</w:t>
      </w:r>
      <w:bookmarkEnd w:id="2079"/>
      <w:bookmarkEnd w:id="2080"/>
      <w:bookmarkEnd w:id="2081"/>
    </w:p>
    <w:p>
      <w:pPr>
        <w:pStyle w:val="Style33"/>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82"/>
      <w:bookmarkEnd w:id="2083"/>
      <w:bookmarkEnd w:id="208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18,962,600.00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年股票期权行权价格</w:t>
            </w:r>
            <w:r>
              <w:rPr>
                <w:rFonts w:ascii="Times New Roman" w:eastAsia="Times New Roman" w:hAnsi="Times New Roman" w:cs="Times New Roman"/>
                <w:color w:val="000000"/>
                <w:spacing w:val="0"/>
                <w:w w:val="100"/>
                <w:position w:val="0"/>
              </w:rPr>
              <w:t>21.06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股，已到行权期；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年限制性股票行权价格</w:t>
            </w:r>
            <w:r>
              <w:rPr>
                <w:rFonts w:ascii="Times New Roman" w:eastAsia="Times New Roman" w:hAnsi="Times New Roman" w:cs="Times New Roman"/>
                <w:color w:val="000000"/>
                <w:spacing w:val="0"/>
                <w:w w:val="100"/>
                <w:position w:val="0"/>
              </w:rPr>
              <w:t>25.56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年股票期权行权价格</w:t>
            </w:r>
            <w:r>
              <w:rPr>
                <w:rFonts w:ascii="Times New Roman" w:eastAsia="Times New Roman" w:hAnsi="Times New Roman" w:cs="Times New Roman"/>
                <w:color w:val="000000"/>
                <w:spacing w:val="0"/>
                <w:w w:val="100"/>
                <w:position w:val="0"/>
              </w:rPr>
              <w:t>17.84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3</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85"/>
      <w:bookmarkEnd w:id="2086"/>
      <w:bookmarkEnd w:id="208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布莱克</w:t>
            </w:r>
            <w:r>
              <w:rPr>
                <w:rFonts w:ascii="Times New Roman" w:eastAsia="Times New Roman" w:hAnsi="Times New Roman" w:cs="Times New Roman"/>
                <w:color w:val="000000"/>
                <w:spacing w:val="0"/>
                <w:w w:val="100"/>
                <w:position w:val="0"/>
              </w:rPr>
              <w:t>-</w:t>
            </w:r>
            <w:r>
              <w:rPr>
                <w:color w:val="000000"/>
                <w:spacing w:val="0"/>
                <w:w w:val="100"/>
                <w:position w:val="0"/>
              </w:rPr>
              <w:t>斯科尔斯定价模型</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公司根据最新取得的可行权职工人数变动、业绩达标程度 等后续信息做出最佳估计，修正预计可行权的权益工具数 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108,035,576.71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48,910,815.62</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3</w:t>
      </w:r>
      <w:bookmarkEnd w:id="2090"/>
      <w:r>
        <w:rPr>
          <w:color w:val="000000"/>
          <w:spacing w:val="0"/>
          <w:w w:val="100"/>
          <w:position w:val="0"/>
        </w:rPr>
        <w:t>、</w:t>
        <w:tab/>
        <w:t>以现金结算的股份支付情况</w:t>
      </w:r>
      <w:bookmarkEnd w:id="2088"/>
      <w:bookmarkEnd w:id="2089"/>
      <w:bookmarkEnd w:id="209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4</w:t>
      </w:r>
      <w:bookmarkEnd w:id="2094"/>
      <w:r>
        <w:rPr>
          <w:color w:val="000000"/>
          <w:spacing w:val="0"/>
          <w:w w:val="100"/>
          <w:position w:val="0"/>
        </w:rPr>
        <w:t>、</w:t>
        <w:tab/>
        <w:t>股份支付的修改、终止情况</w:t>
      </w:r>
      <w:bookmarkEnd w:id="2092"/>
      <w:bookmarkEnd w:id="2093"/>
      <w:bookmarkEnd w:id="2095"/>
    </w:p>
    <w:p>
      <w:pPr>
        <w:pStyle w:val="Style33"/>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6" w:name="bookmark2096"/>
      <w:bookmarkStart w:id="2097" w:name="bookmark2097"/>
      <w:r>
        <w:rPr>
          <w:rFonts w:ascii="Times New Roman" w:eastAsia="Times New Roman" w:hAnsi="Times New Roman" w:cs="Times New Roman"/>
          <w:color w:val="000000"/>
          <w:spacing w:val="0"/>
          <w:w w:val="100"/>
          <w:position w:val="0"/>
        </w:rPr>
        <w:t>5</w:t>
      </w:r>
      <w:bookmarkEnd w:id="2096"/>
      <w:r>
        <w:rPr>
          <w:color w:val="000000"/>
          <w:spacing w:val="0"/>
          <w:w w:val="100"/>
          <w:position w:val="0"/>
        </w:rPr>
        <w:t>、</w:t>
        <w:tab/>
        <w:t>其他</w:t>
      </w:r>
      <w:bookmarkEnd w:id="2092"/>
      <w:bookmarkEnd w:id="2093"/>
      <w:bookmarkEnd w:id="2097"/>
    </w:p>
    <w:p>
      <w:pPr>
        <w:pStyle w:val="Style27"/>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r>
        <w:rPr>
          <w:color w:val="000000"/>
          <w:spacing w:val="0"/>
          <w:w w:val="100"/>
          <w:position w:val="0"/>
          <w:sz w:val="24"/>
          <w:szCs w:val="24"/>
        </w:rPr>
        <w:t>十四、承诺及或有事项</w:t>
      </w:r>
      <w:bookmarkEnd w:id="2098"/>
      <w:bookmarkEnd w:id="2099"/>
      <w:bookmarkEnd w:id="2100"/>
    </w:p>
    <w:p>
      <w:pPr>
        <w:pStyle w:val="Style33"/>
        <w:keepNext/>
        <w:keepLines/>
        <w:widowControl w:val="0"/>
        <w:shd w:val="clear" w:color="auto" w:fill="auto"/>
        <w:tabs>
          <w:tab w:pos="368" w:val="left"/>
        </w:tabs>
        <w:bidi w:val="0"/>
        <w:spacing w:before="0" w:line="240" w:lineRule="auto"/>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bookmarkEnd w:id="2103"/>
      <w:r>
        <w:rPr>
          <w:color w:val="000000"/>
          <w:spacing w:val="0"/>
          <w:w w:val="100"/>
          <w:position w:val="0"/>
        </w:rPr>
        <w:t>、</w:t>
        <w:tab/>
        <w:t>重要承诺事项</w:t>
      </w:r>
      <w:bookmarkEnd w:id="2101"/>
      <w:bookmarkEnd w:id="2102"/>
      <w:bookmarkEnd w:id="210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本公司不存在需要披露的重要承诺事项。</w:t>
      </w:r>
    </w:p>
    <w:p>
      <w:pPr>
        <w:pStyle w:val="Style33"/>
        <w:keepNext/>
        <w:keepLines/>
        <w:widowControl w:val="0"/>
        <w:shd w:val="clear" w:color="auto" w:fill="auto"/>
        <w:tabs>
          <w:tab w:pos="378" w:val="left"/>
        </w:tabs>
        <w:bidi w:val="0"/>
        <w:spacing w:before="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bookmarkEnd w:id="2107"/>
      <w:r>
        <w:rPr>
          <w:color w:val="000000"/>
          <w:spacing w:val="0"/>
          <w:w w:val="100"/>
          <w:position w:val="0"/>
        </w:rPr>
        <w:t>、</w:t>
        <w:tab/>
        <w:t>或有事项</w:t>
      </w:r>
      <w:bookmarkEnd w:id="2105"/>
      <w:bookmarkEnd w:id="2106"/>
      <w:bookmarkEnd w:id="2108"/>
    </w:p>
    <w:p>
      <w:pPr>
        <w:pStyle w:val="Style33"/>
        <w:keepNext/>
        <w:keepLines/>
        <w:widowControl w:val="0"/>
        <w:shd w:val="clear" w:color="auto" w:fill="auto"/>
        <w:tabs>
          <w:tab w:pos="493" w:val="left"/>
        </w:tabs>
        <w:bidi w:val="0"/>
        <w:spacing w:before="0" w:line="240" w:lineRule="auto"/>
        <w:ind w:left="0" w:right="0" w:firstLine="0"/>
        <w:jc w:val="left"/>
      </w:pPr>
      <w:bookmarkStart w:id="2105" w:name="bookmark2105"/>
      <w:bookmarkStart w:id="2106" w:name="bookmark2106"/>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05"/>
      <w:bookmarkEnd w:id="2106"/>
      <w:bookmarkEnd w:id="2110"/>
    </w:p>
    <w:p>
      <w:pPr>
        <w:pStyle w:val="Style33"/>
        <w:keepNext/>
        <w:keepLines/>
        <w:widowControl w:val="0"/>
        <w:shd w:val="clear" w:color="auto" w:fill="auto"/>
        <w:tabs>
          <w:tab w:pos="493" w:val="left"/>
        </w:tabs>
        <w:bidi w:val="0"/>
        <w:spacing w:before="0" w:line="240" w:lineRule="auto"/>
        <w:ind w:left="0" w:right="0" w:firstLine="0"/>
        <w:jc w:val="left"/>
      </w:pPr>
      <w:bookmarkStart w:id="2105" w:name="bookmark2105"/>
      <w:bookmarkStart w:id="2106" w:name="bookmark2106"/>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05"/>
      <w:bookmarkEnd w:id="2106"/>
      <w:bookmarkEnd w:id="2112"/>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w:t>
        <w:tab/>
        <w:t>其他</w:t>
      </w:r>
      <w:bookmarkEnd w:id="2113"/>
      <w:bookmarkEnd w:id="2114"/>
      <w:bookmarkEnd w:id="2116"/>
    </w:p>
    <w:p>
      <w:pPr>
        <w:pStyle w:val="Style27"/>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19" w:name="bookmark2119"/>
      <w:r>
        <w:rPr>
          <w:color w:val="000000"/>
          <w:spacing w:val="0"/>
          <w:w w:val="100"/>
          <w:position w:val="0"/>
          <w:sz w:val="24"/>
          <w:szCs w:val="24"/>
        </w:rPr>
        <w:t>十五、资产负债表日后事项</w:t>
      </w:r>
      <w:bookmarkEnd w:id="2117"/>
      <w:bookmarkEnd w:id="2118"/>
      <w:bookmarkEnd w:id="2119"/>
    </w:p>
    <w:p>
      <w:pPr>
        <w:pStyle w:val="Style33"/>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0"/>
      <w:bookmarkEnd w:id="2121"/>
      <w:bookmarkEnd w:id="2122"/>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23" w:name="bookmark2123"/>
      <w:r>
        <w:rPr>
          <w:rFonts w:ascii="Times New Roman" w:eastAsia="Times New Roman" w:hAnsi="Times New Roman" w:cs="Times New Roman"/>
          <w:b/>
          <w:bCs/>
          <w:color w:val="000000"/>
          <w:spacing w:val="0"/>
          <w:w w:val="100"/>
          <w:position w:val="0"/>
        </w:rPr>
        <w:t>2</w:t>
      </w:r>
      <w:bookmarkEnd w:id="2123"/>
      <w:r>
        <w:rPr>
          <w:b/>
          <w:bCs/>
          <w:color w:val="000000"/>
          <w:spacing w:val="0"/>
          <w:w w:val="100"/>
          <w:position w:val="0"/>
        </w:rPr>
        <w:t>、</w:t>
        <w:tab/>
        <w:t>利润分配情况</w:t>
      </w:r>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24" w:name="bookmark2124"/>
      <w:r>
        <w:rPr>
          <w:rFonts w:ascii="Times New Roman" w:eastAsia="Times New Roman" w:hAnsi="Times New Roman" w:cs="Times New Roman"/>
          <w:b/>
          <w:bCs/>
          <w:color w:val="000000"/>
          <w:spacing w:val="0"/>
          <w:w w:val="100"/>
          <w:position w:val="0"/>
        </w:rPr>
        <w:t>3</w:t>
      </w:r>
      <w:bookmarkEnd w:id="2124"/>
      <w:r>
        <w:rPr>
          <w:b/>
          <w:bCs/>
          <w:color w:val="000000"/>
          <w:spacing w:val="0"/>
          <w:w w:val="100"/>
          <w:position w:val="0"/>
        </w:rPr>
        <w:t>、</w:t>
        <w:tab/>
        <w:t>销售退回</w:t>
      </w: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25" w:name="bookmark2125"/>
      <w:r>
        <w:rPr>
          <w:rFonts w:ascii="Times New Roman" w:eastAsia="Times New Roman" w:hAnsi="Times New Roman" w:cs="Times New Roman"/>
          <w:b/>
          <w:bCs/>
          <w:color w:val="000000"/>
          <w:spacing w:val="0"/>
          <w:w w:val="100"/>
          <w:position w:val="0"/>
        </w:rPr>
        <w:t>4</w:t>
      </w:r>
      <w:bookmarkEnd w:id="2125"/>
      <w:r>
        <w:rPr>
          <w:b/>
          <w:bCs/>
          <w:color w:val="000000"/>
          <w:spacing w:val="0"/>
          <w:w w:val="100"/>
          <w:position w:val="0"/>
        </w:rPr>
        <w:t>、</w:t>
        <w:tab/>
        <w:t>其他资产负债表日后事项说明</w:t>
      </w:r>
    </w:p>
    <w:p>
      <w:pPr>
        <w:pStyle w:val="Style27"/>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color w:val="000000"/>
          <w:spacing w:val="0"/>
          <w:w w:val="100"/>
          <w:position w:val="0"/>
          <w:sz w:val="24"/>
          <w:szCs w:val="24"/>
        </w:rPr>
        <w:t>十六、其他重要事项</w:t>
      </w:r>
      <w:bookmarkEnd w:id="2126"/>
      <w:bookmarkEnd w:id="2127"/>
      <w:bookmarkEnd w:id="2128"/>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4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29" w:name="bookmark2129"/>
      <w:r>
        <w:rPr>
          <w:rFonts w:ascii="Times New Roman" w:eastAsia="Times New Roman" w:hAnsi="Times New Roman" w:cs="Times New Roman"/>
          <w:b/>
          <w:bCs/>
          <w:color w:val="000000"/>
          <w:spacing w:val="0"/>
          <w:w w:val="100"/>
          <w:position w:val="0"/>
        </w:rPr>
        <w:t>2</w:t>
      </w:r>
      <w:bookmarkEnd w:id="2129"/>
      <w:r>
        <w:rPr>
          <w:b/>
          <w:bCs/>
          <w:color w:val="000000"/>
          <w:spacing w:val="0"/>
          <w:w w:val="100"/>
          <w:position w:val="0"/>
        </w:rPr>
        <w:t>、</w:t>
        <w:tab/>
        <w:t>债务重组</w:t>
      </w: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30" w:name="bookmark2130"/>
      <w:r>
        <w:rPr>
          <w:rFonts w:ascii="Times New Roman" w:eastAsia="Times New Roman" w:hAnsi="Times New Roman" w:cs="Times New Roman"/>
          <w:b/>
          <w:bCs/>
          <w:color w:val="000000"/>
          <w:spacing w:val="0"/>
          <w:w w:val="100"/>
          <w:position w:val="0"/>
        </w:rPr>
        <w:t>3</w:t>
      </w:r>
      <w:bookmarkEnd w:id="2130"/>
      <w:r>
        <w:rPr>
          <w:b/>
          <w:bCs/>
          <w:color w:val="000000"/>
          <w:spacing w:val="0"/>
          <w:w w:val="100"/>
          <w:position w:val="0"/>
        </w:rPr>
        <w:t>、</w:t>
        <w:tab/>
        <w:t>资产置换</w:t>
      </w:r>
    </w:p>
    <w:p>
      <w:pPr>
        <w:pStyle w:val="Style42"/>
        <w:keepNext w:val="0"/>
        <w:keepLines w:val="0"/>
        <w:widowControl w:val="0"/>
        <w:shd w:val="clear" w:color="auto" w:fill="auto"/>
        <w:tabs>
          <w:tab w:pos="493" w:val="left"/>
        </w:tabs>
        <w:bidi w:val="0"/>
        <w:spacing w:before="0" w:after="360" w:line="240" w:lineRule="auto"/>
        <w:ind w:left="0" w:right="0" w:firstLine="0"/>
        <w:jc w:val="left"/>
      </w:pPr>
      <w:bookmarkStart w:id="2131" w:name="bookmark2131"/>
      <w:r>
        <w:rPr>
          <w:b/>
          <w:bCs/>
          <w:color w:val="000000"/>
          <w:spacing w:val="0"/>
          <w:w w:val="100"/>
          <w:position w:val="0"/>
        </w:rPr>
        <w:t>（</w:t>
      </w:r>
      <w:bookmarkEnd w:id="213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2"/>
        <w:keepNext w:val="0"/>
        <w:keepLines w:val="0"/>
        <w:widowControl w:val="0"/>
        <w:shd w:val="clear" w:color="auto" w:fill="auto"/>
        <w:tabs>
          <w:tab w:pos="493" w:val="left"/>
        </w:tabs>
        <w:bidi w:val="0"/>
        <w:spacing w:before="0" w:after="360" w:line="240" w:lineRule="auto"/>
        <w:ind w:left="0" w:right="0" w:firstLine="0"/>
        <w:jc w:val="left"/>
      </w:pPr>
      <w:bookmarkStart w:id="2132" w:name="bookmark2132"/>
      <w:r>
        <w:rPr>
          <w:b/>
          <w:bCs/>
          <w:color w:val="000000"/>
          <w:spacing w:val="0"/>
          <w:w w:val="100"/>
          <w:position w:val="0"/>
        </w:rPr>
        <w:t>（</w:t>
      </w:r>
      <w:bookmarkEnd w:id="213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33" w:name="bookmark2133"/>
      <w:r>
        <w:rPr>
          <w:rFonts w:ascii="Times New Roman" w:eastAsia="Times New Roman" w:hAnsi="Times New Roman" w:cs="Times New Roman"/>
          <w:b/>
          <w:bCs/>
          <w:color w:val="000000"/>
          <w:spacing w:val="0"/>
          <w:w w:val="100"/>
          <w:position w:val="0"/>
        </w:rPr>
        <w:t>4</w:t>
      </w:r>
      <w:bookmarkEnd w:id="2133"/>
      <w:r>
        <w:rPr>
          <w:b/>
          <w:bCs/>
          <w:color w:val="000000"/>
          <w:spacing w:val="0"/>
          <w:w w:val="100"/>
          <w:position w:val="0"/>
        </w:rPr>
        <w:t>、</w:t>
        <w:tab/>
        <w:t>年金计划</w:t>
      </w: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34" w:name="bookmark2134"/>
      <w:r>
        <w:rPr>
          <w:rFonts w:ascii="Times New Roman" w:eastAsia="Times New Roman" w:hAnsi="Times New Roman" w:cs="Times New Roman"/>
          <w:b/>
          <w:bCs/>
          <w:color w:val="000000"/>
          <w:spacing w:val="0"/>
          <w:w w:val="100"/>
          <w:position w:val="0"/>
        </w:rPr>
        <w:t>5</w:t>
      </w:r>
      <w:bookmarkEnd w:id="2134"/>
      <w:r>
        <w:rPr>
          <w:b/>
          <w:bCs/>
          <w:color w:val="000000"/>
          <w:spacing w:val="0"/>
          <w:w w:val="100"/>
          <w:position w:val="0"/>
        </w:rPr>
        <w:t>、</w:t>
        <w:tab/>
        <w:t>终止经营</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60" w:line="240" w:lineRule="auto"/>
        <w:ind w:left="0" w:right="0" w:firstLine="0"/>
        <w:jc w:val="left"/>
      </w:pPr>
      <w:bookmarkStart w:id="2135" w:name="bookmark2135"/>
      <w:r>
        <w:rPr>
          <w:rFonts w:ascii="Times New Roman" w:eastAsia="Times New Roman" w:hAnsi="Times New Roman" w:cs="Times New Roman"/>
          <w:b/>
          <w:bCs/>
          <w:color w:val="000000"/>
          <w:spacing w:val="0"/>
          <w:w w:val="100"/>
          <w:position w:val="0"/>
        </w:rPr>
        <w:t>6</w:t>
      </w:r>
      <w:bookmarkEnd w:id="2135"/>
      <w:r>
        <w:rPr>
          <w:b/>
          <w:bCs/>
          <w:color w:val="000000"/>
          <w:spacing w:val="0"/>
          <w:w w:val="100"/>
          <w:position w:val="0"/>
        </w:rPr>
        <w:t>、分部信息</w:t>
      </w:r>
    </w:p>
    <w:p>
      <w:pPr>
        <w:pStyle w:val="Style42"/>
        <w:keepNext w:val="0"/>
        <w:keepLines w:val="0"/>
        <w:widowControl w:val="0"/>
        <w:shd w:val="clear" w:color="auto" w:fill="auto"/>
        <w:tabs>
          <w:tab w:pos="493" w:val="left"/>
        </w:tabs>
        <w:bidi w:val="0"/>
        <w:spacing w:before="0" w:after="260" w:line="240" w:lineRule="auto"/>
        <w:ind w:left="0" w:right="0" w:firstLine="0"/>
        <w:jc w:val="left"/>
      </w:pPr>
      <w:bookmarkStart w:id="2136" w:name="bookmark2136"/>
      <w:r>
        <w:rPr>
          <w:b/>
          <w:bCs/>
          <w:color w:val="000000"/>
          <w:spacing w:val="0"/>
          <w:w w:val="100"/>
          <w:position w:val="0"/>
        </w:rPr>
        <w:t>（</w:t>
      </w:r>
      <w:bookmarkEnd w:id="213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本公司以内部组织结构、管理要求、内部报告制度为依据确定经营分部。本公司的经营分部是指同时满足下列条件的组 成部分：</w:t>
      </w:r>
    </w:p>
    <w:p>
      <w:pPr>
        <w:pStyle w:val="Style22"/>
        <w:keepNext w:val="0"/>
        <w:keepLines w:val="0"/>
        <w:widowControl w:val="0"/>
        <w:shd w:val="clear" w:color="auto" w:fill="auto"/>
        <w:tabs>
          <w:tab w:pos="825" w:val="left"/>
        </w:tabs>
        <w:bidi w:val="0"/>
        <w:spacing w:before="0" w:after="0" w:line="315" w:lineRule="exact"/>
        <w:ind w:left="0" w:right="0"/>
        <w:jc w:val="both"/>
      </w:pPr>
      <w:bookmarkStart w:id="2137" w:name="bookmark2137"/>
      <w:r>
        <w:rPr>
          <w:color w:val="000000"/>
          <w:spacing w:val="0"/>
          <w:w w:val="100"/>
          <w:position w:val="0"/>
        </w:rPr>
        <w:t>（</w:t>
      </w:r>
      <w:bookmarkEnd w:id="2137"/>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22"/>
        <w:keepNext w:val="0"/>
        <w:keepLines w:val="0"/>
        <w:widowControl w:val="0"/>
        <w:shd w:val="clear" w:color="auto" w:fill="auto"/>
        <w:tabs>
          <w:tab w:pos="825" w:val="left"/>
        </w:tabs>
        <w:bidi w:val="0"/>
        <w:spacing w:before="0" w:after="0" w:line="315" w:lineRule="exact"/>
        <w:ind w:left="0" w:right="0"/>
        <w:jc w:val="both"/>
      </w:pPr>
      <w:bookmarkStart w:id="2138" w:name="bookmark2138"/>
      <w:r>
        <w:rPr>
          <w:color w:val="000000"/>
          <w:spacing w:val="0"/>
          <w:w w:val="100"/>
          <w:position w:val="0"/>
        </w:rPr>
        <w:t>（</w:t>
      </w:r>
      <w:bookmarkEnd w:id="2138"/>
      <w:r>
        <w:rPr>
          <w:rFonts w:ascii="Times New Roman" w:eastAsia="Times New Roman" w:hAnsi="Times New Roman" w:cs="Times New Roman"/>
          <w:color w:val="000000"/>
          <w:spacing w:val="0"/>
          <w:w w:val="100"/>
          <w:position w:val="0"/>
        </w:rPr>
        <w:t>2</w:t>
      </w:r>
      <w:r>
        <w:rPr>
          <w:color w:val="000000"/>
          <w:spacing w:val="0"/>
          <w:w w:val="100"/>
          <w:position w:val="0"/>
        </w:rPr>
        <w:t>）</w:t>
        <w:tab/>
        <w:t>管理层能够定期评价该组成部分的经营成果，以决定向其配置资源、评价其业绩；</w:t>
      </w:r>
    </w:p>
    <w:p>
      <w:pPr>
        <w:pStyle w:val="Style22"/>
        <w:keepNext w:val="0"/>
        <w:keepLines w:val="0"/>
        <w:widowControl w:val="0"/>
        <w:shd w:val="clear" w:color="auto" w:fill="auto"/>
        <w:tabs>
          <w:tab w:pos="825" w:val="left"/>
        </w:tabs>
        <w:bidi w:val="0"/>
        <w:spacing w:before="0" w:after="0" w:line="315" w:lineRule="exact"/>
        <w:ind w:left="0" w:right="0"/>
        <w:jc w:val="both"/>
      </w:pPr>
      <w:bookmarkStart w:id="2139" w:name="bookmark2139"/>
      <w:r>
        <w:rPr>
          <w:color w:val="000000"/>
          <w:spacing w:val="0"/>
          <w:w w:val="100"/>
          <w:position w:val="0"/>
        </w:rPr>
        <w:t>（</w:t>
      </w:r>
      <w:bookmarkEnd w:id="2139"/>
      <w:r>
        <w:rPr>
          <w:rFonts w:ascii="Times New Roman" w:eastAsia="Times New Roman" w:hAnsi="Times New Roman" w:cs="Times New Roman"/>
          <w:color w:val="000000"/>
          <w:spacing w:val="0"/>
          <w:w w:val="100"/>
          <w:position w:val="0"/>
        </w:rPr>
        <w:t>3</w:t>
      </w:r>
      <w:r>
        <w:rPr>
          <w:color w:val="000000"/>
          <w:spacing w:val="0"/>
          <w:w w:val="100"/>
          <w:position w:val="0"/>
        </w:rPr>
        <w:t>）</w:t>
        <w:tab/>
        <w:t>能够取得该组成部分的财务状况、经营成果和现金流量等有关会计信息。</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本公司以经营分部为基础确定报告分部，满足下列条件之一的经营分部确定为报告分部：</w:t>
      </w:r>
    </w:p>
    <w:p>
      <w:pPr>
        <w:pStyle w:val="Style22"/>
        <w:keepNext w:val="0"/>
        <w:keepLines w:val="0"/>
        <w:widowControl w:val="0"/>
        <w:shd w:val="clear" w:color="auto" w:fill="auto"/>
        <w:tabs>
          <w:tab w:pos="825" w:val="left"/>
        </w:tabs>
        <w:bidi w:val="0"/>
        <w:spacing w:before="0" w:after="0" w:line="315" w:lineRule="exact"/>
        <w:ind w:left="0" w:right="0"/>
        <w:jc w:val="both"/>
      </w:pPr>
      <w:bookmarkStart w:id="2140" w:name="bookmark2140"/>
      <w:r>
        <w:rPr>
          <w:color w:val="000000"/>
          <w:spacing w:val="0"/>
          <w:w w:val="100"/>
          <w:position w:val="0"/>
        </w:rPr>
        <w:t>（</w:t>
      </w:r>
      <w:bookmarkEnd w:id="2140"/>
      <w:r>
        <w:rPr>
          <w:rFonts w:ascii="Times New Roman" w:eastAsia="Times New Roman" w:hAnsi="Times New Roman" w:cs="Times New Roman"/>
          <w:color w:val="000000"/>
          <w:spacing w:val="0"/>
          <w:w w:val="100"/>
          <w:position w:val="0"/>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2"/>
        <w:keepNext w:val="0"/>
        <w:keepLines w:val="0"/>
        <w:widowControl w:val="0"/>
        <w:shd w:val="clear" w:color="auto" w:fill="auto"/>
        <w:tabs>
          <w:tab w:pos="901" w:val="left"/>
        </w:tabs>
        <w:bidi w:val="0"/>
        <w:spacing w:before="0" w:after="0" w:line="315" w:lineRule="exact"/>
        <w:ind w:left="0" w:right="0"/>
        <w:jc w:val="both"/>
      </w:pPr>
      <w:bookmarkStart w:id="2141" w:name="bookmark2141"/>
      <w:r>
        <w:rPr>
          <w:color w:val="000000"/>
          <w:spacing w:val="0"/>
          <w:w w:val="100"/>
          <w:position w:val="0"/>
        </w:rPr>
        <w:t>（</w:t>
      </w:r>
      <w:bookmarkEnd w:id="2141"/>
      <w:r>
        <w:rPr>
          <w:rFonts w:ascii="Times New Roman" w:eastAsia="Times New Roman" w:hAnsi="Times New Roman" w:cs="Times New Roman"/>
          <w:color w:val="000000"/>
          <w:spacing w:val="0"/>
          <w:w w:val="100"/>
          <w:position w:val="0"/>
        </w:rPr>
        <w:t>2</w:t>
      </w:r>
      <w:r>
        <w:rPr>
          <w:color w:val="000000"/>
          <w:spacing w:val="0"/>
          <w:w w:val="100"/>
          <w:position w:val="0"/>
        </w:rPr>
        <w:t>）</w:t>
        <w:tab/>
        <w:t>该分部的分部利润（亏损）的绝对额，占所有盈利分部利润合计额或者所有亏损分部亏损合计额的绝对额两者中 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2"/>
        <w:keepNext w:val="0"/>
        <w:keepLines w:val="0"/>
        <w:widowControl w:val="0"/>
        <w:shd w:val="clear" w:color="auto" w:fill="auto"/>
        <w:bidi w:val="0"/>
        <w:spacing w:before="0" w:after="360" w:line="315" w:lineRule="exact"/>
        <w:ind w:left="0" w:right="0"/>
        <w:jc w:val="both"/>
      </w:pPr>
      <w:r>
        <w:rPr>
          <w:color w:val="000000"/>
          <w:spacing w:val="0"/>
          <w:w w:val="100"/>
          <w:position w:val="0"/>
        </w:rPr>
        <w:t>本公司的业务单一，主要为软件开发及相应的技术服务收入等。管理层将此业务视作为一个整体实施管理、评估经营成 果，因此，本财务报表不呈报分部信息。</w:t>
      </w:r>
    </w:p>
    <w:p>
      <w:pPr>
        <w:pStyle w:val="Style42"/>
        <w:keepNext w:val="0"/>
        <w:keepLines w:val="0"/>
        <w:widowControl w:val="0"/>
        <w:shd w:val="clear" w:color="auto" w:fill="auto"/>
        <w:tabs>
          <w:tab w:pos="493" w:val="left"/>
        </w:tabs>
        <w:bidi w:val="0"/>
        <w:spacing w:before="0" w:after="360" w:line="240" w:lineRule="auto"/>
        <w:ind w:left="0" w:right="0" w:firstLine="0"/>
        <w:jc w:val="left"/>
      </w:pPr>
      <w:bookmarkStart w:id="2142" w:name="bookmark2142"/>
      <w:r>
        <w:rPr>
          <w:b/>
          <w:bCs/>
          <w:color w:val="000000"/>
          <w:spacing w:val="0"/>
          <w:w w:val="100"/>
          <w:position w:val="0"/>
        </w:rPr>
        <w:t>（</w:t>
      </w:r>
      <w:bookmarkEnd w:id="214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val="0"/>
        <w:keepLines w:val="0"/>
        <w:widowControl w:val="0"/>
        <w:shd w:val="clear" w:color="auto" w:fill="auto"/>
        <w:tabs>
          <w:tab w:pos="493" w:val="left"/>
        </w:tabs>
        <w:bidi w:val="0"/>
        <w:spacing w:before="0" w:after="360" w:line="240" w:lineRule="auto"/>
        <w:ind w:left="0" w:right="0" w:firstLine="0"/>
        <w:jc w:val="left"/>
      </w:pPr>
      <w:bookmarkStart w:id="2143" w:name="bookmark2143"/>
      <w:r>
        <w:rPr>
          <w:b/>
          <w:bCs/>
          <w:color w:val="000000"/>
          <w:spacing w:val="0"/>
          <w:w w:val="100"/>
          <w:position w:val="0"/>
        </w:rPr>
        <w:t>（</w:t>
      </w:r>
      <w:bookmarkEnd w:id="214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42"/>
        <w:keepNext w:val="0"/>
        <w:keepLines w:val="0"/>
        <w:widowControl w:val="0"/>
        <w:shd w:val="clear" w:color="auto" w:fill="auto"/>
        <w:tabs>
          <w:tab w:pos="493" w:val="left"/>
        </w:tabs>
        <w:bidi w:val="0"/>
        <w:spacing w:before="0" w:after="360" w:line="240" w:lineRule="auto"/>
        <w:ind w:left="0" w:right="0" w:firstLine="0"/>
        <w:jc w:val="left"/>
      </w:pPr>
      <w:bookmarkStart w:id="2144" w:name="bookmark2144"/>
      <w:r>
        <w:rPr>
          <w:b/>
          <w:bCs/>
          <w:color w:val="000000"/>
          <w:spacing w:val="0"/>
          <w:w w:val="100"/>
          <w:position w:val="0"/>
        </w:rPr>
        <w:t>（</w:t>
      </w:r>
      <w:bookmarkEnd w:id="214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42"/>
        <w:keepNext w:val="0"/>
        <w:keepLines w:val="0"/>
        <w:widowControl w:val="0"/>
        <w:shd w:val="clear" w:color="auto" w:fill="auto"/>
        <w:tabs>
          <w:tab w:pos="373" w:val="left"/>
        </w:tabs>
        <w:bidi w:val="0"/>
        <w:spacing w:before="0" w:after="360" w:line="240" w:lineRule="auto"/>
        <w:ind w:left="0" w:right="0" w:firstLine="0"/>
        <w:jc w:val="left"/>
      </w:pPr>
      <w:bookmarkStart w:id="2145" w:name="bookmark2145"/>
      <w:r>
        <w:rPr>
          <w:rFonts w:ascii="Times New Roman" w:eastAsia="Times New Roman" w:hAnsi="Times New Roman" w:cs="Times New Roman"/>
          <w:b/>
          <w:bCs/>
          <w:color w:val="000000"/>
          <w:spacing w:val="0"/>
          <w:w w:val="100"/>
          <w:position w:val="0"/>
        </w:rPr>
        <w:t>7</w:t>
      </w:r>
      <w:bookmarkEnd w:id="2145"/>
      <w:r>
        <w:rPr>
          <w:b/>
          <w:bCs/>
          <w:color w:val="000000"/>
          <w:spacing w:val="0"/>
          <w:w w:val="100"/>
          <w:position w:val="0"/>
        </w:rPr>
        <w:t>、</w:t>
        <w:tab/>
        <w:t>其他对投资者决策有影响的重要交易和事项</w:t>
      </w:r>
    </w:p>
    <w:p>
      <w:pPr>
        <w:pStyle w:val="Style42"/>
        <w:keepNext w:val="0"/>
        <w:keepLines w:val="0"/>
        <w:widowControl w:val="0"/>
        <w:shd w:val="clear" w:color="auto" w:fill="auto"/>
        <w:tabs>
          <w:tab w:pos="378" w:val="left"/>
        </w:tabs>
        <w:bidi w:val="0"/>
        <w:spacing w:before="0" w:after="360" w:line="240" w:lineRule="auto"/>
        <w:ind w:left="0" w:right="0" w:firstLine="0"/>
        <w:jc w:val="left"/>
      </w:pPr>
      <w:bookmarkStart w:id="2146" w:name="bookmark2146"/>
      <w:r>
        <w:rPr>
          <w:rFonts w:ascii="Times New Roman" w:eastAsia="Times New Roman" w:hAnsi="Times New Roman" w:cs="Times New Roman"/>
          <w:b/>
          <w:bCs/>
          <w:color w:val="000000"/>
          <w:spacing w:val="0"/>
          <w:w w:val="100"/>
          <w:position w:val="0"/>
        </w:rPr>
        <w:t>8</w:t>
      </w:r>
      <w:bookmarkEnd w:id="2146"/>
      <w:r>
        <w:rPr>
          <w:b/>
          <w:bCs/>
          <w:color w:val="000000"/>
          <w:spacing w:val="0"/>
          <w:w w:val="100"/>
          <w:position w:val="0"/>
        </w:rPr>
        <w:t>、</w:t>
        <w:tab/>
        <w:t>其他</w:t>
      </w:r>
    </w:p>
    <w:p>
      <w:pPr>
        <w:pStyle w:val="Style27"/>
        <w:keepNext/>
        <w:keepLines/>
        <w:widowControl w:val="0"/>
        <w:shd w:val="clear" w:color="auto" w:fill="auto"/>
        <w:bidi w:val="0"/>
        <w:spacing w:before="0" w:line="240" w:lineRule="auto"/>
        <w:ind w:left="0" w:right="0" w:firstLine="0"/>
        <w:jc w:val="left"/>
      </w:pPr>
      <w:bookmarkStart w:id="2147" w:name="bookmark2147"/>
      <w:bookmarkStart w:id="2148" w:name="bookmark2148"/>
      <w:bookmarkStart w:id="2149" w:name="bookmark2149"/>
      <w:r>
        <w:rPr>
          <w:color w:val="000000"/>
          <w:spacing w:val="0"/>
          <w:w w:val="100"/>
          <w:position w:val="0"/>
          <w:sz w:val="24"/>
          <w:szCs w:val="24"/>
        </w:rPr>
        <w:t>十七、母公司财务报表主要项目注释</w:t>
      </w:r>
      <w:bookmarkEnd w:id="2147"/>
      <w:bookmarkEnd w:id="2148"/>
      <w:bookmarkEnd w:id="2149"/>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4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408,984,</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60,336,5</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348,648,4</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389,309,6</w:t>
            </w:r>
          </w:p>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64,041,55</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325,268,12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287,682,</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60,336,5</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227,346,2</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286,067,3</w:t>
            </w:r>
          </w:p>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64,041,55</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222,025,76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121,302,</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121,302,1</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103,242,3</w:t>
            </w:r>
          </w:p>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103,242,35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408,984,</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60,336,5</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348,648,4</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389,309,6</w:t>
            </w:r>
          </w:p>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81.30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64,041,55</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325,268,12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624,667.86</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205,403,241.99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18,671,154.70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40,311,208.54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12,629,501.64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33,916,818.26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20,984,335.46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8,051,510.04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8,051,510.04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287,682,778.83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60,336,501.84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按账龄组合计提预期信用损失的应收账款。</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106,084,104.16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5,250,168.69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9,967,917.06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121,302,189.91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按并表关联方组合计提预期信用损失的应收账款。</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r>
        <w:br w:type="page"/>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311,487,346.15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45,561,377.23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43,884,735.32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8,051,510.04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2,559,180.00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4,981,223.24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511,106.80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408,984,968.74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0"/>
      <w:bookmarkEnd w:id="2151"/>
      <w:bookmarkEnd w:id="2152"/>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64,041,557.34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624,667.86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4,430,706.28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100,982.92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60,336,501.84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64,041,557.34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624,667.86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4,430,706.28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100,982.92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60,336,501.84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53"/>
      <w:bookmarkEnd w:id="2154"/>
      <w:bookmarkEnd w:id="215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4,430,706.28</w:t>
            </w:r>
          </w:p>
        </w:tc>
      </w:tr>
    </w:tbl>
    <w:p>
      <w:pPr>
        <w:spacing w:lineRule="exact" w:line="1"/>
        <w:rPr>
          <w:sz w:val="2"/>
          <w:szCs w:val="2"/>
        </w:rPr>
      </w:pP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57"/>
      <w:bookmarkEnd w:id="2158"/>
      <w:bookmarkEnd w:id="216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84,170,261.92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22,027,537.60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8,643,600.00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785,703.24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719,928.00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6,322,563.50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574,721.02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129,083,963.02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61"/>
      <w:bookmarkEnd w:id="2162"/>
      <w:bookmarkEnd w:id="2164"/>
    </w:p>
    <w:p>
      <w:pPr>
        <w:pStyle w:val="Style33"/>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61"/>
      <w:bookmarkEnd w:id="2162"/>
      <w:bookmarkEnd w:id="216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7"/>
      <w:bookmarkEnd w:id="2168"/>
      <w:bookmarkEnd w:id="216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60,737,144.33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45,832,257.45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60,737,144.33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45,832,257.45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70" w:name="bookmark2170"/>
      <w:bookmarkStart w:id="2171" w:name="bookmark2171"/>
      <w:bookmarkStart w:id="2172" w:name="bookmark2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0"/>
      <w:bookmarkEnd w:id="2171"/>
      <w:bookmarkEnd w:id="2172"/>
    </w:p>
    <w:p>
      <w:pPr>
        <w:pStyle w:val="Style33"/>
        <w:keepNext/>
        <w:keepLines/>
        <w:widowControl w:val="0"/>
        <w:shd w:val="clear" w:color="auto" w:fill="auto"/>
        <w:bidi w:val="0"/>
        <w:spacing w:before="0" w:line="240" w:lineRule="auto"/>
        <w:ind w:left="0" w:right="0" w:firstLine="0"/>
        <w:jc w:val="left"/>
      </w:pPr>
      <w:bookmarkStart w:id="2170" w:name="bookmark2170"/>
      <w:bookmarkStart w:id="2171" w:name="bookmark2171"/>
      <w:bookmarkStart w:id="2173" w:name="bookmark2173"/>
      <w:bookmarkStart w:id="2174" w:name="bookmark2174"/>
      <w:r>
        <w:rPr>
          <w:rFonts w:ascii="Times New Roman" w:eastAsia="Times New Roman" w:hAnsi="Times New Roman" w:cs="Times New Roman"/>
          <w:color w:val="000000"/>
          <w:spacing w:val="0"/>
          <w:w w:val="100"/>
          <w:position w:val="0"/>
        </w:rPr>
        <w:t>1</w:t>
      </w:r>
      <w:bookmarkEnd w:id="2173"/>
      <w:r>
        <w:rPr>
          <w:color w:val="000000"/>
          <w:spacing w:val="0"/>
          <w:w w:val="100"/>
          <w:position w:val="0"/>
        </w:rPr>
        <w:t>）应收利息分类</w:t>
      </w:r>
      <w:bookmarkEnd w:id="2170"/>
      <w:bookmarkEnd w:id="2171"/>
      <w:bookmarkEnd w:id="21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keepLines/>
        <w:widowControl w:val="0"/>
        <w:shd w:val="clear" w:color="auto" w:fill="auto"/>
        <w:bidi w:val="0"/>
        <w:spacing w:before="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2</w:t>
      </w:r>
      <w:bookmarkEnd w:id="2177"/>
      <w:r>
        <w:rPr>
          <w:color w:val="000000"/>
          <w:spacing w:val="0"/>
          <w:w w:val="100"/>
          <w:position w:val="0"/>
        </w:rPr>
        <w:t>）重要逾期利息</w:t>
      </w:r>
      <w:bookmarkEnd w:id="2175"/>
      <w:bookmarkEnd w:id="2176"/>
      <w:bookmarkEnd w:id="2178"/>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3</w:t>
      </w:r>
      <w:bookmarkEnd w:id="2181"/>
      <w:r>
        <w:rPr>
          <w:color w:val="000000"/>
          <w:spacing w:val="0"/>
          <w:w w:val="100"/>
          <w:position w:val="0"/>
        </w:rPr>
        <w:t>）坏账准备计提情况</w:t>
      </w:r>
      <w:bookmarkEnd w:id="2179"/>
      <w:bookmarkEnd w:id="2180"/>
      <w:bookmarkEnd w:id="218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83"/>
      <w:bookmarkEnd w:id="2184"/>
      <w:bookmarkEnd w:id="2185"/>
    </w:p>
    <w:p>
      <w:pPr>
        <w:pStyle w:val="Style33"/>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6" w:name="bookmark218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83"/>
      <w:bookmarkEnd w:id="2184"/>
      <w:bookmarkEnd w:id="218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bookmarkEnd w:id="218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87"/>
      <w:bookmarkEnd w:id="2188"/>
      <w:bookmarkEnd w:id="219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3</w:t>
      </w:r>
      <w:bookmarkEnd w:id="2193"/>
      <w:r>
        <w:rPr>
          <w:color w:val="000000"/>
          <w:spacing w:val="0"/>
          <w:w w:val="100"/>
          <w:position w:val="0"/>
        </w:rPr>
        <w:t>）坏账准备计提情况</w:t>
      </w:r>
      <w:bookmarkEnd w:id="2191"/>
      <w:bookmarkEnd w:id="2192"/>
      <w:bookmarkEnd w:id="2194"/>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95"/>
      <w:bookmarkEnd w:id="2196"/>
      <w:bookmarkEnd w:id="2198"/>
    </w:p>
    <w:p>
      <w:pPr>
        <w:pStyle w:val="Style33"/>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9" w:name="bookmark219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95"/>
      <w:bookmarkEnd w:id="2196"/>
      <w:bookmarkEnd w:id="219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12,554,533.94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12,487,283.35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8,591,102.53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7,420,220.98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624,753.12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60,737,144.33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45,832,257.45</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0"/>
      <w:bookmarkEnd w:id="2201"/>
      <w:bookmarkEnd w:id="220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42,752,142.44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12,438,836.06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3,866,780.83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1,679,385.00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519,885.00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60,737,144.33</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3</w:t>
      </w:r>
      <w:bookmarkEnd w:id="2205"/>
      <w:r>
        <w:rPr>
          <w:color w:val="000000"/>
          <w:spacing w:val="0"/>
          <w:w w:val="100"/>
          <w:position w:val="0"/>
        </w:rPr>
        <w:t>）本期计提、收回或转回的坏账准备情况</w:t>
      </w:r>
      <w:bookmarkEnd w:id="2203"/>
      <w:bookmarkEnd w:id="2204"/>
      <w:bookmarkEnd w:id="2206"/>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2207"/>
      <w:bookmarkEnd w:id="2208"/>
      <w:bookmarkEnd w:id="220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其中重要的其他应收款核销情况：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7,380,701.25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46,880,701.25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6</w:t>
      </w:r>
      <w:bookmarkEnd w:id="2212"/>
      <w:r>
        <w:rPr>
          <w:color w:val="000000"/>
          <w:spacing w:val="0"/>
          <w:w w:val="100"/>
          <w:position w:val="0"/>
        </w:rPr>
        <w:t>）涉及政府补助的应收款项</w:t>
      </w:r>
      <w:bookmarkEnd w:id="2210"/>
      <w:bookmarkEnd w:id="2211"/>
      <w:bookmarkEnd w:id="221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3"/>
        <w:keepNext/>
        <w:keepLines/>
        <w:widowControl w:val="0"/>
        <w:shd w:val="clear" w:color="auto" w:fill="auto"/>
        <w:tabs>
          <w:tab w:pos="392" w:val="left"/>
        </w:tabs>
        <w:bidi w:val="0"/>
        <w:spacing w:before="0" w:line="240" w:lineRule="auto"/>
        <w:ind w:left="0" w:right="0" w:firstLine="0"/>
        <w:jc w:val="both"/>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7</w:t>
      </w:r>
      <w:bookmarkEnd w:id="2216"/>
      <w:r>
        <w:rPr>
          <w:color w:val="000000"/>
          <w:spacing w:val="0"/>
          <w:w w:val="100"/>
          <w:position w:val="0"/>
        </w:rPr>
        <w:t>）</w:t>
        <w:tab/>
        <w:t>因金融资产转移而终止确认的其他应收款</w:t>
      </w:r>
      <w:bookmarkEnd w:id="2214"/>
      <w:bookmarkEnd w:id="2215"/>
      <w:bookmarkEnd w:id="2217"/>
    </w:p>
    <w:p>
      <w:pPr>
        <w:pStyle w:val="Style33"/>
        <w:keepNext/>
        <w:keepLines/>
        <w:widowControl w:val="0"/>
        <w:shd w:val="clear" w:color="auto" w:fill="auto"/>
        <w:tabs>
          <w:tab w:pos="397" w:val="left"/>
        </w:tabs>
        <w:bidi w:val="0"/>
        <w:spacing w:before="0" w:line="240" w:lineRule="auto"/>
        <w:ind w:left="0" w:right="0" w:firstLine="0"/>
        <w:jc w:val="both"/>
      </w:pPr>
      <w:bookmarkStart w:id="2214" w:name="bookmark2214"/>
      <w:bookmarkStart w:id="2215" w:name="bookmark2215"/>
      <w:bookmarkStart w:id="2218" w:name="bookmark2218"/>
      <w:bookmarkStart w:id="2219" w:name="bookmark2219"/>
      <w:r>
        <w:rPr>
          <w:rFonts w:ascii="Times New Roman" w:eastAsia="Times New Roman" w:hAnsi="Times New Roman" w:cs="Times New Roman"/>
          <w:color w:val="000000"/>
          <w:spacing w:val="0"/>
          <w:w w:val="100"/>
          <w:position w:val="0"/>
        </w:rPr>
        <w:t>8</w:t>
      </w:r>
      <w:bookmarkEnd w:id="2218"/>
      <w:r>
        <w:rPr>
          <w:color w:val="000000"/>
          <w:spacing w:val="0"/>
          <w:w w:val="100"/>
          <w:position w:val="0"/>
        </w:rPr>
        <w:t>）</w:t>
        <w:tab/>
        <w:t>转移其他应收款且继续涉入形成的资产、负债金额</w:t>
      </w:r>
      <w:bookmarkEnd w:id="2214"/>
      <w:bookmarkEnd w:id="2215"/>
      <w:bookmarkEnd w:id="2219"/>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3</w:t>
      </w:r>
      <w:bookmarkEnd w:id="2222"/>
      <w:r>
        <w:rPr>
          <w:color w:val="000000"/>
          <w:spacing w:val="0"/>
          <w:w w:val="100"/>
          <w:position w:val="0"/>
        </w:rPr>
        <w:t>、长期股权投资</w:t>
      </w:r>
      <w:bookmarkEnd w:id="2220"/>
      <w:bookmarkEnd w:id="2221"/>
      <w:bookmarkEnd w:id="22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919,744,252.39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919,744,252.39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792,064,916.63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792,064,916.63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49,969,870.61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49,969,870.61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43,143,164.11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43,143,164.11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969,714,123.00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969,714,123.00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835,208,080.74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835,208,080.74</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2224" w:name="bookmark2224"/>
      <w:bookmarkStart w:id="2225" w:name="bookmark2225"/>
      <w:bookmarkStart w:id="2226" w:name="bookmark2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4"/>
      <w:bookmarkEnd w:id="2225"/>
      <w:bookmarkEnd w:id="22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黑龙江博思软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北京博思兴华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福建博思电子</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政务科技有限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12,912,839.88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12,912,839.88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福建兴博数政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北京博思致新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互联网科技有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福州同力科技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20,343,994.85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20,343,994.85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福建博思创业 园管理有限公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内蒙古金财信</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117,928,560.0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117,928,560.00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北京博思财信 网络科技有限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吉林省博思金 财科技有限公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56,089,712.96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56,089,712.96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广东瑞联科技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147,899,841.8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147,899,841.80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天津博思科技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青海博思网络</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北京博思广通</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福建博思数字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78,810,305.78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78,810,305.78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博思数采科技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221,697,500.0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221,697,500.00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福建博金信科 技发展有限公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福建博思智数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福建博思云易 智能科技有限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湖北博思软件 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福建博思智慧 信息产业科技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132,000,000.0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江西博思软件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深圳博思软件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博思数村科技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7,657,161.36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24,024,665.07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31,376,210.08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792,064,916.6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184,074,665.0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56,395,329.31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919,744,252.39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7"/>
      <w:bookmarkEnd w:id="2228"/>
      <w:bookmarkEnd w:id="22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福建博宇 信息科技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2,000,190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108,830.4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2,109,020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福建慧舟</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11,488,46</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11,543,79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泉州市搏 浪科技集 团有限公</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21,522,99</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1,189,847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21,889,40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北京恰空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2,784,003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-31,847.6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2,752,156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福建博耕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2,388,748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-1,580,70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2,488,041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宁德市融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鑫科技有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2,958,756</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-734,737.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2,164,019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福州汇票 钧安信息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-139,184. </w:t>
            </w: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610,815.1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京安科技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5,142,900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1,269,720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6,412,620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43,143,16</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7,572,900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137,250.6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49,969,87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43,143,16</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7,572,900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137,250.6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-823,444.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49,969,87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103"/>
        </w:numPr>
        <w:shd w:val="clear" w:color="auto" w:fill="auto"/>
        <w:bidi w:val="0"/>
        <w:spacing w:before="0" w:after="380" w:line="240" w:lineRule="auto"/>
        <w:ind w:left="0" w:right="0" w:firstLine="0"/>
        <w:jc w:val="left"/>
      </w:pPr>
      <w:bookmarkStart w:id="2230" w:name="bookmark2230"/>
      <w:bookmarkStart w:id="2231" w:name="bookmark2231"/>
      <w:bookmarkStart w:id="2232" w:name="bookmark2232"/>
      <w:bookmarkStart w:id="2233" w:name="bookmark2233"/>
      <w:bookmarkEnd w:id="2232"/>
      <w:r>
        <w:rPr>
          <w:color w:val="000000"/>
          <w:spacing w:val="0"/>
          <w:w w:val="100"/>
          <w:position w:val="0"/>
        </w:rPr>
        <w:t>其他说明</w:t>
      </w:r>
      <w:bookmarkEnd w:id="2230"/>
      <w:bookmarkEnd w:id="2231"/>
      <w:bookmarkEnd w:id="2233"/>
    </w:p>
    <w:p>
      <w:pPr>
        <w:pStyle w:val="Style33"/>
        <w:keepNext/>
        <w:keepLines/>
        <w:widowControl w:val="0"/>
        <w:shd w:val="clear" w:color="auto" w:fill="auto"/>
        <w:bidi w:val="0"/>
        <w:spacing w:before="0" w:after="380" w:line="240" w:lineRule="auto"/>
        <w:ind w:left="0" w:right="0" w:firstLine="0"/>
        <w:jc w:val="left"/>
      </w:pPr>
      <w:bookmarkStart w:id="2230" w:name="bookmark2230"/>
      <w:bookmarkStart w:id="2231" w:name="bookmark2231"/>
      <w:bookmarkStart w:id="2234" w:name="bookmark2234"/>
      <w:bookmarkStart w:id="2235" w:name="bookmark2235"/>
      <w:r>
        <w:rPr>
          <w:rFonts w:ascii="Times New Roman" w:eastAsia="Times New Roman" w:hAnsi="Times New Roman" w:cs="Times New Roman"/>
          <w:color w:val="000000"/>
          <w:spacing w:val="0"/>
          <w:w w:val="100"/>
          <w:position w:val="0"/>
        </w:rPr>
        <w:t>4</w:t>
      </w:r>
      <w:bookmarkEnd w:id="2234"/>
      <w:r>
        <w:rPr>
          <w:color w:val="000000"/>
          <w:spacing w:val="0"/>
          <w:w w:val="100"/>
          <w:position w:val="0"/>
        </w:rPr>
        <w:t>、营业收入和营业成本</w:t>
      </w:r>
      <w:bookmarkEnd w:id="2230"/>
      <w:bookmarkEnd w:id="2231"/>
      <w:bookmarkEnd w:id="223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3749"/>
        <w:gridCol w:w="384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753,833,612.50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327,776,499.31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552,107,577.50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238,457,910.53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7,462,674.47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1,178,224.92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5,383,894.78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1,129,748.42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761,296,286.97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328,954,724.23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557,491,472.28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239,587,658.95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11,372,640.33</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8,978,879.48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195,801.89</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2,197,958.96</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5</w:t>
      </w:r>
      <w:bookmarkEnd w:id="2238"/>
      <w:r>
        <w:rPr>
          <w:color w:val="000000"/>
          <w:spacing w:val="0"/>
          <w:w w:val="100"/>
          <w:position w:val="0"/>
        </w:rPr>
        <w:t>、投资收益</w:t>
      </w:r>
      <w:bookmarkEnd w:id="2236"/>
      <w:bookmarkEnd w:id="2237"/>
      <w:bookmarkEnd w:id="2239"/>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105,774,400.00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137,250.60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907,656.79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13,332,389.21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-1,272,084.40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业绩承诺补偿收益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181,176.38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处置结构性存款取得的投资收益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1,869,807.58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4,736,144.96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121,295,023.77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27,589,717.35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6</w:t>
      </w:r>
      <w:bookmarkEnd w:id="2242"/>
      <w:r>
        <w:rPr>
          <w:color w:val="000000"/>
          <w:spacing w:val="0"/>
          <w:w w:val="100"/>
          <w:position w:val="0"/>
        </w:rPr>
        <w:t>、其他</w:t>
      </w:r>
      <w:bookmarkEnd w:id="2240"/>
      <w:bookmarkEnd w:id="2241"/>
      <w:bookmarkEnd w:id="2243"/>
    </w:p>
    <w:p>
      <w:pPr>
        <w:pStyle w:val="Style27"/>
        <w:keepNext/>
        <w:keepLines/>
        <w:widowControl w:val="0"/>
        <w:shd w:val="clear" w:color="auto" w:fill="auto"/>
        <w:bidi w:val="0"/>
        <w:spacing w:before="0" w:line="240" w:lineRule="auto"/>
        <w:ind w:left="0" w:right="0" w:firstLine="0"/>
        <w:jc w:val="both"/>
      </w:pPr>
      <w:bookmarkStart w:id="2244" w:name="bookmark2244"/>
      <w:bookmarkStart w:id="2245" w:name="bookmark2245"/>
      <w:bookmarkStart w:id="2246" w:name="bookmark2246"/>
      <w:r>
        <w:rPr>
          <w:color w:val="000000"/>
          <w:spacing w:val="0"/>
          <w:w w:val="100"/>
          <w:position w:val="0"/>
          <w:sz w:val="24"/>
          <w:szCs w:val="24"/>
        </w:rPr>
        <w:t>十八、补充资料</w:t>
      </w:r>
      <w:bookmarkEnd w:id="2244"/>
      <w:bookmarkEnd w:id="2245"/>
      <w:bookmarkEnd w:id="2246"/>
    </w:p>
    <w:p>
      <w:pPr>
        <w:pStyle w:val="Style33"/>
        <w:keepNext/>
        <w:keepLines/>
        <w:widowControl w:val="0"/>
        <w:shd w:val="clear" w:color="auto" w:fill="auto"/>
        <w:bidi w:val="0"/>
        <w:spacing w:before="0" w:line="240" w:lineRule="auto"/>
        <w:ind w:left="0" w:right="0" w:firstLine="0"/>
        <w:jc w:val="both"/>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7"/>
      <w:bookmarkEnd w:id="2248"/>
      <w:bookmarkEnd w:id="2249"/>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-284,836.79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14,859,558.14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3,727,287.29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4,133,855.93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-856,335.49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取得控制权时股权按公允价值重新计量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产生的利得</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2,736,042.48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2,083,014.79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16,760,471.81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50"/>
      <w:bookmarkEnd w:id="2251"/>
      <w:bookmarkEnd w:id="225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0.5776</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0.5353</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31" w:lineRule="exact"/>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3</w:t>
      </w:r>
      <w:bookmarkEnd w:id="2255"/>
      <w:r>
        <w:rPr>
          <w:color w:val="000000"/>
          <w:spacing w:val="0"/>
          <w:w w:val="100"/>
          <w:position w:val="0"/>
        </w:rPr>
        <w:t>、</w:t>
        <w:tab/>
        <w:t>境内外会计准则下会计数据差异</w:t>
      </w:r>
      <w:bookmarkEnd w:id="2253"/>
      <w:bookmarkEnd w:id="2254"/>
      <w:bookmarkEnd w:id="2256"/>
    </w:p>
    <w:p>
      <w:pPr>
        <w:pStyle w:val="Style33"/>
        <w:keepNext/>
        <w:keepLines/>
        <w:widowControl w:val="0"/>
        <w:shd w:val="clear" w:color="auto" w:fill="auto"/>
        <w:tabs>
          <w:tab w:pos="493" w:val="left"/>
        </w:tabs>
        <w:bidi w:val="0"/>
        <w:spacing w:before="0" w:after="340" w:line="331" w:lineRule="exact"/>
        <w:ind w:left="0" w:right="0" w:firstLine="0"/>
        <w:jc w:val="left"/>
      </w:pPr>
      <w:bookmarkStart w:id="2253" w:name="bookmark2253"/>
      <w:bookmarkStart w:id="2254" w:name="bookmark2254"/>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53"/>
      <w:bookmarkEnd w:id="2254"/>
      <w:bookmarkEnd w:id="2258"/>
    </w:p>
    <w:p>
      <w:pPr>
        <w:pStyle w:val="Style2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40" w:line="331" w:lineRule="exact"/>
        <w:ind w:left="0" w:right="0" w:firstLine="0"/>
        <w:jc w:val="left"/>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59"/>
      <w:bookmarkEnd w:id="2260"/>
      <w:bookmarkEnd w:id="2262"/>
    </w:p>
    <w:p>
      <w:pPr>
        <w:pStyle w:val="Style2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80" w:line="331" w:lineRule="exact"/>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63"/>
      <w:bookmarkEnd w:id="2264"/>
      <w:bookmarkEnd w:id="2266"/>
    </w:p>
    <w:p>
      <w:pPr>
        <w:pStyle w:val="Style33"/>
        <w:keepNext/>
        <w:keepLines/>
        <w:widowControl w:val="0"/>
        <w:shd w:val="clear" w:color="auto" w:fill="auto"/>
        <w:tabs>
          <w:tab w:pos="378" w:val="left"/>
        </w:tabs>
        <w:bidi w:val="0"/>
        <w:spacing w:before="0" w:after="280" w:line="331" w:lineRule="exact"/>
        <w:ind w:left="0" w:right="0" w:firstLine="0"/>
        <w:jc w:val="both"/>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4</w:t>
      </w:r>
      <w:bookmarkEnd w:id="2269"/>
      <w:r>
        <w:rPr>
          <w:color w:val="000000"/>
          <w:spacing w:val="0"/>
          <w:w w:val="100"/>
          <w:position w:val="0"/>
        </w:rPr>
        <w:t>、</w:t>
        <w:tab/>
        <w:t>其他</w:t>
      </w:r>
      <w:bookmarkEnd w:id="2267"/>
      <w:bookmarkEnd w:id="2268"/>
      <w:bookmarkEnd w:id="2270"/>
    </w:p>
    <w:sectPr>
      <w:footnotePr>
        <w:pos w:val="pageBottom"/>
        <w:numFmt w:val="decimal"/>
        <w:numRestart w:val="continuous"/>
      </w:footnotePr>
      <w:pgSz w:w="11900" w:h="16840"/>
      <w:pgMar w:top="1383" w:right="1063" w:bottom="1417" w:left="10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SimHei" w:eastAsia="SimHei" w:hAnsi="SimHei" w:cs="SimHei"/>
      <w:b w:val="0"/>
      <w:bCs w:val="0"/>
      <w:i w:val="0"/>
      <w:iCs w:val="0"/>
      <w:smallCaps w:val="0"/>
      <w:strike w:val="0"/>
      <w:color w:val="2A1F1D"/>
      <w:sz w:val="22"/>
      <w:szCs w:val="22"/>
      <w:u w:val="none"/>
      <w:shd w:val="clear" w:color="auto" w:fill="auto"/>
    </w:rPr>
  </w:style>
  <w:style w:type="character" w:customStyle="1" w:styleId="CharStyle6">
    <w:name w:val="Body text (4)_"/>
    <w:basedOn w:val="DefaultParagraphFont"/>
    <w:link w:val="Style5"/>
    <w:rPr>
      <w:rFonts w:ascii="Arial" w:eastAsia="Arial" w:hAnsi="Arial" w:cs="Arial"/>
      <w:b/>
      <w:bCs/>
      <w:i w:val="0"/>
      <w:iCs w:val="0"/>
      <w:smallCaps w:val="0"/>
      <w:strike w:val="0"/>
      <w:color w:val="4B4240"/>
      <w:sz w:val="11"/>
      <w:szCs w:val="11"/>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5)_"/>
    <w:basedOn w:val="DefaultParagraphFont"/>
    <w:link w:val="Style15"/>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8">
    <w:name w:val="Body text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9)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6)"/>
    <w:basedOn w:val="Normal"/>
    <w:link w:val="CharStyle3"/>
    <w:pPr>
      <w:widowControl w:val="0"/>
      <w:shd w:val="clear" w:color="auto" w:fill="auto"/>
      <w:jc w:val="center"/>
    </w:pPr>
    <w:rPr>
      <w:rFonts w:ascii="SimHei" w:eastAsia="SimHei" w:hAnsi="SimHei" w:cs="SimHei"/>
      <w:b w:val="0"/>
      <w:bCs w:val="0"/>
      <w:i w:val="0"/>
      <w:iCs w:val="0"/>
      <w:smallCaps w:val="0"/>
      <w:strike w:val="0"/>
      <w:color w:val="2A1F1D"/>
      <w:sz w:val="22"/>
      <w:szCs w:val="22"/>
      <w:u w:val="none"/>
      <w:shd w:val="clear" w:color="auto" w:fill="auto"/>
    </w:rPr>
  </w:style>
  <w:style w:type="paragraph" w:customStyle="1" w:styleId="Style5">
    <w:name w:val="Body text (4)"/>
    <w:basedOn w:val="Normal"/>
    <w:link w:val="CharStyle6"/>
    <w:pPr>
      <w:widowControl w:val="0"/>
      <w:shd w:val="clear" w:color="auto" w:fill="auto"/>
      <w:spacing w:after="480"/>
      <w:jc w:val="center"/>
    </w:pPr>
    <w:rPr>
      <w:rFonts w:ascii="Arial" w:eastAsia="Arial" w:hAnsi="Arial" w:cs="Arial"/>
      <w:b/>
      <w:bCs/>
      <w:i w:val="0"/>
      <w:iCs w:val="0"/>
      <w:smallCaps w:val="0"/>
      <w:strike w:val="0"/>
      <w:color w:val="4B4240"/>
      <w:sz w:val="11"/>
      <w:szCs w:val="11"/>
      <w:u w:val="none"/>
      <w:shd w:val="clear" w:color="auto" w:fill="auto"/>
    </w:rPr>
  </w:style>
  <w:style w:type="paragraph" w:customStyle="1" w:styleId="Style10">
    <w:name w:val="Body text (3)"/>
    <w:basedOn w:val="Normal"/>
    <w:link w:val="CharStyle11"/>
    <w:pPr>
      <w:widowControl w:val="0"/>
      <w:shd w:val="clear" w:color="auto" w:fill="auto"/>
      <w:spacing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Heading #1"/>
    <w:basedOn w:val="Normal"/>
    <w:link w:val="CharStyle13"/>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5)"/>
    <w:basedOn w:val="Normal"/>
    <w:link w:val="CharStyle16"/>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7">
    <w:name w:val="Body text (2)"/>
    <w:basedOn w:val="Normal"/>
    <w:link w:val="CharStyle18"/>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Table of contents"/>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22">
    <w:name w:val="Body text"/>
    <w:basedOn w:val="Normal"/>
    <w:link w:val="CharStyle23"/>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Other"/>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Heading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9)"/>
    <w:basedOn w:val="Normal"/>
    <w:link w:val="CharStyle43"/>
    <w:pPr>
      <w:widowControl w:val="0"/>
      <w:shd w:val="clear" w:color="auto" w:fill="auto"/>
      <w:spacing w:after="280" w:line="312" w:lineRule="exact"/>
      <w:ind w:firstLine="40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福建博思软件股份有限公司2021年年度报告全文</dc:title>
  <dc:subject/>
  <dc:creator>福建博思软件股份有限公司</dc:creator>
  <cp:keywords/>
</cp:coreProperties>
</file>