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Default Extension="png" ContentType="image/png"/>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group style="position:absolute;margin-left:55.200001pt;margin-top:49.079983pt;width:485pt;height:.1pt;mso-position-horizontal-relative:page;mso-position-vertical-relative:page;z-index:0" coordorigin="1104,982" coordsize="9700,2">
            <v:shape style="position:absolute;left:1104;top:982;width:9700;height:2" coordorigin="1104,982" coordsize="9700,0" path="m1104,982l10804,982e" filled="false" stroked="true" strokeweight=".72pt" strokecolor="#000000">
              <v:path arrowok="t"/>
            </v:shape>
            <w10:wrap type="none"/>
          </v:group>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16"/>
          <w:szCs w:val="16"/>
        </w:rPr>
      </w:pPr>
    </w:p>
    <w:p>
      <w:pPr>
        <w:spacing w:line="660" w:lineRule="exact"/>
        <w:ind w:left="3862"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2"/>
          <w:sz w:val="20"/>
          <w:szCs w:val="20"/>
        </w:rPr>
        <w:drawing>
          <wp:inline distT="0" distB="0" distL="0" distR="0">
            <wp:extent cx="1410334" cy="419100"/>
            <wp:effectExtent l="0" t="0" r="0" b="0"/>
            <wp:docPr id="1" name="image2.jpeg" descr=""/>
            <wp:cNvGraphicFramePr>
              <a:graphicFrameLocks noChangeAspect="1"/>
            </wp:cNvGraphicFramePr>
            <a:graphic>
              <a:graphicData uri="http://schemas.openxmlformats.org/drawingml/2006/picture">
                <pic:pic>
                  <pic:nvPicPr>
                    <pic:cNvPr id="2" name="image2.jpeg"/>
                    <pic:cNvPicPr/>
                  </pic:nvPicPr>
                  <pic:blipFill>
                    <a:blip r:embed="rId7" cstate="print"/>
                    <a:stretch>
                      <a:fillRect/>
                    </a:stretch>
                  </pic:blipFill>
                  <pic:spPr>
                    <a:xfrm>
                      <a:off x="0" y="0"/>
                      <a:ext cx="1410334" cy="419100"/>
                    </a:xfrm>
                    <a:prstGeom prst="rect">
                      <a:avLst/>
                    </a:prstGeom>
                  </pic:spPr>
                </pic:pic>
              </a:graphicData>
            </a:graphic>
          </wp:inline>
        </w:drawing>
      </w:r>
      <w:r>
        <w:rPr>
          <w:rFonts w:ascii="Times New Roman" w:hAnsi="Times New Roman" w:cs="Times New Roman" w:eastAsia="Times New Roman" w:hint="default"/>
          <w:position w:val="-12"/>
          <w:sz w:val="20"/>
          <w:szCs w:val="20"/>
        </w:rPr>
      </w:r>
    </w:p>
    <w:p>
      <w:pPr>
        <w:spacing w:line="240" w:lineRule="auto" w:before="3"/>
        <w:rPr>
          <w:rFonts w:ascii="Times New Roman" w:hAnsi="Times New Roman" w:cs="Times New Roman" w:eastAsia="Times New Roman" w:hint="default"/>
          <w:sz w:val="13"/>
          <w:szCs w:val="13"/>
        </w:rPr>
      </w:pPr>
    </w:p>
    <w:p>
      <w:pPr>
        <w:spacing w:line="460" w:lineRule="exact" w:before="0"/>
        <w:ind w:left="495" w:right="1472" w:firstLine="0"/>
        <w:jc w:val="center"/>
        <w:rPr>
          <w:rFonts w:ascii="宋体" w:hAnsi="宋体" w:cs="宋体" w:eastAsia="宋体" w:hint="default"/>
          <w:sz w:val="36"/>
          <w:szCs w:val="36"/>
        </w:rPr>
      </w:pPr>
      <w:r>
        <w:rPr>
          <w:rFonts w:ascii="宋体" w:hAnsi="宋体" w:cs="宋体" w:eastAsia="宋体" w:hint="default"/>
          <w:b/>
          <w:bCs/>
          <w:sz w:val="36"/>
          <w:szCs w:val="36"/>
        </w:rPr>
        <w:t>深圳市优博讯科技股份有限公司</w:t>
      </w:r>
      <w:r>
        <w:rPr>
          <w:rFonts w:ascii="宋体" w:hAnsi="宋体" w:cs="宋体" w:eastAsia="宋体" w:hint="default"/>
          <w:sz w:val="36"/>
          <w:szCs w:val="36"/>
        </w:rPr>
      </w:r>
    </w:p>
    <w:p>
      <w:pPr>
        <w:spacing w:line="240" w:lineRule="auto" w:before="9"/>
        <w:rPr>
          <w:rFonts w:ascii="宋体" w:hAnsi="宋体" w:cs="宋体" w:eastAsia="宋体" w:hint="default"/>
          <w:b/>
          <w:bCs/>
          <w:sz w:val="30"/>
          <w:szCs w:val="30"/>
        </w:rPr>
      </w:pPr>
    </w:p>
    <w:p>
      <w:pPr>
        <w:spacing w:before="0"/>
        <w:ind w:left="495" w:right="1474"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2018</w:t>
      </w:r>
      <w:r>
        <w:rPr>
          <w:rFonts w:ascii="Times New Roman" w:hAnsi="Times New Roman" w:cs="Times New Roman" w:eastAsia="Times New Roman" w:hint="default"/>
          <w:b/>
          <w:bCs/>
          <w:spacing w:val="-4"/>
          <w:sz w:val="32"/>
          <w:szCs w:val="32"/>
        </w:rPr>
        <w:t> </w:t>
      </w:r>
      <w:r>
        <w:rPr>
          <w:rFonts w:ascii="宋体" w:hAnsi="宋体" w:cs="宋体" w:eastAsia="宋体" w:hint="default"/>
          <w:b/>
          <w:bCs/>
          <w:sz w:val="32"/>
          <w:szCs w:val="32"/>
        </w:rPr>
        <w:t>年年度报告</w:t>
      </w:r>
      <w:r>
        <w:rPr>
          <w:rFonts w:ascii="宋体" w:hAnsi="宋体" w:cs="宋体" w:eastAsia="宋体" w:hint="default"/>
          <w:sz w:val="32"/>
          <w:szCs w:val="32"/>
        </w:rPr>
      </w:r>
    </w:p>
    <w:p>
      <w:pPr>
        <w:spacing w:line="240" w:lineRule="auto" w:before="6"/>
        <w:rPr>
          <w:rFonts w:ascii="宋体" w:hAnsi="宋体" w:cs="宋体" w:eastAsia="宋体" w:hint="default"/>
          <w:b/>
          <w:bCs/>
          <w:sz w:val="32"/>
          <w:szCs w:val="32"/>
        </w:rPr>
      </w:pPr>
    </w:p>
    <w:p>
      <w:pPr>
        <w:spacing w:before="0"/>
        <w:ind w:left="495" w:right="1471" w:firstLine="0"/>
        <w:jc w:val="center"/>
        <w:rPr>
          <w:rFonts w:ascii="Times New Roman" w:hAnsi="Times New Roman" w:cs="Times New Roman" w:eastAsia="Times New Roman" w:hint="default"/>
          <w:sz w:val="22"/>
          <w:szCs w:val="22"/>
        </w:rPr>
      </w:pPr>
      <w:r>
        <w:rPr>
          <w:rFonts w:ascii="Times New Roman"/>
          <w:b/>
          <w:sz w:val="22"/>
        </w:rPr>
        <w:t>2019-030</w:t>
      </w:r>
      <w:r>
        <w:rPr>
          <w:rFonts w:ascii="Times New Roman"/>
          <w:sz w:val="22"/>
        </w:rPr>
      </w: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line="240" w:lineRule="auto" w:before="0"/>
        <w:rPr>
          <w:rFonts w:ascii="Times New Roman" w:hAnsi="Times New Roman" w:cs="Times New Roman" w:eastAsia="Times New Roman" w:hint="default"/>
          <w:b/>
          <w:bCs/>
          <w:sz w:val="22"/>
          <w:szCs w:val="22"/>
        </w:rPr>
      </w:pPr>
    </w:p>
    <w:p>
      <w:pPr>
        <w:spacing w:before="129"/>
        <w:ind w:left="495" w:right="1471"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2019</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w:t>
      </w:r>
      <w:r>
        <w:rPr>
          <w:rFonts w:ascii="宋体" w:hAnsi="宋体" w:cs="宋体" w:eastAsia="宋体" w:hint="default"/>
          <w:b/>
          <w:bCs/>
          <w:spacing w:val="-82"/>
          <w:sz w:val="32"/>
          <w:szCs w:val="32"/>
        </w:rPr>
        <w:t> </w:t>
      </w:r>
      <w:r>
        <w:rPr>
          <w:rFonts w:ascii="Times New Roman" w:hAnsi="Times New Roman" w:cs="Times New Roman" w:eastAsia="Times New Roman" w:hint="default"/>
          <w:b/>
          <w:bCs/>
          <w:sz w:val="32"/>
          <w:szCs w:val="32"/>
        </w:rPr>
        <w:t>03</w:t>
      </w:r>
      <w:r>
        <w:rPr>
          <w:rFonts w:ascii="Times New Roman" w:hAnsi="Times New Roman" w:cs="Times New Roman" w:eastAsia="Times New Roman" w:hint="default"/>
          <w:b/>
          <w:bCs/>
          <w:spacing w:val="-2"/>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747" w:footer="979" w:top="1060" w:bottom="1160" w:left="980" w:right="0"/>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8"/>
          <w:szCs w:val="18"/>
        </w:rPr>
      </w:pPr>
    </w:p>
    <w:p>
      <w:pPr>
        <w:pStyle w:val="Heading1"/>
        <w:spacing w:line="240" w:lineRule="auto"/>
        <w:ind w:left="2805" w:right="1134"/>
        <w:jc w:val="left"/>
        <w:rPr>
          <w:b w:val="0"/>
          <w:bCs w:val="0"/>
        </w:rPr>
      </w:pPr>
      <w:bookmarkStart w:name="第一节 重要提示、目录和释义" w:id="1"/>
      <w:bookmarkEnd w:id="1"/>
      <w:r>
        <w:rPr>
          <w:b w:val="0"/>
          <w:bCs w:val="0"/>
        </w:rPr>
      </w:r>
      <w:bookmarkStart w:name="_bookmark0" w:id="2"/>
      <w:bookmarkEnd w:id="2"/>
      <w:r>
        <w:rPr>
          <w:b w:val="0"/>
          <w:bCs w:val="0"/>
        </w:rPr>
      </w:r>
      <w:r>
        <w:rPr/>
        <w:t>第一节</w:t>
      </w:r>
      <w:r>
        <w:rPr>
          <w:spacing w:val="-11"/>
        </w:rPr>
        <w:t> </w:t>
      </w:r>
      <w:r>
        <w:rPr/>
        <w:t>重要提示、目录和释义</w:t>
      </w:r>
      <w:r>
        <w:rPr>
          <w:b w:val="0"/>
          <w:bCs w:val="0"/>
        </w:rPr>
      </w:r>
    </w:p>
    <w:p>
      <w:pPr>
        <w:spacing w:line="240" w:lineRule="auto" w:before="0"/>
        <w:rPr>
          <w:rFonts w:ascii="宋体" w:hAnsi="宋体" w:cs="宋体" w:eastAsia="宋体" w:hint="default"/>
          <w:b/>
          <w:bCs/>
          <w:sz w:val="32"/>
          <w:szCs w:val="32"/>
        </w:rPr>
      </w:pPr>
    </w:p>
    <w:p>
      <w:pPr>
        <w:spacing w:line="408" w:lineRule="auto" w:before="211"/>
        <w:ind w:left="154" w:right="1141" w:firstLine="562"/>
        <w:jc w:val="both"/>
        <w:rPr>
          <w:rFonts w:ascii="宋体" w:hAnsi="宋体" w:cs="宋体" w:eastAsia="宋体" w:hint="default"/>
          <w:sz w:val="28"/>
          <w:szCs w:val="28"/>
        </w:rPr>
      </w:pPr>
      <w:r>
        <w:rPr>
          <w:rFonts w:ascii="宋体" w:hAnsi="宋体" w:cs="宋体" w:eastAsia="宋体" w:hint="default"/>
          <w:b/>
          <w:bCs/>
          <w:spacing w:val="3"/>
          <w:w w:val="95"/>
          <w:sz w:val="28"/>
          <w:szCs w:val="28"/>
        </w:rPr>
        <w:t>公司董事会、监事会及董事、监事、高级管理人员保证年度报告内容的真</w:t>
      </w:r>
      <w:r>
        <w:rPr>
          <w:rFonts w:ascii="宋体" w:hAnsi="宋体" w:cs="宋体" w:eastAsia="宋体" w:hint="default"/>
          <w:b/>
          <w:bCs/>
          <w:w w:val="99"/>
          <w:sz w:val="28"/>
          <w:szCs w:val="28"/>
        </w:rPr>
        <w:t> </w:t>
      </w:r>
      <w:r>
        <w:rPr>
          <w:rFonts w:ascii="宋体" w:hAnsi="宋体" w:cs="宋体" w:eastAsia="宋体" w:hint="default"/>
          <w:b/>
          <w:bCs/>
          <w:spacing w:val="3"/>
          <w:w w:val="95"/>
          <w:sz w:val="28"/>
          <w:szCs w:val="28"/>
        </w:rPr>
        <w:t>实、准确、完整，不存在虚假记载、误导性陈述或重大遗漏，并承担个别和连</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z w:val="28"/>
          <w:szCs w:val="28"/>
        </w:rPr>
        <w:t>带的法律责任。</w:t>
      </w:r>
      <w:r>
        <w:rPr>
          <w:rFonts w:ascii="宋体" w:hAnsi="宋体" w:cs="宋体" w:eastAsia="宋体" w:hint="default"/>
          <w:sz w:val="28"/>
          <w:szCs w:val="28"/>
        </w:rPr>
      </w:r>
    </w:p>
    <w:p>
      <w:pPr>
        <w:spacing w:line="386" w:lineRule="auto" w:before="161"/>
        <w:ind w:left="154" w:right="1134" w:firstLine="562"/>
        <w:jc w:val="left"/>
        <w:rPr>
          <w:rFonts w:ascii="宋体" w:hAnsi="宋体" w:cs="宋体" w:eastAsia="宋体" w:hint="default"/>
          <w:sz w:val="28"/>
          <w:szCs w:val="28"/>
        </w:rPr>
      </w:pPr>
      <w:r>
        <w:rPr>
          <w:rFonts w:ascii="宋体" w:hAnsi="宋体" w:cs="宋体" w:eastAsia="宋体" w:hint="default"/>
          <w:b/>
          <w:bCs/>
          <w:sz w:val="28"/>
          <w:szCs w:val="28"/>
        </w:rPr>
        <w:t>公司负责人</w:t>
      </w:r>
      <w:r>
        <w:rPr>
          <w:rFonts w:ascii="宋体" w:hAnsi="宋体" w:cs="宋体" w:eastAsia="宋体" w:hint="default"/>
          <w:b/>
          <w:bCs/>
          <w:spacing w:val="-73"/>
          <w:sz w:val="28"/>
          <w:szCs w:val="28"/>
        </w:rPr>
        <w:t> </w:t>
      </w:r>
      <w:r>
        <w:rPr>
          <w:rFonts w:ascii="Times New Roman" w:hAnsi="Times New Roman" w:cs="Times New Roman" w:eastAsia="Times New Roman" w:hint="default"/>
          <w:b/>
          <w:bCs/>
          <w:sz w:val="28"/>
          <w:szCs w:val="28"/>
        </w:rPr>
        <w:t>GUO</w:t>
      </w:r>
      <w:r>
        <w:rPr>
          <w:rFonts w:ascii="Times New Roman" w:hAnsi="Times New Roman" w:cs="Times New Roman" w:eastAsia="Times New Roman" w:hint="default"/>
          <w:b/>
          <w:bCs/>
          <w:spacing w:val="-4"/>
          <w:sz w:val="28"/>
          <w:szCs w:val="28"/>
        </w:rPr>
        <w:t> </w:t>
      </w:r>
      <w:r>
        <w:rPr>
          <w:rFonts w:ascii="Times New Roman" w:hAnsi="Times New Roman" w:cs="Times New Roman" w:eastAsia="Times New Roman" w:hint="default"/>
          <w:b/>
          <w:bCs/>
          <w:sz w:val="28"/>
          <w:szCs w:val="28"/>
        </w:rPr>
        <w:t>SONG</w:t>
      </w:r>
      <w:r>
        <w:rPr>
          <w:rFonts w:ascii="宋体" w:hAnsi="宋体" w:cs="宋体" w:eastAsia="宋体" w:hint="default"/>
          <w:b/>
          <w:bCs/>
          <w:sz w:val="28"/>
          <w:szCs w:val="28"/>
        </w:rPr>
        <w:t>、主管会计工作负责人</w:t>
      </w:r>
      <w:r>
        <w:rPr>
          <w:rFonts w:ascii="宋体" w:hAnsi="宋体" w:cs="宋体" w:eastAsia="宋体" w:hint="default"/>
          <w:b/>
          <w:bCs/>
          <w:spacing w:val="-72"/>
          <w:sz w:val="28"/>
          <w:szCs w:val="28"/>
        </w:rPr>
        <w:t> </w:t>
      </w:r>
      <w:r>
        <w:rPr>
          <w:rFonts w:ascii="Times New Roman" w:hAnsi="Times New Roman" w:cs="Times New Roman" w:eastAsia="Times New Roman" w:hint="default"/>
          <w:b/>
          <w:bCs/>
          <w:sz w:val="28"/>
          <w:szCs w:val="28"/>
        </w:rPr>
        <w:t>LIU</w:t>
      </w:r>
      <w:r>
        <w:rPr>
          <w:rFonts w:ascii="Times New Roman" w:hAnsi="Times New Roman" w:cs="Times New Roman" w:eastAsia="Times New Roman" w:hint="default"/>
          <w:b/>
          <w:bCs/>
          <w:spacing w:val="-3"/>
          <w:sz w:val="28"/>
          <w:szCs w:val="28"/>
        </w:rPr>
        <w:t> </w:t>
      </w:r>
      <w:r>
        <w:rPr>
          <w:rFonts w:ascii="Times New Roman" w:hAnsi="Times New Roman" w:cs="Times New Roman" w:eastAsia="Times New Roman" w:hint="default"/>
          <w:b/>
          <w:bCs/>
          <w:sz w:val="28"/>
          <w:szCs w:val="28"/>
        </w:rPr>
        <w:t>DAN</w:t>
      </w:r>
      <w:r>
        <w:rPr>
          <w:rFonts w:ascii="Times New Roman" w:hAnsi="Times New Roman" w:cs="Times New Roman" w:eastAsia="Times New Roman" w:hint="default"/>
          <w:b/>
          <w:bCs/>
          <w:spacing w:val="-4"/>
          <w:sz w:val="28"/>
          <w:szCs w:val="28"/>
        </w:rPr>
        <w:t> </w:t>
      </w:r>
      <w:r>
        <w:rPr>
          <w:rFonts w:ascii="宋体" w:hAnsi="宋体" w:cs="宋体" w:eastAsia="宋体" w:hint="default"/>
          <w:b/>
          <w:bCs/>
          <w:sz w:val="28"/>
          <w:szCs w:val="28"/>
        </w:rPr>
        <w:t>及会计机构负责</w:t>
      </w:r>
      <w:r>
        <w:rPr>
          <w:rFonts w:ascii="宋体" w:hAnsi="宋体" w:cs="宋体" w:eastAsia="宋体" w:hint="default"/>
          <w:b/>
          <w:bCs/>
          <w:w w:val="99"/>
          <w:sz w:val="28"/>
          <w:szCs w:val="28"/>
        </w:rPr>
        <w:t> </w:t>
      </w:r>
      <w:r>
        <w:rPr>
          <w:rFonts w:ascii="宋体" w:hAnsi="宋体" w:cs="宋体" w:eastAsia="宋体" w:hint="default"/>
          <w:b/>
          <w:bCs/>
          <w:sz w:val="28"/>
          <w:szCs w:val="28"/>
        </w:rPr>
        <w:t>人</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会计主管人员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张晔声明：保证年度报告中财务报告的真实、准确、完整。</w:t>
      </w:r>
      <w:r>
        <w:rPr>
          <w:rFonts w:ascii="宋体" w:hAnsi="宋体" w:cs="宋体" w:eastAsia="宋体" w:hint="default"/>
          <w:sz w:val="28"/>
          <w:szCs w:val="28"/>
        </w:rPr>
      </w:r>
    </w:p>
    <w:p>
      <w:pPr>
        <w:spacing w:line="472" w:lineRule="auto" w:before="147"/>
        <w:ind w:left="716" w:right="1134" w:firstLine="0"/>
        <w:jc w:val="left"/>
        <w:rPr>
          <w:rFonts w:ascii="宋体" w:hAnsi="宋体" w:cs="宋体" w:eastAsia="宋体" w:hint="default"/>
          <w:sz w:val="28"/>
          <w:szCs w:val="28"/>
        </w:rPr>
      </w:pPr>
      <w:r>
        <w:rPr>
          <w:rFonts w:ascii="宋体" w:hAnsi="宋体" w:cs="宋体" w:eastAsia="宋体" w:hint="default"/>
          <w:b/>
          <w:bCs/>
          <w:sz w:val="28"/>
          <w:szCs w:val="28"/>
        </w:rPr>
        <w:t>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spacing w:val="3"/>
          <w:w w:val="95"/>
          <w:sz w:val="28"/>
          <w:szCs w:val="28"/>
        </w:rPr>
        <w:t>本年度报告中涉及未来计划或规划等前瞻性陈述的，均不构成公司对投资</w:t>
      </w:r>
      <w:r>
        <w:rPr>
          <w:rFonts w:ascii="宋体" w:hAnsi="宋体" w:cs="宋体" w:eastAsia="宋体" w:hint="default"/>
          <w:spacing w:val="3"/>
          <w:sz w:val="28"/>
          <w:szCs w:val="28"/>
        </w:rPr>
      </w:r>
    </w:p>
    <w:p>
      <w:pPr>
        <w:spacing w:line="410" w:lineRule="auto" w:before="0"/>
        <w:ind w:left="154" w:right="1134" w:firstLine="0"/>
        <w:jc w:val="left"/>
        <w:rPr>
          <w:rFonts w:ascii="宋体" w:hAnsi="宋体" w:cs="宋体" w:eastAsia="宋体" w:hint="default"/>
          <w:sz w:val="28"/>
          <w:szCs w:val="28"/>
        </w:rPr>
      </w:pPr>
      <w:r>
        <w:rPr>
          <w:rFonts w:ascii="宋体" w:hAnsi="宋体" w:cs="宋体" w:eastAsia="宋体" w:hint="default"/>
          <w:b/>
          <w:bCs/>
          <w:spacing w:val="3"/>
          <w:w w:val="95"/>
          <w:sz w:val="28"/>
          <w:szCs w:val="28"/>
        </w:rPr>
        <w:t>者的实质承诺，投资者及相关人士均应对此保持足够的风险认识，并且应当理</w:t>
      </w:r>
      <w:r>
        <w:rPr>
          <w:rFonts w:ascii="宋体" w:hAnsi="宋体" w:cs="宋体" w:eastAsia="宋体" w:hint="default"/>
          <w:b/>
          <w:bCs/>
          <w:spacing w:val="23"/>
          <w:w w:val="95"/>
          <w:sz w:val="28"/>
          <w:szCs w:val="28"/>
        </w:rPr>
        <w:t> </w:t>
      </w:r>
      <w:r>
        <w:rPr>
          <w:rFonts w:ascii="宋体" w:hAnsi="宋体" w:cs="宋体" w:eastAsia="宋体" w:hint="default"/>
          <w:b/>
          <w:bCs/>
          <w:spacing w:val="23"/>
          <w:w w:val="95"/>
          <w:sz w:val="28"/>
          <w:szCs w:val="28"/>
        </w:rPr>
      </w:r>
      <w:r>
        <w:rPr>
          <w:rFonts w:ascii="宋体" w:hAnsi="宋体" w:cs="宋体" w:eastAsia="宋体" w:hint="default"/>
          <w:b/>
          <w:bCs/>
          <w:sz w:val="28"/>
          <w:szCs w:val="28"/>
        </w:rPr>
        <w:t>解计划、预测与承诺之间的差异。</w:t>
      </w:r>
      <w:r>
        <w:rPr>
          <w:rFonts w:ascii="宋体" w:hAnsi="宋体" w:cs="宋体" w:eastAsia="宋体" w:hint="default"/>
          <w:sz w:val="28"/>
          <w:szCs w:val="28"/>
        </w:rPr>
      </w:r>
    </w:p>
    <w:p>
      <w:pPr>
        <w:spacing w:line="400" w:lineRule="auto" w:before="158"/>
        <w:ind w:left="154" w:right="0" w:firstLine="562"/>
        <w:jc w:val="left"/>
        <w:rPr>
          <w:rFonts w:ascii="宋体" w:hAnsi="宋体" w:cs="宋体" w:eastAsia="宋体" w:hint="default"/>
          <w:sz w:val="28"/>
          <w:szCs w:val="28"/>
        </w:rPr>
      </w:pPr>
      <w:r>
        <w:rPr>
          <w:rFonts w:ascii="宋体" w:hAnsi="宋体" w:cs="宋体" w:eastAsia="宋体" w:hint="default"/>
          <w:b/>
          <w:bCs/>
          <w:spacing w:val="3"/>
          <w:sz w:val="28"/>
          <w:szCs w:val="28"/>
        </w:rPr>
        <w:t>公司存在国内外市场风险、智能移动终端产品价格和毛利率下降风险、政</w:t>
      </w:r>
      <w:r>
        <w:rPr>
          <w:rFonts w:ascii="宋体" w:hAnsi="宋体" w:cs="宋体" w:eastAsia="宋体" w:hint="default"/>
          <w:b/>
          <w:bCs/>
          <w:w w:val="99"/>
          <w:sz w:val="28"/>
          <w:szCs w:val="28"/>
        </w:rPr>
        <w:t> </w:t>
      </w:r>
      <w:r>
        <w:rPr>
          <w:rFonts w:ascii="宋体" w:hAnsi="宋体" w:cs="宋体" w:eastAsia="宋体" w:hint="default"/>
          <w:b/>
          <w:bCs/>
          <w:spacing w:val="-2"/>
          <w:w w:val="95"/>
          <w:sz w:val="28"/>
          <w:szCs w:val="28"/>
        </w:rPr>
        <w:t>策风险、技术人员流失风险、税收优惠政策对公司业绩影响的风险、商誉减值、</w:t>
      </w:r>
      <w:r>
        <w:rPr>
          <w:rFonts w:ascii="宋体" w:hAnsi="宋体" w:cs="宋体" w:eastAsia="宋体" w:hint="default"/>
          <w:b/>
          <w:bCs/>
          <w:spacing w:val="63"/>
          <w:w w:val="95"/>
          <w:sz w:val="28"/>
          <w:szCs w:val="28"/>
        </w:rPr>
        <w:t> </w:t>
      </w:r>
      <w:r>
        <w:rPr>
          <w:rFonts w:ascii="宋体" w:hAnsi="宋体" w:cs="宋体" w:eastAsia="宋体" w:hint="default"/>
          <w:b/>
          <w:bCs/>
          <w:spacing w:val="63"/>
          <w:w w:val="95"/>
          <w:sz w:val="28"/>
          <w:szCs w:val="28"/>
        </w:rPr>
      </w:r>
      <w:r>
        <w:rPr>
          <w:rFonts w:ascii="宋体" w:hAnsi="宋体" w:cs="宋体" w:eastAsia="宋体" w:hint="default"/>
          <w:b/>
          <w:bCs/>
          <w:sz w:val="28"/>
          <w:szCs w:val="28"/>
        </w:rPr>
        <w:t>应收账款回收风险等，敬请广大投资者注意投资风险。详细内容见</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第四节经营</w:t>
      </w:r>
      <w:r>
        <w:rPr>
          <w:rFonts w:ascii="宋体" w:hAnsi="宋体" w:cs="宋体" w:eastAsia="宋体" w:hint="default"/>
          <w:b/>
          <w:bCs/>
          <w:spacing w:val="1"/>
          <w:w w:val="99"/>
          <w:sz w:val="28"/>
          <w:szCs w:val="28"/>
        </w:rPr>
        <w:t> </w:t>
      </w:r>
      <w:r>
        <w:rPr>
          <w:rFonts w:ascii="宋体" w:hAnsi="宋体" w:cs="宋体" w:eastAsia="宋体" w:hint="default"/>
          <w:b/>
          <w:bCs/>
          <w:sz w:val="28"/>
          <w:szCs w:val="28"/>
        </w:rPr>
        <w:t>情况讨论与分析</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之</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九、公司未来发展的展望</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中公司可能面对的风险因素。</w:t>
      </w:r>
      <w:r>
        <w:rPr>
          <w:rFonts w:ascii="宋体" w:hAnsi="宋体" w:cs="宋体" w:eastAsia="宋体" w:hint="default"/>
          <w:sz w:val="28"/>
          <w:szCs w:val="28"/>
        </w:rPr>
      </w:r>
    </w:p>
    <w:p>
      <w:pPr>
        <w:spacing w:before="127"/>
        <w:ind w:left="716" w:right="0" w:firstLine="0"/>
        <w:jc w:val="left"/>
        <w:rPr>
          <w:rFonts w:ascii="宋体" w:hAnsi="宋体" w:cs="宋体" w:eastAsia="宋体" w:hint="default"/>
          <w:sz w:val="28"/>
          <w:szCs w:val="28"/>
        </w:rPr>
      </w:pPr>
      <w:r>
        <w:rPr>
          <w:rFonts w:ascii="宋体" w:hAnsi="宋体" w:cs="宋体" w:eastAsia="宋体" w:hint="default"/>
          <w:b/>
          <w:bCs/>
          <w:sz w:val="28"/>
          <w:szCs w:val="28"/>
        </w:rPr>
        <w:t>公司经本次董事会审议通过的利润分配预案为：以</w:t>
      </w:r>
      <w:r>
        <w:rPr>
          <w:rFonts w:ascii="宋体" w:hAnsi="宋体" w:cs="宋体" w:eastAsia="宋体" w:hint="default"/>
          <w:b/>
          <w:bCs/>
          <w:spacing w:val="-80"/>
          <w:sz w:val="28"/>
          <w:szCs w:val="28"/>
        </w:rPr>
        <w:t> </w:t>
      </w:r>
      <w:r>
        <w:rPr>
          <w:rFonts w:ascii="Times New Roman" w:hAnsi="Times New Roman" w:cs="Times New Roman" w:eastAsia="Times New Roman" w:hint="default"/>
          <w:b/>
          <w:bCs/>
          <w:sz w:val="28"/>
          <w:szCs w:val="28"/>
        </w:rPr>
        <w:t>280,000,000</w:t>
      </w:r>
      <w:r>
        <w:rPr>
          <w:rFonts w:ascii="Times New Roman" w:hAnsi="Times New Roman" w:cs="Times New Roman" w:eastAsia="Times New Roman" w:hint="default"/>
          <w:b/>
          <w:bCs/>
          <w:spacing w:val="-14"/>
          <w:sz w:val="28"/>
          <w:szCs w:val="28"/>
        </w:rPr>
        <w:t> </w:t>
      </w:r>
      <w:r>
        <w:rPr>
          <w:rFonts w:ascii="宋体" w:hAnsi="宋体" w:cs="宋体" w:eastAsia="宋体" w:hint="default"/>
          <w:b/>
          <w:bCs/>
          <w:sz w:val="28"/>
          <w:szCs w:val="28"/>
        </w:rPr>
        <w:t>股为基数，</w:t>
      </w:r>
      <w:r>
        <w:rPr>
          <w:rFonts w:ascii="宋体" w:hAnsi="宋体" w:cs="宋体" w:eastAsia="宋体" w:hint="default"/>
          <w:sz w:val="28"/>
          <w:szCs w:val="28"/>
        </w:rPr>
      </w:r>
    </w:p>
    <w:p>
      <w:pPr>
        <w:spacing w:before="236"/>
        <w:ind w:left="154" w:right="0" w:firstLine="0"/>
        <w:jc w:val="left"/>
        <w:rPr>
          <w:rFonts w:ascii="宋体" w:hAnsi="宋体" w:cs="宋体" w:eastAsia="宋体" w:hint="default"/>
          <w:sz w:val="28"/>
          <w:szCs w:val="28"/>
        </w:rPr>
      </w:pPr>
      <w:r>
        <w:rPr>
          <w:rFonts w:ascii="宋体" w:hAnsi="宋体" w:cs="宋体" w:eastAsia="宋体" w:hint="default"/>
          <w:b/>
          <w:bCs/>
          <w:w w:val="99"/>
          <w:sz w:val="28"/>
          <w:szCs w:val="28"/>
        </w:rPr>
        <w:t>向全体</w:t>
      </w:r>
      <w:r>
        <w:rPr>
          <w:rFonts w:ascii="宋体" w:hAnsi="宋体" w:cs="宋体" w:eastAsia="宋体" w:hint="default"/>
          <w:b/>
          <w:bCs/>
          <w:spacing w:val="2"/>
          <w:w w:val="99"/>
          <w:sz w:val="28"/>
          <w:szCs w:val="28"/>
        </w:rPr>
        <w:t>股</w:t>
      </w:r>
      <w:r>
        <w:rPr>
          <w:rFonts w:ascii="宋体" w:hAnsi="宋体" w:cs="宋体" w:eastAsia="宋体" w:hint="default"/>
          <w:b/>
          <w:bCs/>
          <w:w w:val="99"/>
          <w:sz w:val="28"/>
          <w:szCs w:val="28"/>
        </w:rPr>
        <w:t>东每</w:t>
      </w:r>
      <w:r>
        <w:rPr>
          <w:rFonts w:ascii="宋体" w:hAnsi="宋体" w:cs="宋体" w:eastAsia="宋体" w:hint="default"/>
          <w:b/>
          <w:bCs/>
          <w:spacing w:val="-68"/>
          <w:sz w:val="28"/>
          <w:szCs w:val="28"/>
        </w:rPr>
        <w:t> </w:t>
      </w:r>
      <w:r>
        <w:rPr>
          <w:rFonts w:ascii="Times New Roman" w:hAnsi="Times New Roman" w:cs="Times New Roman" w:eastAsia="Times New Roman" w:hint="default"/>
          <w:b/>
          <w:bCs/>
          <w:w w:val="99"/>
          <w:sz w:val="28"/>
          <w:szCs w:val="28"/>
        </w:rPr>
        <w:t>10</w:t>
      </w:r>
      <w:r>
        <w:rPr>
          <w:rFonts w:ascii="Times New Roman" w:hAnsi="Times New Roman" w:cs="Times New Roman" w:eastAsia="Times New Roman" w:hint="default"/>
          <w:b/>
          <w:bCs/>
          <w:sz w:val="28"/>
          <w:szCs w:val="28"/>
        </w:rPr>
        <w:t> </w:t>
      </w:r>
      <w:r>
        <w:rPr>
          <w:rFonts w:ascii="宋体" w:hAnsi="宋体" w:cs="宋体" w:eastAsia="宋体" w:hint="default"/>
          <w:b/>
          <w:bCs/>
          <w:w w:val="99"/>
          <w:sz w:val="28"/>
          <w:szCs w:val="28"/>
        </w:rPr>
        <w:t>股派发</w:t>
      </w:r>
      <w:r>
        <w:rPr>
          <w:rFonts w:ascii="宋体" w:hAnsi="宋体" w:cs="宋体" w:eastAsia="宋体" w:hint="default"/>
          <w:b/>
          <w:bCs/>
          <w:spacing w:val="2"/>
          <w:w w:val="99"/>
          <w:sz w:val="28"/>
          <w:szCs w:val="28"/>
        </w:rPr>
        <w:t>现</w:t>
      </w:r>
      <w:r>
        <w:rPr>
          <w:rFonts w:ascii="宋体" w:hAnsi="宋体" w:cs="宋体" w:eastAsia="宋体" w:hint="default"/>
          <w:b/>
          <w:bCs/>
          <w:w w:val="99"/>
          <w:sz w:val="28"/>
          <w:szCs w:val="28"/>
        </w:rPr>
        <w:t>金红利</w:t>
      </w:r>
      <w:r>
        <w:rPr>
          <w:rFonts w:ascii="宋体" w:hAnsi="宋体" w:cs="宋体" w:eastAsia="宋体" w:hint="default"/>
          <w:b/>
          <w:bCs/>
          <w:spacing w:val="-67"/>
          <w:sz w:val="28"/>
          <w:szCs w:val="28"/>
        </w:rPr>
        <w:t> </w:t>
      </w:r>
      <w:r>
        <w:rPr>
          <w:rFonts w:ascii="Times New Roman" w:hAnsi="Times New Roman" w:cs="Times New Roman" w:eastAsia="Times New Roman" w:hint="default"/>
          <w:b/>
          <w:bCs/>
          <w:w w:val="99"/>
          <w:sz w:val="28"/>
          <w:szCs w:val="28"/>
        </w:rPr>
        <w:t>0.30</w:t>
      </w:r>
      <w:r>
        <w:rPr>
          <w:rFonts w:ascii="Times New Roman" w:hAnsi="Times New Roman" w:cs="Times New Roman" w:eastAsia="Times New Roman" w:hint="default"/>
          <w:b/>
          <w:bCs/>
          <w:spacing w:val="1"/>
          <w:sz w:val="28"/>
          <w:szCs w:val="28"/>
        </w:rPr>
        <w:t> </w:t>
      </w:r>
      <w:r>
        <w:rPr>
          <w:rFonts w:ascii="宋体" w:hAnsi="宋体" w:cs="宋体" w:eastAsia="宋体" w:hint="default"/>
          <w:b/>
          <w:bCs/>
          <w:spacing w:val="-30"/>
          <w:w w:val="99"/>
          <w:sz w:val="28"/>
          <w:szCs w:val="28"/>
        </w:rPr>
        <w:t>元</w:t>
      </w:r>
      <w:r>
        <w:rPr>
          <w:rFonts w:ascii="宋体" w:hAnsi="宋体" w:cs="宋体" w:eastAsia="宋体" w:hint="default"/>
          <w:b/>
          <w:bCs/>
          <w:w w:val="99"/>
          <w:sz w:val="28"/>
          <w:szCs w:val="28"/>
        </w:rPr>
        <w:t>（含税</w:t>
      </w:r>
      <w:r>
        <w:rPr>
          <w:rFonts w:ascii="宋体" w:hAnsi="宋体" w:cs="宋体" w:eastAsia="宋体" w:hint="default"/>
          <w:b/>
          <w:bCs/>
          <w:spacing w:val="-140"/>
          <w:w w:val="99"/>
          <w:sz w:val="28"/>
          <w:szCs w:val="28"/>
        </w:rPr>
        <w:t>）</w:t>
      </w:r>
      <w:r>
        <w:rPr>
          <w:rFonts w:ascii="宋体" w:hAnsi="宋体" w:cs="宋体" w:eastAsia="宋体" w:hint="default"/>
          <w:b/>
          <w:bCs/>
          <w:spacing w:val="-30"/>
          <w:w w:val="99"/>
          <w:sz w:val="28"/>
          <w:szCs w:val="28"/>
        </w:rPr>
        <w:t>，</w:t>
      </w:r>
      <w:r>
        <w:rPr>
          <w:rFonts w:ascii="宋体" w:hAnsi="宋体" w:cs="宋体" w:eastAsia="宋体" w:hint="default"/>
          <w:b/>
          <w:bCs/>
          <w:w w:val="99"/>
          <w:sz w:val="28"/>
          <w:szCs w:val="28"/>
        </w:rPr>
        <w:t>送红股</w:t>
      </w:r>
      <w:r>
        <w:rPr>
          <w:rFonts w:ascii="宋体" w:hAnsi="宋体" w:cs="宋体" w:eastAsia="宋体" w:hint="default"/>
          <w:b/>
          <w:bCs/>
          <w:spacing w:val="-68"/>
          <w:sz w:val="28"/>
          <w:szCs w:val="28"/>
        </w:rPr>
        <w:t> </w:t>
      </w:r>
      <w:r>
        <w:rPr>
          <w:rFonts w:ascii="Times New Roman" w:hAnsi="Times New Roman" w:cs="Times New Roman" w:eastAsia="Times New Roman" w:hint="default"/>
          <w:b/>
          <w:bCs/>
          <w:w w:val="99"/>
          <w:sz w:val="28"/>
          <w:szCs w:val="28"/>
        </w:rPr>
        <w:t>0</w:t>
      </w:r>
      <w:r>
        <w:rPr>
          <w:rFonts w:ascii="Times New Roman" w:hAnsi="Times New Roman" w:cs="Times New Roman" w:eastAsia="Times New Roman" w:hint="default"/>
          <w:b/>
          <w:bCs/>
          <w:spacing w:val="1"/>
          <w:sz w:val="28"/>
          <w:szCs w:val="28"/>
        </w:rPr>
        <w:t> </w:t>
      </w:r>
      <w:r>
        <w:rPr>
          <w:rFonts w:ascii="宋体" w:hAnsi="宋体" w:cs="宋体" w:eastAsia="宋体" w:hint="default"/>
          <w:b/>
          <w:bCs/>
          <w:spacing w:val="-32"/>
          <w:w w:val="99"/>
          <w:sz w:val="28"/>
          <w:szCs w:val="28"/>
        </w:rPr>
        <w:t>股</w:t>
      </w:r>
      <w:r>
        <w:rPr>
          <w:rFonts w:ascii="宋体" w:hAnsi="宋体" w:cs="宋体" w:eastAsia="宋体" w:hint="default"/>
          <w:b/>
          <w:bCs/>
          <w:w w:val="99"/>
          <w:sz w:val="28"/>
          <w:szCs w:val="28"/>
        </w:rPr>
        <w:t>（含税</w:t>
      </w:r>
      <w:r>
        <w:rPr>
          <w:rFonts w:ascii="宋体" w:hAnsi="宋体" w:cs="宋体" w:eastAsia="宋体" w:hint="default"/>
          <w:b/>
          <w:bCs/>
          <w:spacing w:val="-140"/>
          <w:w w:val="99"/>
          <w:sz w:val="28"/>
          <w:szCs w:val="28"/>
        </w:rPr>
        <w:t>）</w:t>
      </w:r>
      <w:r>
        <w:rPr>
          <w:rFonts w:ascii="宋体" w:hAnsi="宋体" w:cs="宋体" w:eastAsia="宋体" w:hint="default"/>
          <w:b/>
          <w:bCs/>
          <w:spacing w:val="-30"/>
          <w:w w:val="99"/>
          <w:sz w:val="28"/>
          <w:szCs w:val="28"/>
        </w:rPr>
        <w:t>，</w:t>
      </w:r>
      <w:r>
        <w:rPr>
          <w:rFonts w:ascii="宋体" w:hAnsi="宋体" w:cs="宋体" w:eastAsia="宋体" w:hint="default"/>
          <w:b/>
          <w:bCs/>
          <w:w w:val="99"/>
          <w:sz w:val="28"/>
          <w:szCs w:val="28"/>
        </w:rPr>
        <w:t>以</w:t>
      </w:r>
      <w:r>
        <w:rPr>
          <w:rFonts w:ascii="宋体" w:hAnsi="宋体" w:cs="宋体" w:eastAsia="宋体" w:hint="default"/>
          <w:b/>
          <w:bCs/>
          <w:spacing w:val="2"/>
          <w:w w:val="99"/>
          <w:sz w:val="28"/>
          <w:szCs w:val="28"/>
        </w:rPr>
        <w:t>资</w:t>
      </w:r>
      <w:r>
        <w:rPr>
          <w:rFonts w:ascii="宋体" w:hAnsi="宋体" w:cs="宋体" w:eastAsia="宋体" w:hint="default"/>
          <w:b/>
          <w:bCs/>
          <w:w w:val="99"/>
          <w:sz w:val="28"/>
          <w:szCs w:val="28"/>
        </w:rPr>
        <w:t>本</w:t>
      </w:r>
      <w:r>
        <w:rPr>
          <w:rFonts w:ascii="宋体" w:hAnsi="宋体" w:cs="宋体" w:eastAsia="宋体" w:hint="default"/>
          <w:sz w:val="28"/>
          <w:szCs w:val="28"/>
        </w:rPr>
      </w:r>
    </w:p>
    <w:p>
      <w:pPr>
        <w:spacing w:before="237"/>
        <w:ind w:left="154" w:right="1134" w:firstLine="0"/>
        <w:jc w:val="left"/>
        <w:rPr>
          <w:rFonts w:ascii="宋体" w:hAnsi="宋体" w:cs="宋体" w:eastAsia="宋体" w:hint="default"/>
          <w:sz w:val="28"/>
          <w:szCs w:val="28"/>
        </w:rPr>
      </w:pPr>
      <w:r>
        <w:rPr>
          <w:rFonts w:ascii="宋体" w:hAnsi="宋体" w:cs="宋体" w:eastAsia="宋体" w:hint="default"/>
          <w:b/>
          <w:bCs/>
          <w:sz w:val="28"/>
          <w:szCs w:val="28"/>
        </w:rPr>
        <w:t>公积金向全体股东每</w:t>
      </w:r>
      <w:r>
        <w:rPr>
          <w:rFonts w:ascii="宋体" w:hAnsi="宋体" w:cs="宋体" w:eastAsia="宋体" w:hint="default"/>
          <w:b/>
          <w:bCs/>
          <w:spacing w:val="-72"/>
          <w:sz w:val="28"/>
          <w:szCs w:val="28"/>
        </w:rPr>
        <w:t> </w:t>
      </w:r>
      <w:r>
        <w:rPr>
          <w:rFonts w:ascii="Times New Roman" w:hAnsi="Times New Roman" w:cs="Times New Roman" w:eastAsia="Times New Roman" w:hint="default"/>
          <w:b/>
          <w:bCs/>
          <w:sz w:val="28"/>
          <w:szCs w:val="28"/>
        </w:rPr>
        <w:t>10</w:t>
      </w:r>
      <w:r>
        <w:rPr>
          <w:rFonts w:ascii="Times New Roman" w:hAnsi="Times New Roman" w:cs="Times New Roman" w:eastAsia="Times New Roman" w:hint="default"/>
          <w:b/>
          <w:bCs/>
          <w:spacing w:val="-4"/>
          <w:sz w:val="28"/>
          <w:szCs w:val="28"/>
        </w:rPr>
        <w:t> </w:t>
      </w:r>
      <w:r>
        <w:rPr>
          <w:rFonts w:ascii="宋体" w:hAnsi="宋体" w:cs="宋体" w:eastAsia="宋体" w:hint="default"/>
          <w:b/>
          <w:bCs/>
          <w:sz w:val="28"/>
          <w:szCs w:val="28"/>
        </w:rPr>
        <w:t>股转增</w:t>
      </w:r>
      <w:r>
        <w:rPr>
          <w:rFonts w:ascii="宋体" w:hAnsi="宋体" w:cs="宋体" w:eastAsia="宋体" w:hint="default"/>
          <w:b/>
          <w:bCs/>
          <w:spacing w:val="-74"/>
          <w:sz w:val="28"/>
          <w:szCs w:val="28"/>
        </w:rPr>
        <w:t> </w:t>
      </w:r>
      <w:r>
        <w:rPr>
          <w:rFonts w:ascii="Times New Roman" w:hAnsi="Times New Roman" w:cs="Times New Roman" w:eastAsia="Times New Roman" w:hint="default"/>
          <w:b/>
          <w:bCs/>
          <w:sz w:val="28"/>
          <w:szCs w:val="28"/>
        </w:rPr>
        <w:t>0</w:t>
      </w:r>
      <w:r>
        <w:rPr>
          <w:rFonts w:ascii="Times New Roman" w:hAnsi="Times New Roman" w:cs="Times New Roman" w:eastAsia="Times New Roman" w:hint="default"/>
          <w:b/>
          <w:bCs/>
          <w:spacing w:val="-4"/>
          <w:sz w:val="28"/>
          <w:szCs w:val="28"/>
        </w:rPr>
        <w:t> </w:t>
      </w:r>
      <w:r>
        <w:rPr>
          <w:rFonts w:ascii="宋体" w:hAnsi="宋体" w:cs="宋体" w:eastAsia="宋体" w:hint="default"/>
          <w:b/>
          <w:bCs/>
          <w:sz w:val="28"/>
          <w:szCs w:val="28"/>
        </w:rPr>
        <w:t>股。</w:t>
      </w:r>
      <w:r>
        <w:rPr>
          <w:rFonts w:ascii="宋体" w:hAnsi="宋体" w:cs="宋体" w:eastAsia="宋体" w:hint="default"/>
          <w:sz w:val="28"/>
          <w:szCs w:val="28"/>
        </w:rPr>
      </w:r>
    </w:p>
    <w:p>
      <w:pPr>
        <w:spacing w:after="0"/>
        <w:jc w:val="left"/>
        <w:rPr>
          <w:rFonts w:ascii="宋体" w:hAnsi="宋体" w:cs="宋体" w:eastAsia="宋体" w:hint="default"/>
          <w:sz w:val="28"/>
          <w:szCs w:val="28"/>
        </w:rPr>
        <w:sectPr>
          <w:footerReference w:type="default" r:id="rId8"/>
          <w:pgSz w:w="11910" w:h="16840"/>
          <w:pgMar w:footer="979" w:header="747" w:top="1060" w:bottom="1160" w:left="980" w:right="0"/>
          <w:pgNumType w:start="2"/>
        </w:sectPr>
      </w:pPr>
    </w:p>
    <w:p>
      <w:pPr>
        <w:spacing w:line="240" w:lineRule="auto" w:before="12"/>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25"/>
          <w:szCs w:val="25"/>
        </w:rPr>
      </w:pPr>
    </w:p>
    <w:p>
      <w:pPr>
        <w:spacing w:line="460" w:lineRule="exact" w:before="0"/>
        <w:ind w:left="495" w:right="1471"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8"/>
        <w:rPr>
          <w:rFonts w:ascii="宋体" w:hAnsi="宋体" w:cs="宋体" w:eastAsia="宋体" w:hint="default"/>
          <w:b/>
          <w:bCs/>
          <w:sz w:val="51"/>
          <w:szCs w:val="51"/>
        </w:rPr>
      </w:pPr>
    </w:p>
    <w:sdt>
      <w:sdtPr>
        <w:docPartObj>
          <w:docPartGallery w:val="Table of Contents"/>
          <w:docPartUnique/>
        </w:docPartObj>
      </w:sdtPr>
      <w:sdtEndPr/>
      <w:sdtContent>
        <w:p>
          <w:pPr>
            <w:pStyle w:val="TOC1"/>
            <w:tabs>
              <w:tab w:pos="9780" w:val="right" w:leader="dot"/>
            </w:tabs>
            <w:spacing w:line="240" w:lineRule="auto" w:before="0"/>
            <w:ind w:right="0"/>
            <w:jc w:val="left"/>
            <w:rPr>
              <w:rFonts w:ascii="宋体" w:hAnsi="宋体" w:cs="宋体" w:eastAsia="宋体" w:hint="default"/>
              <w:b w:val="0"/>
              <w:bCs w:val="0"/>
            </w:rPr>
          </w:pPr>
          <w:r>
            <w:fldChar w:fldCharType="begin"/>
          </w:r>
          <w:r>
            <w:instrText>TOC \o "1-1" \h \z \u </w:instrText>
          </w:r>
          <w:r>
            <w:fldChar w:fldCharType="separate"/>
          </w:r>
          <w:hyperlink w:history="true" w:anchor="_bookmark0">
            <w:r>
              <w:rPr/>
              <w:t>第一节</w:t>
            </w:r>
            <w:r>
              <w:rPr>
                <w:spacing w:val="1"/>
              </w:rPr>
              <w:t> </w:t>
            </w:r>
            <w:r>
              <w:rPr/>
              <w:t>重要提示、目录和释义</w:t>
            </w:r>
            <w:r>
              <w:rPr>
                <w:rFonts w:ascii="宋体" w:hAnsi="宋体" w:cs="宋体" w:eastAsia="宋体" w:hint="default"/>
              </w:rPr>
              <w:tab/>
              <w:t>2</w:t>
            </w:r>
            <w:r>
              <w:rPr>
                <w:rFonts w:ascii="宋体" w:hAnsi="宋体" w:cs="宋体" w:eastAsia="宋体" w:hint="default"/>
                <w:b w:val="0"/>
                <w:bCs w:val="0"/>
              </w:rPr>
            </w:r>
          </w:hyperlink>
        </w:p>
        <w:p>
          <w:pPr>
            <w:pStyle w:val="TOC1"/>
            <w:tabs>
              <w:tab w:pos="9780" w:val="right" w:leader="dot"/>
            </w:tabs>
            <w:spacing w:line="240" w:lineRule="auto"/>
            <w:ind w:right="0"/>
            <w:jc w:val="left"/>
            <w:rPr>
              <w:rFonts w:ascii="宋体" w:hAnsi="宋体" w:cs="宋体" w:eastAsia="宋体" w:hint="default"/>
              <w:b w:val="0"/>
              <w:bCs w:val="0"/>
            </w:rPr>
          </w:pPr>
          <w:hyperlink w:history="true" w:anchor="_bookmark1">
            <w:r>
              <w:rPr/>
              <w:t>第二节</w:t>
            </w:r>
            <w:r>
              <w:rPr>
                <w:spacing w:val="1"/>
              </w:rPr>
              <w:t> </w:t>
            </w:r>
            <w:r>
              <w:rPr/>
              <w:t>公司简介和主要财务指标</w:t>
            </w:r>
            <w:r>
              <w:rPr>
                <w:rFonts w:ascii="宋体" w:hAnsi="宋体" w:cs="宋体" w:eastAsia="宋体" w:hint="default"/>
              </w:rPr>
              <w:tab/>
              <w:t>6</w:t>
            </w:r>
            <w:r>
              <w:rPr>
                <w:rFonts w:ascii="宋体" w:hAnsi="宋体" w:cs="宋体" w:eastAsia="宋体" w:hint="default"/>
                <w:b w:val="0"/>
                <w:bCs w:val="0"/>
              </w:rPr>
            </w:r>
          </w:hyperlink>
        </w:p>
        <w:p>
          <w:pPr>
            <w:pStyle w:val="TOC1"/>
            <w:tabs>
              <w:tab w:pos="9780" w:val="right" w:leader="dot"/>
            </w:tabs>
            <w:spacing w:line="240" w:lineRule="auto" w:before="298"/>
            <w:ind w:right="0"/>
            <w:jc w:val="left"/>
            <w:rPr>
              <w:rFonts w:ascii="宋体" w:hAnsi="宋体" w:cs="宋体" w:eastAsia="宋体" w:hint="default"/>
              <w:b w:val="0"/>
              <w:bCs w:val="0"/>
            </w:rPr>
          </w:pPr>
          <w:hyperlink w:history="true" w:anchor="_bookmark2">
            <w:r>
              <w:rPr/>
              <w:t>第三节</w:t>
            </w:r>
            <w:r>
              <w:rPr>
                <w:spacing w:val="1"/>
              </w:rPr>
              <w:t> </w:t>
            </w:r>
            <w:r>
              <w:rPr/>
              <w:t>公司业务概要</w:t>
            </w:r>
            <w:r>
              <w:rPr>
                <w:rFonts w:ascii="宋体" w:hAnsi="宋体" w:cs="宋体" w:eastAsia="宋体" w:hint="default"/>
              </w:rPr>
              <w:tab/>
              <w:t>9</w:t>
            </w:r>
            <w:r>
              <w:rPr>
                <w:rFonts w:ascii="宋体" w:hAnsi="宋体" w:cs="宋体" w:eastAsia="宋体" w:hint="default"/>
                <w:b w:val="0"/>
                <w:bCs w:val="0"/>
              </w:rPr>
            </w:r>
          </w:hyperlink>
        </w:p>
        <w:p>
          <w:pPr>
            <w:pStyle w:val="TOC1"/>
            <w:tabs>
              <w:tab w:pos="9783" w:val="right" w:leader="dot"/>
            </w:tabs>
            <w:spacing w:line="240" w:lineRule="auto"/>
            <w:ind w:right="0"/>
            <w:jc w:val="left"/>
            <w:rPr>
              <w:rFonts w:ascii="宋体" w:hAnsi="宋体" w:cs="宋体" w:eastAsia="宋体" w:hint="default"/>
              <w:b w:val="0"/>
              <w:bCs w:val="0"/>
            </w:rPr>
          </w:pPr>
          <w:hyperlink w:history="true" w:anchor="_bookmark3">
            <w:r>
              <w:rPr/>
              <w:t>第四节</w:t>
            </w:r>
            <w:r>
              <w:rPr>
                <w:spacing w:val="1"/>
              </w:rPr>
              <w:t> </w:t>
            </w:r>
            <w:r>
              <w:rPr/>
              <w:t>经营情况讨论与分析</w:t>
            </w:r>
            <w:r>
              <w:rPr>
                <w:rFonts w:ascii="宋体" w:hAnsi="宋体" w:cs="宋体" w:eastAsia="宋体" w:hint="default"/>
              </w:rPr>
              <w:tab/>
              <w:t>17</w:t>
            </w:r>
            <w:r>
              <w:rPr>
                <w:rFonts w:ascii="宋体" w:hAnsi="宋体" w:cs="宋体" w:eastAsia="宋体" w:hint="default"/>
                <w:b w:val="0"/>
                <w:bCs w:val="0"/>
              </w:rPr>
            </w:r>
          </w:hyperlink>
        </w:p>
        <w:p>
          <w:pPr>
            <w:pStyle w:val="TOC1"/>
            <w:tabs>
              <w:tab w:pos="9783" w:val="right" w:leader="dot"/>
            </w:tabs>
            <w:spacing w:line="240" w:lineRule="auto"/>
            <w:ind w:right="0"/>
            <w:jc w:val="left"/>
            <w:rPr>
              <w:rFonts w:ascii="宋体" w:hAnsi="宋体" w:cs="宋体" w:eastAsia="宋体" w:hint="default"/>
              <w:b w:val="0"/>
              <w:bCs w:val="0"/>
            </w:rPr>
          </w:pPr>
          <w:hyperlink w:history="true" w:anchor="_bookmark4">
            <w:r>
              <w:rPr/>
              <w:t>第五节</w:t>
            </w:r>
            <w:r>
              <w:rPr>
                <w:spacing w:val="1"/>
              </w:rPr>
              <w:t> </w:t>
            </w:r>
            <w:r>
              <w:rPr/>
              <w:t>重要事项</w:t>
            </w:r>
            <w:r>
              <w:rPr>
                <w:rFonts w:ascii="宋体" w:hAnsi="宋体" w:cs="宋体" w:eastAsia="宋体" w:hint="default"/>
              </w:rPr>
              <w:tab/>
              <w:t>44</w:t>
            </w:r>
            <w:r>
              <w:rPr>
                <w:rFonts w:ascii="宋体" w:hAnsi="宋体" w:cs="宋体" w:eastAsia="宋体" w:hint="default"/>
                <w:b w:val="0"/>
                <w:bCs w:val="0"/>
              </w:rPr>
            </w:r>
          </w:hyperlink>
        </w:p>
        <w:p>
          <w:pPr>
            <w:pStyle w:val="TOC1"/>
            <w:tabs>
              <w:tab w:pos="9783" w:val="right" w:leader="dot"/>
            </w:tabs>
            <w:spacing w:line="240" w:lineRule="auto" w:before="298"/>
            <w:ind w:right="0"/>
            <w:jc w:val="left"/>
            <w:rPr>
              <w:rFonts w:ascii="宋体" w:hAnsi="宋体" w:cs="宋体" w:eastAsia="宋体" w:hint="default"/>
              <w:b w:val="0"/>
              <w:bCs w:val="0"/>
            </w:rPr>
          </w:pPr>
          <w:hyperlink w:history="true" w:anchor="_bookmark5">
            <w:r>
              <w:rPr/>
              <w:t>第六节</w:t>
            </w:r>
            <w:r>
              <w:rPr>
                <w:spacing w:val="1"/>
              </w:rPr>
              <w:t> </w:t>
            </w:r>
            <w:r>
              <w:rPr/>
              <w:t>股份变动及股东情况</w:t>
            </w:r>
            <w:r>
              <w:rPr>
                <w:rFonts w:ascii="宋体" w:hAnsi="宋体" w:cs="宋体" w:eastAsia="宋体" w:hint="default"/>
              </w:rPr>
              <w:tab/>
              <w:t>61</w:t>
            </w:r>
            <w:r>
              <w:rPr>
                <w:rFonts w:ascii="宋体" w:hAnsi="宋体" w:cs="宋体" w:eastAsia="宋体" w:hint="default"/>
                <w:b w:val="0"/>
                <w:bCs w:val="0"/>
              </w:rPr>
            </w:r>
          </w:hyperlink>
        </w:p>
        <w:p>
          <w:pPr>
            <w:pStyle w:val="TOC1"/>
            <w:tabs>
              <w:tab w:pos="9783" w:val="right" w:leader="dot"/>
            </w:tabs>
            <w:spacing w:line="240" w:lineRule="auto"/>
            <w:ind w:right="0"/>
            <w:jc w:val="left"/>
            <w:rPr>
              <w:rFonts w:ascii="宋体" w:hAnsi="宋体" w:cs="宋体" w:eastAsia="宋体" w:hint="default"/>
              <w:b w:val="0"/>
              <w:bCs w:val="0"/>
            </w:rPr>
          </w:pPr>
          <w:hyperlink w:history="true" w:anchor="_bookmark6">
            <w:r>
              <w:rPr/>
              <w:t>第七节</w:t>
            </w:r>
            <w:r>
              <w:rPr>
                <w:spacing w:val="1"/>
              </w:rPr>
              <w:t> </w:t>
            </w:r>
            <w:r>
              <w:rPr/>
              <w:t>优先股相关情况</w:t>
            </w:r>
            <w:r>
              <w:rPr>
                <w:rFonts w:ascii="宋体" w:hAnsi="宋体" w:cs="宋体" w:eastAsia="宋体" w:hint="default"/>
              </w:rPr>
              <w:tab/>
              <w:t>66</w:t>
            </w:r>
            <w:r>
              <w:rPr>
                <w:rFonts w:ascii="宋体" w:hAnsi="宋体" w:cs="宋体" w:eastAsia="宋体" w:hint="default"/>
                <w:b w:val="0"/>
                <w:bCs w:val="0"/>
              </w:rPr>
            </w:r>
          </w:hyperlink>
        </w:p>
        <w:p>
          <w:pPr>
            <w:pStyle w:val="TOC1"/>
            <w:tabs>
              <w:tab w:pos="9783" w:val="right" w:leader="dot"/>
            </w:tabs>
            <w:spacing w:line="240" w:lineRule="auto"/>
            <w:ind w:right="0"/>
            <w:jc w:val="left"/>
            <w:rPr>
              <w:rFonts w:ascii="宋体" w:hAnsi="宋体" w:cs="宋体" w:eastAsia="宋体" w:hint="default"/>
              <w:b w:val="0"/>
              <w:bCs w:val="0"/>
            </w:rPr>
          </w:pPr>
          <w:hyperlink w:history="true" w:anchor="_bookmark7">
            <w:r>
              <w:rPr/>
              <w:t>第八节</w:t>
            </w:r>
            <w:r>
              <w:rPr>
                <w:spacing w:val="1"/>
              </w:rPr>
              <w:t> </w:t>
            </w:r>
            <w:r>
              <w:rPr/>
              <w:t>董事、监事、高级管理人员和员工情况</w:t>
            </w:r>
            <w:r>
              <w:rPr>
                <w:rFonts w:ascii="宋体" w:hAnsi="宋体" w:cs="宋体" w:eastAsia="宋体" w:hint="default"/>
              </w:rPr>
              <w:tab/>
              <w:t>67</w:t>
            </w:r>
            <w:r>
              <w:rPr>
                <w:rFonts w:ascii="宋体" w:hAnsi="宋体" w:cs="宋体" w:eastAsia="宋体" w:hint="default"/>
                <w:b w:val="0"/>
                <w:bCs w:val="0"/>
              </w:rPr>
            </w:r>
          </w:hyperlink>
        </w:p>
        <w:p>
          <w:pPr>
            <w:pStyle w:val="TOC1"/>
            <w:tabs>
              <w:tab w:pos="9783" w:val="right" w:leader="dot"/>
            </w:tabs>
            <w:spacing w:line="240" w:lineRule="auto" w:before="298"/>
            <w:ind w:right="0"/>
            <w:jc w:val="left"/>
            <w:rPr>
              <w:rFonts w:ascii="宋体" w:hAnsi="宋体" w:cs="宋体" w:eastAsia="宋体" w:hint="default"/>
              <w:b w:val="0"/>
              <w:bCs w:val="0"/>
            </w:rPr>
          </w:pPr>
          <w:hyperlink w:history="true" w:anchor="_bookmark8">
            <w:r>
              <w:rPr/>
              <w:t>第九节</w:t>
            </w:r>
            <w:r>
              <w:rPr>
                <w:spacing w:val="1"/>
              </w:rPr>
              <w:t> </w:t>
            </w:r>
            <w:r>
              <w:rPr/>
              <w:t>公司治理</w:t>
            </w:r>
            <w:r>
              <w:rPr>
                <w:rFonts w:ascii="宋体" w:hAnsi="宋体" w:cs="宋体" w:eastAsia="宋体" w:hint="default"/>
              </w:rPr>
              <w:tab/>
              <w:t>74</w:t>
            </w:r>
            <w:r>
              <w:rPr>
                <w:rFonts w:ascii="宋体" w:hAnsi="宋体" w:cs="宋体" w:eastAsia="宋体" w:hint="default"/>
                <w:b w:val="0"/>
                <w:bCs w:val="0"/>
              </w:rPr>
            </w:r>
          </w:hyperlink>
        </w:p>
        <w:p>
          <w:pPr>
            <w:pStyle w:val="TOC1"/>
            <w:tabs>
              <w:tab w:pos="9783" w:val="right" w:leader="dot"/>
            </w:tabs>
            <w:spacing w:line="240" w:lineRule="auto"/>
            <w:ind w:right="0"/>
            <w:jc w:val="left"/>
            <w:rPr>
              <w:rFonts w:ascii="宋体" w:hAnsi="宋体" w:cs="宋体" w:eastAsia="宋体" w:hint="default"/>
              <w:b w:val="0"/>
              <w:bCs w:val="0"/>
            </w:rPr>
          </w:pPr>
          <w:hyperlink w:history="true" w:anchor="_bookmark9">
            <w:r>
              <w:rPr/>
              <w:t>第十节</w:t>
            </w:r>
            <w:r>
              <w:rPr>
                <w:spacing w:val="1"/>
              </w:rPr>
              <w:t> </w:t>
            </w:r>
            <w:r>
              <w:rPr/>
              <w:t>公司债券相关情况</w:t>
            </w:r>
            <w:r>
              <w:rPr>
                <w:rFonts w:ascii="宋体" w:hAnsi="宋体" w:cs="宋体" w:eastAsia="宋体" w:hint="default"/>
              </w:rPr>
              <w:tab/>
              <w:t>79</w:t>
            </w:r>
            <w:r>
              <w:rPr>
                <w:rFonts w:ascii="宋体" w:hAnsi="宋体" w:cs="宋体" w:eastAsia="宋体" w:hint="default"/>
                <w:b w:val="0"/>
                <w:bCs w:val="0"/>
              </w:rPr>
            </w:r>
          </w:hyperlink>
        </w:p>
        <w:p>
          <w:pPr>
            <w:pStyle w:val="TOC1"/>
            <w:tabs>
              <w:tab w:pos="9783" w:val="right" w:leader="dot"/>
            </w:tabs>
            <w:spacing w:line="240" w:lineRule="auto"/>
            <w:ind w:right="0"/>
            <w:jc w:val="left"/>
            <w:rPr>
              <w:rFonts w:ascii="宋体" w:hAnsi="宋体" w:cs="宋体" w:eastAsia="宋体" w:hint="default"/>
              <w:b w:val="0"/>
              <w:bCs w:val="0"/>
            </w:rPr>
          </w:pPr>
          <w:hyperlink w:history="true" w:anchor="_bookmark10">
            <w:r>
              <w:rPr/>
              <w:t>第十一节</w:t>
            </w:r>
            <w:r>
              <w:rPr>
                <w:spacing w:val="2"/>
              </w:rPr>
              <w:t> </w:t>
            </w:r>
            <w:r>
              <w:rPr/>
              <w:t>财务报告</w:t>
            </w:r>
            <w:r>
              <w:rPr>
                <w:rFonts w:ascii="宋体" w:hAnsi="宋体" w:cs="宋体" w:eastAsia="宋体" w:hint="default"/>
              </w:rPr>
              <w:tab/>
              <w:t>80</w:t>
            </w:r>
            <w:r>
              <w:rPr>
                <w:rFonts w:ascii="宋体" w:hAnsi="宋体" w:cs="宋体" w:eastAsia="宋体" w:hint="default"/>
                <w:b w:val="0"/>
                <w:bCs w:val="0"/>
              </w:rPr>
            </w:r>
          </w:hyperlink>
        </w:p>
        <w:p>
          <w:pPr>
            <w:pStyle w:val="TOC1"/>
            <w:tabs>
              <w:tab w:pos="9782" w:val="right" w:leader="dot"/>
            </w:tabs>
            <w:spacing w:line="240" w:lineRule="auto" w:before="298"/>
            <w:ind w:right="0"/>
            <w:jc w:val="left"/>
            <w:rPr>
              <w:rFonts w:ascii="宋体" w:hAnsi="宋体" w:cs="宋体" w:eastAsia="宋体" w:hint="default"/>
              <w:b w:val="0"/>
              <w:bCs w:val="0"/>
            </w:rPr>
          </w:pPr>
          <w:hyperlink w:history="true" w:anchor="_bookmark11">
            <w:r>
              <w:rPr/>
              <w:t>第十二节</w:t>
            </w:r>
            <w:r>
              <w:rPr>
                <w:spacing w:val="2"/>
              </w:rPr>
              <w:t> </w:t>
            </w:r>
            <w:r>
              <w:rPr/>
              <w:t>备查文件目录</w:t>
            </w:r>
            <w:r>
              <w:rPr>
                <w:rFonts w:ascii="宋体" w:hAnsi="宋体" w:cs="宋体" w:eastAsia="宋体" w:hint="default"/>
              </w:rPr>
              <w:tab/>
              <w:t>177</w:t>
            </w:r>
            <w:r>
              <w:rPr>
                <w:rFonts w:ascii="宋体" w:hAnsi="宋体" w:cs="宋体" w:eastAsia="宋体" w:hint="default"/>
                <w:b w:val="0"/>
                <w:bCs w:val="0"/>
              </w:rPr>
            </w:r>
          </w:hyperlink>
        </w:p>
        <w:p>
          <w:pPr/>
          <w:r>
            <w:fldChar w:fldCharType="end"/>
          </w:r>
        </w:p>
      </w:sdtContent>
    </w:sdt>
    <w:p>
      <w:pPr>
        <w:spacing w:after="0"/>
        <w:sectPr>
          <w:pgSz w:w="11910" w:h="16840"/>
          <w:pgMar w:header="747" w:footer="979" w:top="1060" w:bottom="1160" w:left="980" w:right="0"/>
        </w:sectPr>
      </w:pP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before="248"/>
        <w:ind w:left="495" w:right="1471"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536"/>
        <w:gridCol w:w="598"/>
        <w:gridCol w:w="5436"/>
      </w:tblGrid>
      <w:tr>
        <w:trPr>
          <w:trHeight w:val="402" w:hRule="exact"/>
        </w:trPr>
        <w:tc>
          <w:tcPr>
            <w:tcW w:w="35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证监会</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深交所</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《公司法》</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中华人民共和国公司法</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《证券法》</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中华人民共和国证券法</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《上市规则》</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深圳证券交易所创业板股票上市规则</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报告期、本报告期</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日至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公司、本公司、优博讯</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深圳市优博讯科技股份有限公司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《公司章程》</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深圳市优博讯科技股份有限公司章程</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优博讯控股、控股股东</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香港优博讯科技控股集团有限公司，公司控股股东</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中洲创投</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深圳市中洲创业投资有限公司，公司股东</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博讯投资</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深圳市博讯投资有限公司，公司股东</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亚晟发展</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亚晟发展集团有限公司，公司股东</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军屯投资</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深圳市军屯投资企业（有限合伙</w:t>
            </w:r>
            <w:r>
              <w:rPr>
                <w:rFonts w:ascii="宋体" w:hAnsi="宋体" w:cs="宋体" w:eastAsia="宋体" w:hint="default"/>
                <w:spacing w:val="-90"/>
                <w:sz w:val="18"/>
                <w:szCs w:val="18"/>
              </w:rPr>
              <w:t>）</w:t>
            </w:r>
            <w:r>
              <w:rPr>
                <w:rFonts w:ascii="宋体" w:hAnsi="宋体" w:cs="宋体" w:eastAsia="宋体" w:hint="default"/>
                <w:sz w:val="18"/>
                <w:szCs w:val="18"/>
              </w:rPr>
              <w:t>，公司股东</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斯隆投资</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斯隆新产品投资有限公司，公司股东</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正达资讯</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深圳市正达资讯技术有限公司，公司全资子公司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江南正鼎</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深圳市江南正鼎信息技术有限公司，公司全资子公司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蓝云达</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深圳市蓝云达智能科技有限公司，正达资讯全资子公司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香港优博讯</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Urovo Technology</w:t>
            </w:r>
            <w:r>
              <w:rPr>
                <w:rFonts w:ascii="Times New Roman" w:hAnsi="Times New Roman" w:cs="Times New Roman" w:eastAsia="Times New Roman" w:hint="default"/>
                <w:spacing w:val="-24"/>
                <w:sz w:val="18"/>
                <w:szCs w:val="18"/>
              </w:rPr>
              <w:t> </w:t>
            </w:r>
            <w:r>
              <w:rPr>
                <w:rFonts w:ascii="Times New Roman" w:hAnsi="Times New Roman" w:cs="Times New Roman" w:eastAsia="Times New Roman" w:hint="default"/>
                <w:sz w:val="18"/>
                <w:szCs w:val="18"/>
              </w:rPr>
              <w:t>Limited</w:t>
            </w:r>
            <w:r>
              <w:rPr>
                <w:rFonts w:ascii="宋体" w:hAnsi="宋体" w:cs="宋体" w:eastAsia="宋体" w:hint="default"/>
                <w:sz w:val="18"/>
                <w:szCs w:val="18"/>
              </w:rPr>
              <w:t>，公司全资子公司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优博讯软件</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深圳市优博讯软件技术有限公司，公司全资子公司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马来西亚优博讯</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UROVO TECHNOLOGY(M)</w:t>
            </w:r>
            <w:r>
              <w:rPr>
                <w:rFonts w:ascii="Times New Roman" w:hAnsi="Times New Roman" w:cs="Times New Roman" w:eastAsia="Times New Roman" w:hint="default"/>
                <w:spacing w:val="-7"/>
                <w:sz w:val="18"/>
                <w:szCs w:val="18"/>
              </w:rPr>
              <w:t> </w:t>
            </w:r>
            <w:r>
              <w:rPr>
                <w:rFonts w:ascii="Times New Roman" w:hAnsi="Times New Roman" w:cs="Times New Roman" w:eastAsia="Times New Roman" w:hint="default"/>
                <w:sz w:val="18"/>
                <w:szCs w:val="18"/>
              </w:rPr>
              <w:t>SDN.BHD</w:t>
            </w:r>
            <w:r>
              <w:rPr>
                <w:rFonts w:ascii="宋体" w:hAnsi="宋体" w:cs="宋体" w:eastAsia="宋体" w:hint="default"/>
                <w:sz w:val="18"/>
                <w:szCs w:val="18"/>
              </w:rPr>
              <w:t>，公司全资子公司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优金支付</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深圳市优金支付科技有限公司，公司全资子公司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武汉优软</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武汉市优博讯软件科技有限公司，公司全资子公司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瑞柏泰</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深圳市瑞柏泰电子有限公司，公司控股子公司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上海芝柯</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上海芝柯智能科技有限公司，公司参股子公司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天眼智通</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深圳市天眼智通科技有限公司，公司参股子公司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中世顺</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中世顺科技（北京）股份有限公司，公司参股子公司</w:t>
            </w:r>
          </w:p>
        </w:tc>
      </w:tr>
      <w:tr>
        <w:trPr>
          <w:trHeight w:val="402"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帕思菲特</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深圳市帕思菲特科技有限公司，瑞柏泰之全资子公司</w:t>
            </w:r>
          </w:p>
        </w:tc>
      </w:tr>
      <w:tr>
        <w:trPr>
          <w:trHeight w:val="403" w:hRule="exact"/>
        </w:trPr>
        <w:tc>
          <w:tcPr>
            <w:tcW w:w="353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香港乐乐高</w:t>
            </w:r>
          </w:p>
        </w:tc>
        <w:tc>
          <w:tcPr>
            <w:tcW w:w="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3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香港乐乐高支付技术有限公司，瑞柏泰之全资子公司</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3525"/>
        <w:gridCol w:w="621"/>
        <w:gridCol w:w="5424"/>
      </w:tblGrid>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爱买单</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湖南爱买单信息技术有限公司，瑞柏泰之参股子公司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保荐机构、中信证券</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中信证券股份有限公司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审计机构</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大华会计师事务所（特殊普通合伙）</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元、万元、亿元</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人民币元、人民币万元、人民币亿元</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8"/>
          <w:szCs w:val="28"/>
        </w:rPr>
      </w:pPr>
    </w:p>
    <w:p>
      <w:pPr>
        <w:pStyle w:val="Heading1"/>
        <w:spacing w:line="240" w:lineRule="auto"/>
        <w:ind w:left="2644" w:right="1134"/>
        <w:jc w:val="left"/>
        <w:rPr>
          <w:b w:val="0"/>
          <w:bCs w:val="0"/>
        </w:rPr>
      </w:pPr>
      <w:bookmarkStart w:name="第二节 公司简介和主要财务指标" w:id="3"/>
      <w:bookmarkEnd w:id="3"/>
      <w:r>
        <w:rPr>
          <w:b w:val="0"/>
          <w:bCs w:val="0"/>
        </w:rPr>
      </w:r>
      <w:bookmarkStart w:name="_bookmark1" w:id="4"/>
      <w:bookmarkEnd w:id="4"/>
      <w:r>
        <w:rPr>
          <w:b w:val="0"/>
          <w:bCs w:val="0"/>
        </w:rPr>
      </w:r>
      <w:r>
        <w:rPr/>
        <w:t>第二节</w:t>
      </w:r>
      <w:r>
        <w:rPr>
          <w:spacing w:val="-11"/>
        </w:rPr>
        <w:t> </w:t>
      </w:r>
      <w:r>
        <w:rPr/>
        <w:t>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1134"/>
        <w:jc w:val="left"/>
        <w:rPr>
          <w:b w:val="0"/>
          <w:bCs w:val="0"/>
        </w:rPr>
      </w:pPr>
      <w:r>
        <w:rPr/>
        <w:pict>
          <v:group style="position:absolute;margin-left:172.339996pt;margin-top:114.735596pt;width:361.5pt;height:19.6pt;mso-position-horizontal-relative:page;mso-position-vertical-relative:paragraph;z-index:-1013248" coordorigin="3447,2295" coordsize="7230,392">
            <v:shape style="position:absolute;left:3447;top:2295;width:7230;height:392" coordorigin="3447,2295" coordsize="7230,392" path="m3447,2686l10676,2686,10676,2295,3447,2295,3447,2686xe" filled="true" fillcolor="#ffffff" stroked="false">
              <v:path arrowok="t"/>
              <v:fill type="solid"/>
            </v:shape>
            <w10:wrap type="none"/>
          </v:group>
        </w:pict>
      </w:r>
      <w:bookmarkStart w:name="一、公司信息" w:id="5"/>
      <w:bookmarkEnd w:id="5"/>
      <w:r>
        <w:rPr>
          <w:b w:val="0"/>
          <w:bCs w:val="0"/>
        </w:rPr>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273"/>
        <w:gridCol w:w="2965"/>
        <w:gridCol w:w="2145"/>
        <w:gridCol w:w="2188"/>
      </w:tblGrid>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6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优博讯</w:t>
            </w:r>
          </w:p>
        </w:tc>
        <w:tc>
          <w:tcPr>
            <w:tcW w:w="2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8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left="27" w:right="0"/>
              <w:jc w:val="left"/>
              <w:rPr>
                <w:rFonts w:ascii="Times New Roman" w:hAnsi="Times New Roman" w:cs="Times New Roman" w:eastAsia="Times New Roman" w:hint="default"/>
                <w:sz w:val="18"/>
                <w:szCs w:val="18"/>
              </w:rPr>
            </w:pPr>
            <w:r>
              <w:rPr>
                <w:rFonts w:ascii="Times New Roman"/>
                <w:sz w:val="18"/>
              </w:rPr>
              <w:t>300531</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深圳市优博讯科技股份有限公司</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优博讯</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UROVO TECHNOLOGY CO.,</w:t>
            </w:r>
            <w:r>
              <w:rPr>
                <w:rFonts w:ascii="Times New Roman"/>
                <w:spacing w:val="-12"/>
                <w:sz w:val="18"/>
              </w:rPr>
              <w:t> </w:t>
            </w:r>
            <w:r>
              <w:rPr>
                <w:rFonts w:ascii="Times New Roman"/>
                <w:spacing w:val="-5"/>
                <w:sz w:val="18"/>
              </w:rPr>
              <w:t>LTD.</w:t>
            </w:r>
          </w:p>
        </w:tc>
      </w:tr>
      <w:tr>
        <w:trPr>
          <w:trHeight w:val="402" w:hRule="exact"/>
        </w:trPr>
        <w:tc>
          <w:tcPr>
            <w:tcW w:w="2273"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52"/>
              <w:ind w:left="22" w:right="-58"/>
              <w:jc w:val="left"/>
              <w:rPr>
                <w:rFonts w:ascii="宋体" w:hAnsi="宋体" w:cs="宋体" w:eastAsia="宋体" w:hint="default"/>
                <w:sz w:val="18"/>
                <w:szCs w:val="18"/>
              </w:rPr>
            </w:pPr>
            <w:r>
              <w:rPr>
                <w:rFonts w:ascii="宋体" w:hAnsi="宋体" w:cs="宋体" w:eastAsia="宋体" w:hint="default"/>
                <w:spacing w:val="-5"/>
                <w:sz w:val="18"/>
                <w:szCs w:val="18"/>
              </w:rPr>
              <w:t>公司的外文名称缩写（如有）</w:t>
            </w:r>
            <w:r>
              <w:rPr>
                <w:rFonts w:ascii="宋体" w:hAnsi="宋体" w:cs="宋体" w:eastAsia="宋体" w:hint="default"/>
                <w:sz w:val="18"/>
                <w:szCs w:val="18"/>
              </w:rPr>
            </w:r>
          </w:p>
        </w:tc>
        <w:tc>
          <w:tcPr>
            <w:tcW w:w="7297" w:type="dxa"/>
            <w:gridSpan w:val="3"/>
            <w:tcBorders>
              <w:top w:val="single" w:sz="4" w:space="0" w:color="000000"/>
              <w:left w:val="single" w:sz="23" w:space="0" w:color="FFFFFF"/>
              <w:bottom w:val="single" w:sz="4" w:space="0" w:color="000000"/>
              <w:right w:val="single" w:sz="4" w:space="0" w:color="000000"/>
            </w:tcBorders>
          </w:tcPr>
          <w:p>
            <w:pPr>
              <w:pStyle w:val="TableParagraph"/>
              <w:spacing w:line="240" w:lineRule="auto" w:before="92"/>
              <w:ind w:left="12" w:right="0"/>
              <w:jc w:val="left"/>
              <w:rPr>
                <w:rFonts w:ascii="Times New Roman" w:hAnsi="Times New Roman" w:cs="Times New Roman" w:eastAsia="Times New Roman" w:hint="default"/>
                <w:sz w:val="18"/>
                <w:szCs w:val="18"/>
              </w:rPr>
            </w:pPr>
            <w:r>
              <w:rPr>
                <w:rFonts w:ascii="Times New Roman"/>
                <w:sz w:val="18"/>
              </w:rPr>
              <w:t>urovo</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GUO</w:t>
            </w:r>
            <w:r>
              <w:rPr>
                <w:rFonts w:ascii="Times New Roman"/>
                <w:spacing w:val="-2"/>
                <w:sz w:val="18"/>
              </w:rPr>
              <w:t> </w:t>
            </w:r>
            <w:r>
              <w:rPr>
                <w:rFonts w:ascii="Times New Roman"/>
                <w:sz w:val="18"/>
              </w:rPr>
              <w:t>SONG</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深圳市南山区粤海街道学府路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号高新区联合总部大厦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518057</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8" w:right="0"/>
              <w:jc w:val="left"/>
              <w:rPr>
                <w:rFonts w:ascii="宋体" w:hAnsi="宋体" w:cs="宋体" w:eastAsia="宋体" w:hint="default"/>
                <w:sz w:val="18"/>
                <w:szCs w:val="18"/>
              </w:rPr>
            </w:pPr>
            <w:r>
              <w:rPr>
                <w:rFonts w:ascii="宋体" w:hAnsi="宋体" w:cs="宋体" w:eastAsia="宋体" w:hint="default"/>
                <w:sz w:val="18"/>
                <w:szCs w:val="18"/>
              </w:rPr>
              <w:t>深圳市南山区粤海街道学府路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号高新区联合总部大厦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r>
              <w:rPr>
                <w:rFonts w:ascii="Times New Roman"/>
                <w:sz w:val="18"/>
              </w:rPr>
              <w:t>518057</w:t>
            </w:r>
          </w:p>
        </w:tc>
      </w:tr>
      <w:tr>
        <w:trPr>
          <w:trHeight w:val="402"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公司国际互联网网址</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hyperlink r:id="rId9">
              <w:r>
                <w:rPr>
                  <w:rFonts w:ascii="Times New Roman"/>
                  <w:sz w:val="18"/>
                </w:rPr>
                <w:t>http://www.urovo.com</w:t>
              </w:r>
            </w:hyperlink>
          </w:p>
        </w:tc>
      </w:tr>
      <w:tr>
        <w:trPr>
          <w:trHeight w:val="403" w:hRule="exact"/>
        </w:trPr>
        <w:tc>
          <w:tcPr>
            <w:tcW w:w="22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97" w:type="dxa"/>
            <w:gridSpan w:val="3"/>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left="28" w:right="0"/>
              <w:jc w:val="left"/>
              <w:rPr>
                <w:rFonts w:ascii="Times New Roman" w:hAnsi="Times New Roman" w:cs="Times New Roman" w:eastAsia="Times New Roman" w:hint="default"/>
                <w:sz w:val="18"/>
                <w:szCs w:val="18"/>
              </w:rPr>
            </w:pPr>
            <w:hyperlink r:id="rId10">
              <w:r>
                <w:rPr>
                  <w:rFonts w:ascii="Times New Roman"/>
                  <w:sz w:val="18"/>
                </w:rPr>
                <w:t>info@urovo.com</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1134"/>
        <w:jc w:val="left"/>
        <w:rPr>
          <w:b w:val="0"/>
          <w:bCs w:val="0"/>
        </w:rPr>
      </w:pPr>
      <w:bookmarkStart w:name="二、联系人和联系方式" w:id="6"/>
      <w:bookmarkEnd w:id="6"/>
      <w:r>
        <w:rPr>
          <w:b w:val="0"/>
          <w:bCs w:val="0"/>
        </w:rPr>
      </w: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257"/>
        <w:gridCol w:w="3662"/>
        <w:gridCol w:w="3651"/>
      </w:tblGrid>
      <w:tr>
        <w:trPr>
          <w:trHeight w:val="402" w:hRule="exact"/>
        </w:trPr>
        <w:tc>
          <w:tcPr>
            <w:tcW w:w="225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6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2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6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刘镇</w:t>
            </w:r>
          </w:p>
        </w:tc>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王腾</w:t>
            </w:r>
          </w:p>
        </w:tc>
      </w:tr>
      <w:tr>
        <w:trPr>
          <w:trHeight w:val="161" w:hRule="exact"/>
        </w:trPr>
        <w:tc>
          <w:tcPr>
            <w:tcW w:w="2257" w:type="dxa"/>
            <w:tcBorders>
              <w:top w:val="single" w:sz="4" w:space="0" w:color="000000"/>
              <w:left w:val="single" w:sz="4" w:space="0" w:color="000000"/>
              <w:bottom w:val="nil" w:sz="6" w:space="0" w:color="auto"/>
              <w:right w:val="single" w:sz="4" w:space="0" w:color="000000"/>
            </w:tcBorders>
            <w:shd w:val="clear" w:color="auto" w:fill="D2D2D2"/>
          </w:tcPr>
          <w:p>
            <w:pPr/>
          </w:p>
        </w:tc>
        <w:tc>
          <w:tcPr>
            <w:tcW w:w="3662" w:type="dxa"/>
            <w:vMerge w:val="restart"/>
            <w:tcBorders>
              <w:top w:val="single" w:sz="4" w:space="0" w:color="000000"/>
              <w:left w:val="single" w:sz="9" w:space="0" w:color="D2D2D2"/>
              <w:right w:val="single" w:sz="4" w:space="0" w:color="000000"/>
            </w:tcBorders>
          </w:tcPr>
          <w:p>
            <w:pPr>
              <w:pStyle w:val="TableParagraph"/>
              <w:spacing w:line="240" w:lineRule="auto" w:before="51"/>
              <w:ind w:left="27" w:right="0"/>
              <w:jc w:val="left"/>
              <w:rPr>
                <w:rFonts w:ascii="宋体" w:hAnsi="宋体" w:cs="宋体" w:eastAsia="宋体" w:hint="default"/>
                <w:sz w:val="18"/>
                <w:szCs w:val="18"/>
              </w:rPr>
            </w:pPr>
            <w:r>
              <w:rPr>
                <w:rFonts w:ascii="宋体" w:hAnsi="宋体" w:cs="宋体" w:eastAsia="宋体" w:hint="default"/>
                <w:sz w:val="18"/>
                <w:szCs w:val="18"/>
              </w:rPr>
              <w:t>深圳市南山区粤海街道学府路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号高新区联</w:t>
            </w:r>
          </w:p>
          <w:p>
            <w:pPr>
              <w:pStyle w:val="TableParagraph"/>
              <w:spacing w:line="240" w:lineRule="auto" w:before="63"/>
              <w:ind w:left="27" w:right="0"/>
              <w:jc w:val="left"/>
              <w:rPr>
                <w:rFonts w:ascii="宋体" w:hAnsi="宋体" w:cs="宋体" w:eastAsia="宋体" w:hint="default"/>
                <w:sz w:val="18"/>
                <w:szCs w:val="18"/>
              </w:rPr>
            </w:pPr>
            <w:r>
              <w:rPr>
                <w:rFonts w:ascii="宋体" w:hAnsi="宋体" w:cs="宋体" w:eastAsia="宋体" w:hint="default"/>
                <w:sz w:val="18"/>
                <w:szCs w:val="18"/>
              </w:rPr>
              <w:t>合总部大厦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 </w:t>
            </w:r>
            <w:r>
              <w:rPr>
                <w:rFonts w:ascii="宋体" w:hAnsi="宋体" w:cs="宋体" w:eastAsia="宋体" w:hint="default"/>
                <w:sz w:val="18"/>
                <w:szCs w:val="18"/>
              </w:rPr>
              <w:t>楼</w:t>
            </w:r>
          </w:p>
        </w:tc>
        <w:tc>
          <w:tcPr>
            <w:tcW w:w="3651" w:type="dxa"/>
            <w:vMerge w:val="restart"/>
            <w:tcBorders>
              <w:top w:val="single" w:sz="4" w:space="0" w:color="000000"/>
              <w:left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深圳市南山区粤海街道学府路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号高新区联</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合总部大厦</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r>
      <w:tr>
        <w:trPr>
          <w:trHeight w:val="392" w:hRule="exact"/>
        </w:trPr>
        <w:tc>
          <w:tcPr>
            <w:tcW w:w="225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662" w:type="dxa"/>
            <w:vMerge/>
            <w:tcBorders>
              <w:left w:val="single" w:sz="9" w:space="0" w:color="D2D2D2"/>
              <w:right w:val="single" w:sz="4" w:space="0" w:color="000000"/>
            </w:tcBorders>
          </w:tcPr>
          <w:p>
            <w:pPr/>
          </w:p>
        </w:tc>
        <w:tc>
          <w:tcPr>
            <w:tcW w:w="3651" w:type="dxa"/>
            <w:vMerge/>
            <w:tcBorders>
              <w:left w:val="single" w:sz="4" w:space="0" w:color="000000"/>
              <w:right w:val="single" w:sz="4" w:space="0" w:color="000000"/>
            </w:tcBorders>
          </w:tcPr>
          <w:p>
            <w:pPr/>
          </w:p>
        </w:tc>
      </w:tr>
      <w:tr>
        <w:trPr>
          <w:trHeight w:val="161" w:hRule="exact"/>
        </w:trPr>
        <w:tc>
          <w:tcPr>
            <w:tcW w:w="2257" w:type="dxa"/>
            <w:tcBorders>
              <w:top w:val="nil" w:sz="6" w:space="0" w:color="auto"/>
              <w:left w:val="single" w:sz="4" w:space="0" w:color="000000"/>
              <w:bottom w:val="single" w:sz="4" w:space="0" w:color="000000"/>
              <w:right w:val="single" w:sz="4" w:space="0" w:color="000000"/>
            </w:tcBorders>
            <w:shd w:val="clear" w:color="auto" w:fill="D2D2D2"/>
          </w:tcPr>
          <w:p>
            <w:pPr/>
          </w:p>
        </w:tc>
        <w:tc>
          <w:tcPr>
            <w:tcW w:w="3662" w:type="dxa"/>
            <w:vMerge/>
            <w:tcBorders>
              <w:left w:val="single" w:sz="9" w:space="0" w:color="D2D2D2"/>
              <w:bottom w:val="single" w:sz="4" w:space="0" w:color="000000"/>
              <w:right w:val="single" w:sz="4" w:space="0" w:color="000000"/>
            </w:tcBorders>
          </w:tcPr>
          <w:p>
            <w:pPr/>
          </w:p>
        </w:tc>
        <w:tc>
          <w:tcPr>
            <w:tcW w:w="3651" w:type="dxa"/>
            <w:vMerge/>
            <w:tcBorders>
              <w:left w:val="single" w:sz="4" w:space="0" w:color="000000"/>
              <w:bottom w:val="single" w:sz="4" w:space="0" w:color="000000"/>
              <w:right w:val="single" w:sz="4" w:space="0" w:color="000000"/>
            </w:tcBorders>
          </w:tcPr>
          <w:p>
            <w:pPr/>
          </w:p>
        </w:tc>
      </w:tr>
      <w:tr>
        <w:trPr>
          <w:trHeight w:val="402" w:hRule="exact"/>
        </w:trPr>
        <w:tc>
          <w:tcPr>
            <w:tcW w:w="2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6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0755-22673923</w:t>
            </w:r>
          </w:p>
        </w:tc>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0755-22673923</w:t>
            </w:r>
          </w:p>
        </w:tc>
      </w:tr>
      <w:tr>
        <w:trPr>
          <w:trHeight w:val="402" w:hRule="exact"/>
        </w:trPr>
        <w:tc>
          <w:tcPr>
            <w:tcW w:w="2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6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0755-86520430</w:t>
            </w:r>
          </w:p>
        </w:tc>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0755-86520430</w:t>
            </w:r>
          </w:p>
        </w:tc>
      </w:tr>
      <w:tr>
        <w:trPr>
          <w:trHeight w:val="402" w:hRule="exact"/>
        </w:trPr>
        <w:tc>
          <w:tcPr>
            <w:tcW w:w="22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6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1">
              <w:r>
                <w:rPr>
                  <w:rFonts w:ascii="Times New Roman"/>
                  <w:sz w:val="18"/>
                </w:rPr>
                <w:t>liuzh</w:t>
              </w:r>
            </w:hyperlink>
            <w:hyperlink r:id="rId12">
              <w:r>
                <w:rPr>
                  <w:rFonts w:ascii="Times New Roman"/>
                  <w:sz w:val="18"/>
                </w:rPr>
                <w:t>en@urovo.com</w:t>
              </w:r>
            </w:hyperlink>
          </w:p>
        </w:tc>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3">
              <w:r>
                <w:rPr>
                  <w:rFonts w:ascii="Times New Roman"/>
                  <w:sz w:val="18"/>
                </w:rPr>
                <w:t>teng.wang@urovo.com</w:t>
              </w:r>
            </w:hyperlink>
          </w:p>
        </w:tc>
      </w:tr>
    </w:tbl>
    <w:p>
      <w:pPr>
        <w:spacing w:line="240" w:lineRule="auto" w:before="2"/>
        <w:rPr>
          <w:rFonts w:ascii="宋体" w:hAnsi="宋体" w:cs="宋体" w:eastAsia="宋体" w:hint="default"/>
          <w:b/>
          <w:bCs/>
          <w:sz w:val="18"/>
          <w:szCs w:val="18"/>
        </w:rPr>
      </w:pPr>
    </w:p>
    <w:p>
      <w:pPr>
        <w:pStyle w:val="Heading2"/>
        <w:spacing w:line="240" w:lineRule="auto" w:before="26"/>
        <w:ind w:right="1134"/>
        <w:jc w:val="left"/>
        <w:rPr>
          <w:b w:val="0"/>
          <w:bCs w:val="0"/>
        </w:rPr>
      </w:pPr>
      <w:bookmarkStart w:name="三、信息披露及备置地点" w:id="7"/>
      <w:bookmarkEnd w:id="7"/>
      <w:r>
        <w:rPr>
          <w:b w:val="0"/>
          <w:bCs w:val="0"/>
        </w:rPr>
      </w: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993"/>
        <w:gridCol w:w="5576"/>
      </w:tblGrid>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《证券日报</w:t>
            </w:r>
            <w:r>
              <w:rPr>
                <w:rFonts w:ascii="宋体" w:hAnsi="宋体" w:cs="宋体" w:eastAsia="宋体" w:hint="default"/>
                <w:spacing w:val="-90"/>
                <w:sz w:val="18"/>
                <w:szCs w:val="18"/>
              </w:rPr>
              <w:t>》、</w:t>
            </w:r>
            <w:r>
              <w:rPr>
                <w:rFonts w:ascii="宋体" w:hAnsi="宋体" w:cs="宋体" w:eastAsia="宋体" w:hint="default"/>
                <w:sz w:val="18"/>
                <w:szCs w:val="18"/>
              </w:rPr>
              <w:t>《中国证券报</w:t>
            </w:r>
            <w:r>
              <w:rPr>
                <w:rFonts w:ascii="宋体" w:hAnsi="宋体" w:cs="宋体" w:eastAsia="宋体" w:hint="default"/>
                <w:spacing w:val="-90"/>
                <w:sz w:val="18"/>
                <w:szCs w:val="18"/>
              </w:rPr>
              <w:t>》、</w:t>
            </w:r>
            <w:r>
              <w:rPr>
                <w:rFonts w:ascii="宋体" w:hAnsi="宋体" w:cs="宋体" w:eastAsia="宋体" w:hint="default"/>
                <w:sz w:val="18"/>
                <w:szCs w:val="18"/>
              </w:rPr>
              <w:t>《上海证券报》</w:t>
            </w:r>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14">
              <w:r>
                <w:rPr>
                  <w:rFonts w:ascii="Times New Roman"/>
                  <w:sz w:val="18"/>
                </w:rPr>
                <w:t>www.cninfo.com.cn</w:t>
              </w:r>
            </w:hyperlink>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公司证券部、深圳证券交易所</w:t>
            </w:r>
          </w:p>
        </w:tc>
      </w:tr>
    </w:tbl>
    <w:p>
      <w:pPr>
        <w:spacing w:line="240" w:lineRule="auto" w:before="2"/>
        <w:rPr>
          <w:rFonts w:ascii="宋体" w:hAnsi="宋体" w:cs="宋体" w:eastAsia="宋体" w:hint="default"/>
          <w:b/>
          <w:bCs/>
          <w:sz w:val="18"/>
          <w:szCs w:val="18"/>
        </w:rPr>
      </w:pPr>
    </w:p>
    <w:p>
      <w:pPr>
        <w:pStyle w:val="Heading2"/>
        <w:spacing w:line="240" w:lineRule="auto" w:before="26"/>
        <w:ind w:right="1134"/>
        <w:jc w:val="left"/>
        <w:rPr>
          <w:b w:val="0"/>
          <w:bCs w:val="0"/>
        </w:rPr>
      </w:pPr>
      <w:bookmarkStart w:name="四、其他有关资料" w:id="8"/>
      <w:bookmarkEnd w:id="8"/>
      <w:r>
        <w:rPr>
          <w:b w:val="0"/>
          <w:bCs w:val="0"/>
        </w:rPr>
      </w:r>
      <w:r>
        <w:rPr/>
        <w:t>四、其他有关资料</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4"/>
        <w:jc w:val="left"/>
      </w:pPr>
      <w:r>
        <w:rPr/>
        <w:t>公司聘请的会计师事务所</w:t>
      </w:r>
    </w:p>
    <w:p>
      <w:pPr>
        <w:spacing w:after="0" w:line="240" w:lineRule="auto"/>
        <w:jc w:val="lef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62"/>
        <w:gridCol w:w="6907"/>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大华会计师事务所（特殊普通合伙）</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北京市海淀区西四环中路</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号院</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号楼</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1101</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陈葆华、周灵芝</w:t>
            </w:r>
          </w:p>
        </w:tc>
      </w:tr>
    </w:tbl>
    <w:p>
      <w:pPr>
        <w:pStyle w:val="BodyText"/>
        <w:spacing w:line="240" w:lineRule="auto" w:before="51"/>
        <w:ind w:right="1134"/>
        <w:jc w:val="left"/>
      </w:pPr>
      <w:r>
        <w:rPr/>
        <w:t>公司聘请的报告期内履行持续督导职责的保荐机构</w:t>
      </w:r>
    </w:p>
    <w:p>
      <w:pPr>
        <w:pStyle w:val="BodyText"/>
        <w:spacing w:line="240" w:lineRule="auto" w:before="117"/>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694"/>
        <w:gridCol w:w="3261"/>
        <w:gridCol w:w="1701"/>
        <w:gridCol w:w="1913"/>
      </w:tblGrid>
      <w:tr>
        <w:trPr>
          <w:trHeight w:val="401"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800"/>
              <w:jc w:val="right"/>
              <w:rPr>
                <w:rFonts w:ascii="宋体" w:hAnsi="宋体" w:cs="宋体" w:eastAsia="宋体" w:hint="default"/>
                <w:sz w:val="18"/>
                <w:szCs w:val="18"/>
              </w:rPr>
            </w:pPr>
            <w:r>
              <w:rPr>
                <w:rFonts w:ascii="宋体" w:hAnsi="宋体" w:cs="宋体" w:eastAsia="宋体" w:hint="default"/>
                <w:sz w:val="18"/>
                <w:szCs w:val="18"/>
              </w:rPr>
              <w:t>保荐机构名称</w:t>
            </w:r>
          </w:p>
        </w:tc>
        <w:tc>
          <w:tcPr>
            <w:tcW w:w="32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04" w:right="0"/>
              <w:jc w:val="left"/>
              <w:rPr>
                <w:rFonts w:ascii="宋体" w:hAnsi="宋体" w:cs="宋体" w:eastAsia="宋体" w:hint="default"/>
                <w:sz w:val="18"/>
                <w:szCs w:val="18"/>
              </w:rPr>
            </w:pPr>
            <w:r>
              <w:rPr>
                <w:rFonts w:ascii="宋体" w:hAnsi="宋体" w:cs="宋体" w:eastAsia="宋体" w:hint="default"/>
                <w:sz w:val="18"/>
                <w:szCs w:val="18"/>
              </w:rPr>
              <w:t>保荐机构办公地址</w:t>
            </w:r>
          </w:p>
        </w:tc>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4" w:right="0"/>
              <w:jc w:val="left"/>
              <w:rPr>
                <w:rFonts w:ascii="宋体" w:hAnsi="宋体" w:cs="宋体" w:eastAsia="宋体" w:hint="default"/>
                <w:sz w:val="18"/>
                <w:szCs w:val="18"/>
              </w:rPr>
            </w:pPr>
            <w:r>
              <w:rPr>
                <w:rFonts w:ascii="宋体" w:hAnsi="宋体" w:cs="宋体" w:eastAsia="宋体" w:hint="default"/>
                <w:sz w:val="18"/>
                <w:szCs w:val="18"/>
              </w:rPr>
              <w:t>保荐代表人姓名</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11"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715" w:hRule="exact"/>
        </w:trPr>
        <w:tc>
          <w:tcPr>
            <w:tcW w:w="2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861"/>
              <w:jc w:val="right"/>
              <w:rPr>
                <w:rFonts w:ascii="宋体" w:hAnsi="宋体" w:cs="宋体" w:eastAsia="宋体" w:hint="default"/>
                <w:sz w:val="18"/>
                <w:szCs w:val="18"/>
              </w:rPr>
            </w:pPr>
            <w:r>
              <w:rPr>
                <w:rFonts w:ascii="宋体" w:hAnsi="宋体" w:cs="宋体" w:eastAsia="宋体" w:hint="default"/>
                <w:sz w:val="18"/>
                <w:szCs w:val="18"/>
              </w:rPr>
              <w:t>中信证券股份有限公司</w:t>
            </w:r>
          </w:p>
        </w:tc>
        <w:tc>
          <w:tcPr>
            <w:tcW w:w="3261"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121"/>
              <w:jc w:val="left"/>
              <w:rPr>
                <w:rFonts w:ascii="宋体" w:hAnsi="宋体" w:cs="宋体" w:eastAsia="宋体" w:hint="default"/>
                <w:sz w:val="18"/>
                <w:szCs w:val="18"/>
              </w:rPr>
            </w:pPr>
            <w:r>
              <w:rPr>
                <w:rFonts w:ascii="宋体" w:hAnsi="宋体" w:cs="宋体" w:eastAsia="宋体" w:hint="default"/>
                <w:sz w:val="18"/>
                <w:szCs w:val="18"/>
              </w:rPr>
              <w:t>广东省深圳市福田区中心三路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号卓越 时代广场（二期） 北座</w:t>
            </w:r>
          </w:p>
        </w:tc>
        <w:tc>
          <w:tcPr>
            <w:tcW w:w="17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刘顺明、何锋</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2016.08.09-2019.12.31</w:t>
            </w:r>
          </w:p>
        </w:tc>
      </w:tr>
    </w:tbl>
    <w:p>
      <w:pPr>
        <w:pStyle w:val="BodyText"/>
        <w:spacing w:line="240" w:lineRule="auto" w:before="51"/>
        <w:ind w:right="1134"/>
        <w:jc w:val="left"/>
      </w:pPr>
      <w:r>
        <w:rPr/>
        <w:t>公司聘请的报告期内履行持续督导职责的财务顾问</w:t>
      </w:r>
    </w:p>
    <w:p>
      <w:pPr>
        <w:pStyle w:val="BodyText"/>
        <w:spacing w:line="240" w:lineRule="auto" w:before="116"/>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24"/>
          <w:szCs w:val="24"/>
        </w:rPr>
      </w:pPr>
    </w:p>
    <w:p>
      <w:pPr>
        <w:pStyle w:val="Heading2"/>
        <w:spacing w:line="240" w:lineRule="auto"/>
        <w:ind w:right="1134"/>
        <w:jc w:val="left"/>
        <w:rPr>
          <w:b w:val="0"/>
          <w:bCs w:val="0"/>
        </w:rPr>
      </w:pPr>
      <w:bookmarkStart w:name="五、主要会计数据和财务指标" w:id="9"/>
      <w:bookmarkEnd w:id="9"/>
      <w:r>
        <w:rPr>
          <w:b w:val="0"/>
          <w:bCs w:val="0"/>
        </w:rPr>
      </w:r>
      <w:r>
        <w:rPr/>
        <w:t>五、主要会计数据和财务指标</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4"/>
        <w:jc w:val="left"/>
      </w:pPr>
      <w:r>
        <w:rPr/>
        <w:t>公司是否需追溯调整或重述以前年度会计数据</w:t>
      </w:r>
    </w:p>
    <w:p>
      <w:pPr>
        <w:pStyle w:val="BodyText"/>
        <w:spacing w:line="240" w:lineRule="auto" w:before="117"/>
        <w:ind w:right="113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line="240" w:lineRule="auto" w:before="12"/>
        <w:rPr>
          <w:rFonts w:ascii="宋体" w:hAnsi="宋体" w:cs="宋体" w:eastAsia="宋体" w:hint="default"/>
          <w:sz w:val="6"/>
          <w:szCs w:val="6"/>
        </w:rPr>
      </w:pPr>
    </w:p>
    <w:tbl>
      <w:tblPr>
        <w:tblW w:w="0" w:type="auto"/>
        <w:jc w:val="left"/>
        <w:tblInd w:w="160" w:type="dxa"/>
        <w:tblLayout w:type="fixed"/>
        <w:tblCellMar>
          <w:top w:w="0" w:type="dxa"/>
          <w:left w:w="0" w:type="dxa"/>
          <w:bottom w:w="0" w:type="dxa"/>
          <w:right w:w="0" w:type="dxa"/>
        </w:tblCellMar>
        <w:tblLook w:val="01E0"/>
      </w:tblPr>
      <w:tblGrid>
        <w:gridCol w:w="3096"/>
        <w:gridCol w:w="1625"/>
        <w:gridCol w:w="1613"/>
        <w:gridCol w:w="1736"/>
        <w:gridCol w:w="1489"/>
      </w:tblGrid>
      <w:tr>
        <w:trPr>
          <w:trHeight w:val="402" w:hRule="exact"/>
        </w:trPr>
        <w:tc>
          <w:tcPr>
            <w:tcW w:w="30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本年比上年增减</w:t>
            </w:r>
          </w:p>
        </w:tc>
        <w:tc>
          <w:tcPr>
            <w:tcW w:w="14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4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3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62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951,939,425.66</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443,219,977.40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114.78%</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332,963,233.40</w:t>
            </w:r>
          </w:p>
        </w:tc>
      </w:tr>
      <w:tr>
        <w:trPr>
          <w:trHeight w:val="402" w:hRule="exact"/>
        </w:trPr>
        <w:tc>
          <w:tcPr>
            <w:tcW w:w="3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归属于上市公司股东的净利润（元）</w:t>
            </w:r>
          </w:p>
        </w:tc>
        <w:tc>
          <w:tcPr>
            <w:tcW w:w="162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117,250,420.08</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48,613,327.58</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141.19%</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67,565,437.52</w:t>
            </w:r>
          </w:p>
        </w:tc>
      </w:tr>
      <w:tr>
        <w:trPr>
          <w:trHeight w:val="714" w:hRule="exact"/>
        </w:trPr>
        <w:tc>
          <w:tcPr>
            <w:tcW w:w="3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3"/>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归属于上市公司股东的扣除非经常性损 益的净利润（元）</w:t>
            </w:r>
          </w:p>
        </w:tc>
        <w:tc>
          <w:tcPr>
            <w:tcW w:w="162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105,229,602.45</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38,847,809.64</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170.88%</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57,038,777.92</w:t>
            </w:r>
          </w:p>
        </w:tc>
      </w:tr>
      <w:tr>
        <w:trPr>
          <w:trHeight w:val="402" w:hRule="exact"/>
        </w:trPr>
        <w:tc>
          <w:tcPr>
            <w:tcW w:w="3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经营活动产生的现金流量净额（元）</w:t>
            </w:r>
          </w:p>
        </w:tc>
        <w:tc>
          <w:tcPr>
            <w:tcW w:w="162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-27,279,864.12</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58,816,369.14</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-146.38%</w:t>
            </w:r>
            <w:r>
              <w:rPr>
                <w:rFonts w:ascii="Times New Roman"/>
                <w:sz w:val="18"/>
              </w:rPr>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31,661,673.93</w:t>
            </w:r>
          </w:p>
        </w:tc>
      </w:tr>
      <w:tr>
        <w:trPr>
          <w:trHeight w:val="402" w:hRule="exact"/>
        </w:trPr>
        <w:tc>
          <w:tcPr>
            <w:tcW w:w="3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62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0.42</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147.06%</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0.29</w:t>
            </w:r>
          </w:p>
        </w:tc>
      </w:tr>
      <w:tr>
        <w:trPr>
          <w:trHeight w:val="402" w:hRule="exact"/>
        </w:trPr>
        <w:tc>
          <w:tcPr>
            <w:tcW w:w="3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62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0.42</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147.06%</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0.29</w:t>
            </w:r>
          </w:p>
        </w:tc>
      </w:tr>
      <w:tr>
        <w:trPr>
          <w:trHeight w:val="402" w:hRule="exact"/>
        </w:trPr>
        <w:tc>
          <w:tcPr>
            <w:tcW w:w="3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62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17.96%</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8.42%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9.54%</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18.01%</w:t>
            </w:r>
          </w:p>
        </w:tc>
      </w:tr>
      <w:tr>
        <w:trPr>
          <w:trHeight w:val="402" w:hRule="exact"/>
        </w:trPr>
        <w:tc>
          <w:tcPr>
            <w:tcW w:w="30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
              <w:jc w:val="right"/>
              <w:rPr>
                <w:rFonts w:ascii="宋体" w:hAnsi="宋体" w:cs="宋体" w:eastAsia="宋体" w:hint="default"/>
                <w:sz w:val="18"/>
                <w:szCs w:val="18"/>
              </w:rPr>
            </w:pPr>
            <w:r>
              <w:rPr>
                <w:rFonts w:ascii="宋体" w:hAnsi="宋体" w:cs="宋体" w:eastAsia="宋体" w:hint="default"/>
                <w:sz w:val="18"/>
                <w:szCs w:val="18"/>
              </w:rPr>
              <w:t>本年末比上年末增减</w:t>
            </w:r>
          </w:p>
        </w:tc>
        <w:tc>
          <w:tcPr>
            <w:tcW w:w="14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5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402" w:hRule="exact"/>
        </w:trPr>
        <w:tc>
          <w:tcPr>
            <w:tcW w:w="3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62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1,192,758,621.44</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848,785,657.46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40.53%</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644,091,777.41</w:t>
            </w:r>
          </w:p>
        </w:tc>
      </w:tr>
      <w:tr>
        <w:trPr>
          <w:trHeight w:val="402" w:hRule="exact"/>
        </w:trPr>
        <w:tc>
          <w:tcPr>
            <w:tcW w:w="30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归属于上市公司股东的净资产（元）</w:t>
            </w:r>
          </w:p>
        </w:tc>
        <w:tc>
          <w:tcPr>
            <w:tcW w:w="162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708,495,679.25</w:t>
            </w: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596,864,918.84</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18.70%</w:t>
            </w:r>
          </w:p>
        </w:tc>
        <w:tc>
          <w:tcPr>
            <w:tcW w:w="14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560,259,665.31</w:t>
            </w:r>
          </w:p>
        </w:tc>
      </w:tr>
    </w:tbl>
    <w:p>
      <w:pPr>
        <w:spacing w:line="240" w:lineRule="auto" w:before="2"/>
        <w:rPr>
          <w:rFonts w:ascii="宋体" w:hAnsi="宋体" w:cs="宋体" w:eastAsia="宋体" w:hint="default"/>
          <w:sz w:val="18"/>
          <w:szCs w:val="18"/>
        </w:rPr>
      </w:pPr>
    </w:p>
    <w:p>
      <w:pPr>
        <w:pStyle w:val="Heading2"/>
        <w:spacing w:line="240" w:lineRule="auto" w:before="26"/>
        <w:ind w:right="1134"/>
        <w:jc w:val="left"/>
        <w:rPr>
          <w:b w:val="0"/>
          <w:bCs w:val="0"/>
        </w:rPr>
      </w:pPr>
      <w:bookmarkStart w:name="六、分季度主要财务指标" w:id="10"/>
      <w:bookmarkEnd w:id="10"/>
      <w:r>
        <w:rPr>
          <w:b w:val="0"/>
          <w:bCs w:val="0"/>
        </w:rPr>
      </w:r>
      <w:r>
        <w:rPr/>
        <w:t>六、分季度主要财务指标</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left="5856"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598"/>
        <w:gridCol w:w="1749"/>
        <w:gridCol w:w="1736"/>
        <w:gridCol w:w="1738"/>
        <w:gridCol w:w="1736"/>
      </w:tblGrid>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 w:right="0"/>
              <w:jc w:val="center"/>
              <w:rPr>
                <w:rFonts w:ascii="宋体" w:hAnsi="宋体" w:cs="宋体" w:eastAsia="宋体" w:hint="default"/>
                <w:sz w:val="18"/>
                <w:szCs w:val="18"/>
              </w:rPr>
            </w:pPr>
            <w:r>
              <w:rPr>
                <w:rFonts w:ascii="宋体" w:hAnsi="宋体" w:cs="宋体" w:eastAsia="宋体" w:hint="default"/>
                <w:sz w:val="18"/>
                <w:szCs w:val="18"/>
              </w:rPr>
              <w:t>第一季度</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第二季度</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第三季度</w:t>
            </w:r>
          </w:p>
        </w:tc>
        <w:tc>
          <w:tcPr>
            <w:tcW w:w="1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4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122,440,156.79</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208,977,805.80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362,022,464.49</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258,498,998.58</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4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26,100,424.72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26,153,070.53</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46,665,140.19</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18,331,784.64</w:t>
            </w:r>
          </w:p>
        </w:tc>
      </w:tr>
      <w:tr>
        <w:trPr>
          <w:trHeight w:val="714"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5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4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23,560,622.06</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22,736,841.78</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42,265,637.57</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16,666,501.04</w:t>
            </w:r>
          </w:p>
        </w:tc>
      </w:tr>
      <w:tr>
        <w:trPr>
          <w:trHeight w:val="402" w:hRule="exact"/>
        </w:trPr>
        <w:tc>
          <w:tcPr>
            <w:tcW w:w="25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-3,487,097.10</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-119,467,142.25</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-58,045,644.92</w:t>
            </w:r>
          </w:p>
        </w:tc>
        <w:tc>
          <w:tcPr>
            <w:tcW w:w="1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153,720,020.15</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1134"/>
        <w:jc w:val="left"/>
      </w:pPr>
      <w:r>
        <w:rPr/>
        <w:t>上述财务指标或其加总数是否与公司已披露季度报告、半年度报告相关财务指标存在重大差异</w:t>
      </w:r>
    </w:p>
    <w:p>
      <w:pPr>
        <w:pStyle w:val="BodyText"/>
        <w:spacing w:line="240" w:lineRule="auto" w:before="116"/>
        <w:ind w:right="113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line="240" w:lineRule="auto" w:before="0"/>
        <w:rPr>
          <w:rFonts w:ascii="宋体" w:hAnsi="宋体" w:cs="宋体" w:eastAsia="宋体" w:hint="default"/>
          <w:sz w:val="24"/>
          <w:szCs w:val="24"/>
        </w:rPr>
      </w:pPr>
    </w:p>
    <w:p>
      <w:pPr>
        <w:pStyle w:val="Heading2"/>
        <w:spacing w:line="240" w:lineRule="auto"/>
        <w:ind w:right="1134"/>
        <w:jc w:val="left"/>
        <w:rPr>
          <w:b w:val="0"/>
          <w:bCs w:val="0"/>
        </w:rPr>
      </w:pPr>
      <w:bookmarkStart w:name="七、境内外会计准则下会计数据差异" w:id="11"/>
      <w:bookmarkEnd w:id="11"/>
      <w:r>
        <w:rPr>
          <w:b w:val="0"/>
          <w:bCs w:val="0"/>
        </w:rPr>
      </w:r>
      <w:r>
        <w:rPr/>
        <w:t>七、境内外会计准则下会计数据差异</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同时按照国际会计准则与按照中国会计准则披露的财务报告中净利润和净资产差异情况" w:id="12"/>
      <w:bookmarkEnd w:id="12"/>
      <w:r>
        <w:rPr>
          <w:b w:val="0"/>
          <w:bCs w:val="0"/>
        </w:rPr>
      </w:r>
      <w:r>
        <w:rPr>
          <w:rFonts w:ascii="Times New Roman" w:hAnsi="Times New Roman" w:cs="Times New Roman" w:eastAsia="Times New Roman" w:hint="default"/>
        </w:rPr>
        <w:t>1</w:t>
      </w:r>
      <w:r>
        <w:rPr/>
        <w:t>、同时按照国际会计准则与按照中国会计准则披露的财务报告中净利润和净资产差异情况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1393"/>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公司报告期不存在按照国际会计准则与按照中国会计准则披露的财务报告中净利润和净资产差异情况。</w:t>
      </w:r>
    </w:p>
    <w:p>
      <w:pPr>
        <w:spacing w:line="240" w:lineRule="auto" w:before="12"/>
        <w:rPr>
          <w:rFonts w:ascii="宋体" w:hAnsi="宋体" w:cs="宋体" w:eastAsia="宋体" w:hint="default"/>
          <w:sz w:val="20"/>
          <w:szCs w:val="20"/>
        </w:rPr>
      </w:pPr>
    </w:p>
    <w:p>
      <w:pPr>
        <w:pStyle w:val="Heading3"/>
        <w:spacing w:line="240" w:lineRule="auto"/>
        <w:ind w:right="1134"/>
        <w:jc w:val="left"/>
        <w:rPr>
          <w:b w:val="0"/>
          <w:bCs w:val="0"/>
        </w:rPr>
      </w:pPr>
      <w:bookmarkStart w:name="2、同时按照境外会计准则与按照中国会计准则披露的财务报告中净利润和净资产差异情况" w:id="13"/>
      <w:bookmarkEnd w:id="13"/>
      <w:r>
        <w:rPr>
          <w:b w:val="0"/>
          <w:bCs w:val="0"/>
        </w:rPr>
      </w:r>
      <w:r>
        <w:rPr>
          <w:rFonts w:ascii="Times New Roman" w:hAnsi="Times New Roman" w:cs="Times New Roman" w:eastAsia="Times New Roman" w:hint="default"/>
        </w:rPr>
        <w:t>2</w:t>
      </w:r>
      <w:r>
        <w:rPr/>
        <w:t>、同时按照境外会计准则与按照中国会计准则披露的财务报告中净利润和净资产差异情况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265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公司报告期不存在按照境外会计准则与按照中国会计准则披露的财务报告中净利润和净资产差异情况。</w:t>
      </w:r>
    </w:p>
    <w:p>
      <w:pPr>
        <w:spacing w:line="240" w:lineRule="auto" w:before="6"/>
        <w:rPr>
          <w:rFonts w:ascii="宋体" w:hAnsi="宋体" w:cs="宋体" w:eastAsia="宋体" w:hint="default"/>
          <w:sz w:val="19"/>
          <w:szCs w:val="19"/>
        </w:rPr>
      </w:pPr>
    </w:p>
    <w:p>
      <w:pPr>
        <w:pStyle w:val="Heading2"/>
        <w:spacing w:line="240" w:lineRule="auto"/>
        <w:ind w:right="1134"/>
        <w:jc w:val="left"/>
        <w:rPr>
          <w:b w:val="0"/>
          <w:bCs w:val="0"/>
        </w:rPr>
      </w:pPr>
      <w:bookmarkStart w:name="八、非经常性损益项目及金额" w:id="14"/>
      <w:bookmarkEnd w:id="14"/>
      <w:r>
        <w:rPr>
          <w:b w:val="0"/>
          <w:bCs w:val="0"/>
        </w:rPr>
      </w:r>
      <w:r>
        <w:rPr/>
        <w:t>八、非经常性损益项目及金额</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3"/>
        <w:ind w:left="5856"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4373"/>
        <w:gridCol w:w="1428"/>
        <w:gridCol w:w="1277"/>
        <w:gridCol w:w="1276"/>
        <w:gridCol w:w="1204"/>
      </w:tblGrid>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2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4"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31"/>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非流动资产处置损益（包括已计提资产减值准备的冲销 部分）</w:t>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-25,631.85</w:t>
            </w:r>
            <w:r>
              <w:rPr>
                <w:rFonts w:ascii="Times New Roman"/>
                <w:sz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46,224.91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-87,242.25</w:t>
            </w:r>
            <w:r>
              <w:rPr>
                <w:rFonts w:ascii="Times New Roman"/>
                <w:sz w:val="18"/>
              </w:rPr>
            </w:r>
          </w:p>
        </w:tc>
        <w:tc>
          <w:tcPr>
            <w:tcW w:w="120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31"/>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计入当期损益的政府补助（与企业业务密切相关，按照 国家统一标准定额或定量享受的政府补助除外）</w:t>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9,261,258.45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6,302,829.83</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9,809,669.22</w:t>
            </w:r>
          </w:p>
        </w:tc>
        <w:tc>
          <w:tcPr>
            <w:tcW w:w="1204"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29"/>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 有交易性金融资产、交易性金融负债产生的公允价值变 动损益，以及处置交易性金融资产、交易性金融负债和 可供出售金融资产取得的投资收益</w:t>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4,649,031.48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3,037,384.01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806,139.60</w:t>
            </w:r>
          </w:p>
        </w:tc>
        <w:tc>
          <w:tcPr>
            <w:tcW w:w="120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-1,161,579.03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647,128.28</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240,143.62</w:t>
            </w:r>
          </w:p>
        </w:tc>
        <w:tc>
          <w:tcPr>
            <w:tcW w:w="120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188,587.48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63,109.51</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473,939.24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89,492.71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242,050.59</w:t>
            </w:r>
          </w:p>
        </w:tc>
        <w:tc>
          <w:tcPr>
            <w:tcW w:w="120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416,909.66</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241,665.89</w:t>
            </w:r>
          </w:p>
        </w:tc>
        <w:tc>
          <w:tcPr>
            <w:tcW w:w="1276" w:type="dxa"/>
            <w:tcBorders>
              <w:top w:val="single" w:sz="4" w:space="0" w:color="000000"/>
              <w:left w:val="single" w:sz="4" w:space="0" w:color="000000"/>
              <w:bottom w:val="single" w:sz="4" w:space="0" w:color="000000"/>
              <w:right w:val="single" w:sz="4" w:space="0" w:color="000000"/>
            </w:tcBorders>
          </w:tcPr>
          <w:p>
            <w:pPr/>
          </w:p>
        </w:tc>
        <w:tc>
          <w:tcPr>
            <w:tcW w:w="120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43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12,020,817.63</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9,765,517.94</w:t>
            </w:r>
          </w:p>
        </w:tc>
        <w:tc>
          <w:tcPr>
            <w:tcW w:w="127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pacing w:val="-1"/>
                <w:sz w:val="18"/>
              </w:rPr>
              <w:t>10,526,659.60</w:t>
            </w:r>
          </w:p>
        </w:tc>
        <w:tc>
          <w:tcPr>
            <w:tcW w:w="12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0"/>
        <w:jc w:val="left"/>
      </w:pPr>
      <w:r>
        <w:rPr>
          <w:spacing w:val="-3"/>
        </w:rPr>
        <w:t>对公司根据《公开发行证券的公司信息披露解释性公告第</w:t>
      </w:r>
      <w:r>
        <w:rPr>
          <w:spacing w:val="-39"/>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pStyle w:val="BodyText"/>
        <w:spacing w:line="302" w:lineRule="auto" w:before="63"/>
        <w:ind w:right="1118"/>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6"/>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pStyle w:val="BodyText"/>
        <w:spacing w:line="240" w:lineRule="auto" w:before="69"/>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302" w:lineRule="auto" w:before="101"/>
        <w:ind w:right="1116"/>
        <w:jc w:val="left"/>
      </w:pPr>
      <w:r>
        <w:rPr/>
        <w:t>公司报告期不存在将根据《公开发行证券的公司信息披露解释性公告第</w:t>
      </w:r>
      <w:r>
        <w:rPr>
          <w:spacing w:val="-54"/>
        </w:rPr>
        <w:t> </w:t>
      </w:r>
      <w:r>
        <w:rPr>
          <w:rFonts w:ascii="Times New Roman" w:hAnsi="Times New Roman" w:cs="Times New Roman" w:eastAsia="Times New Roman" w:hint="default"/>
        </w:rPr>
        <w:t>1</w:t>
      </w:r>
      <w:r>
        <w:rPr>
          <w:rFonts w:ascii="Times New Roman" w:hAnsi="Times New Roman" w:cs="Times New Roman" w:eastAsia="Times New Roman" w:hint="default"/>
          <w:spacing w:val="-9"/>
        </w:rPr>
        <w:t> </w:t>
      </w:r>
      <w:r>
        <w:rPr>
          <w:spacing w:val="-3"/>
        </w:rPr>
        <w:t>号</w:t>
      </w:r>
      <w:r>
        <w:rPr>
          <w:rFonts w:ascii="Times New Roman" w:hAnsi="Times New Roman" w:cs="Times New Roman" w:eastAsia="Times New Roman" w:hint="default"/>
          <w:spacing w:val="-3"/>
        </w:rPr>
        <w:t>——</w:t>
      </w:r>
      <w:r>
        <w:rPr>
          <w:spacing w:val="-3"/>
        </w:rPr>
        <w:t>非经常性损益》定义、列举的非经常性损益</w:t>
      </w:r>
      <w:r>
        <w:rPr/>
        <w:t> 项目界定为经常性损益的项目的情形。</w:t>
      </w:r>
    </w:p>
    <w:p>
      <w:pPr>
        <w:spacing w:after="0" w:line="302"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447" w:right="1134"/>
        <w:jc w:val="left"/>
        <w:rPr>
          <w:b w:val="0"/>
          <w:bCs w:val="0"/>
        </w:rPr>
      </w:pPr>
      <w:bookmarkStart w:name="第三节 公司业务概要" w:id="15"/>
      <w:bookmarkEnd w:id="15"/>
      <w:r>
        <w:rPr>
          <w:b w:val="0"/>
          <w:bCs w:val="0"/>
        </w:rPr>
      </w:r>
      <w:bookmarkStart w:name="_bookmark2" w:id="16"/>
      <w:bookmarkEnd w:id="16"/>
      <w:r>
        <w:rPr>
          <w:b w:val="0"/>
          <w:bCs w:val="0"/>
        </w:rPr>
      </w:r>
      <w:r>
        <w:rPr/>
        <w:t>第三节</w:t>
      </w:r>
      <w:r>
        <w:rPr>
          <w:spacing w:val="-7"/>
        </w:rPr>
        <w:t> </w:t>
      </w:r>
      <w:r>
        <w:rPr/>
        <w:t>公司业务概要</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1134"/>
        <w:jc w:val="left"/>
        <w:rPr>
          <w:b w:val="0"/>
          <w:bCs w:val="0"/>
        </w:rPr>
      </w:pPr>
      <w:bookmarkStart w:name="一、报告期内公司从事的主要业务" w:id="17"/>
      <w:bookmarkEnd w:id="17"/>
      <w:r>
        <w:rPr>
          <w:b w:val="0"/>
          <w:bCs w:val="0"/>
        </w:rPr>
      </w:r>
      <w:r>
        <w:rPr/>
        <w:t>一、报告期内公司从事的主要业务</w:t>
      </w:r>
      <w:r>
        <w:rPr>
          <w:b w:val="0"/>
          <w:bCs w:val="0"/>
        </w:rPr>
      </w:r>
    </w:p>
    <w:p>
      <w:pPr>
        <w:spacing w:line="240" w:lineRule="auto" w:before="7"/>
        <w:rPr>
          <w:rFonts w:ascii="宋体" w:hAnsi="宋体" w:cs="宋体" w:eastAsia="宋体" w:hint="default"/>
          <w:b/>
          <w:bCs/>
          <w:sz w:val="26"/>
          <w:szCs w:val="26"/>
        </w:rPr>
      </w:pPr>
    </w:p>
    <w:p>
      <w:pPr>
        <w:pStyle w:val="BodyText"/>
        <w:spacing w:line="360" w:lineRule="auto"/>
        <w:ind w:right="7692"/>
        <w:jc w:val="left"/>
      </w:pPr>
      <w:r>
        <w:rPr/>
        <w:t>公司是否需要遵守特殊行业的披露要求 否</w:t>
      </w:r>
    </w:p>
    <w:p>
      <w:pPr>
        <w:pStyle w:val="BodyText"/>
        <w:spacing w:line="357" w:lineRule="auto" w:before="26"/>
        <w:ind w:left="515" w:right="0"/>
        <w:jc w:val="left"/>
      </w:pPr>
      <w:r>
        <w:rPr>
          <w:rFonts w:ascii="宋体" w:hAnsi="宋体" w:cs="宋体" w:eastAsia="宋体" w:hint="default"/>
          <w:b/>
          <w:bCs/>
        </w:rPr>
        <w:t>（一）公司从事的主要业务</w:t>
      </w:r>
      <w:r>
        <w:rPr>
          <w:rFonts w:ascii="宋体" w:hAnsi="宋体" w:cs="宋体" w:eastAsia="宋体" w:hint="default"/>
          <w:b/>
          <w:bCs/>
          <w:w w:val="99"/>
        </w:rPr>
        <w:t> </w:t>
      </w:r>
      <w:r>
        <w:rPr>
          <w:spacing w:val="-2"/>
        </w:rPr>
        <w:t>公司是物联网行业智能移动应用软硬件一体化解决方案提供商，核心业务为提供以智能移动终端为载体的行业智能移动</w:t>
      </w:r>
    </w:p>
    <w:p>
      <w:pPr>
        <w:pStyle w:val="BodyText"/>
        <w:spacing w:line="224" w:lineRule="exact"/>
        <w:ind w:right="0"/>
        <w:jc w:val="left"/>
      </w:pPr>
      <w:r>
        <w:rPr/>
        <w:t>信息化应用解决方案，协助物流快递、电子商务、零售、生产制造、公共交通、医疗卫生、行政执法及金融等行业客户构建</w:t>
      </w:r>
    </w:p>
    <w:p>
      <w:pPr>
        <w:pStyle w:val="BodyText"/>
        <w:spacing w:line="319" w:lineRule="auto" w:before="76"/>
        <w:ind w:right="0"/>
        <w:jc w:val="left"/>
      </w:pPr>
      <w:r>
        <w:rPr>
          <w:spacing w:val="-2"/>
        </w:rPr>
        <w:t>基于智能移动应用的实时信息采集、传输、追溯及业务管理平台。报告期内，公司积极研究开发计算机视觉、机器学习和生</w:t>
      </w:r>
      <w:r>
        <w:rPr>
          <w:spacing w:val="-66"/>
        </w:rPr>
        <w:t> </w:t>
      </w:r>
      <w:r>
        <w:rPr>
          <w:spacing w:val="-66"/>
        </w:rPr>
      </w:r>
      <w:r>
        <w:rPr/>
        <w:t>物识别等人工智能技术及相关软硬件产品、解决方案在新零售、智慧物流等行业场景的应用。</w:t>
      </w:r>
    </w:p>
    <w:p>
      <w:pPr>
        <w:pStyle w:val="BodyText"/>
        <w:spacing w:line="309" w:lineRule="auto" w:before="56"/>
        <w:ind w:right="1129" w:firstLine="361"/>
        <w:jc w:val="both"/>
      </w:pPr>
      <w:r>
        <w:rPr>
          <w:spacing w:val="-2"/>
        </w:rPr>
        <w:t>公司的主导产品智能移动终端，是可集成多种软硬件功能的工业级便携式智能终端，根据行业客户需求可实现实时数据</w:t>
      </w:r>
      <w:r>
        <w:rPr/>
        <w:t> </w:t>
      </w:r>
      <w:r>
        <w:rPr>
          <w:spacing w:val="-2"/>
        </w:rPr>
        <w:t>的采集、传输、处理以及金融支付等功能。以智能终端设备为载体，搭载基于行业客户定制化功能需求开发的应用软件，公</w:t>
      </w:r>
      <w:r>
        <w:rPr>
          <w:spacing w:val="-66"/>
        </w:rPr>
        <w:t> </w:t>
      </w:r>
      <w:r>
        <w:rPr>
          <w:spacing w:val="-66"/>
        </w:rPr>
      </w:r>
      <w:r>
        <w:rPr/>
        <w:t>司致力于在</w:t>
      </w:r>
      <w:r>
        <w:rPr>
          <w:rFonts w:ascii="Times New Roman" w:hAnsi="Times New Roman" w:cs="Times New Roman" w:eastAsia="Times New Roman" w:hint="default"/>
        </w:rPr>
        <w:t>“</w:t>
      </w:r>
      <w:r>
        <w:rPr/>
        <w:t>物流快递信息管理</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供应链信息管理</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质量安全溯源管理</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移动销售管理</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电子政务管理</w:t>
      </w:r>
      <w:r>
        <w:rPr>
          <w:rFonts w:ascii="Times New Roman" w:hAnsi="Times New Roman" w:cs="Times New Roman" w:eastAsia="Times New Roman" w:hint="default"/>
        </w:rPr>
        <w:t>” </w:t>
      </w:r>
      <w:r>
        <w:rPr/>
        <w:t>、</w:t>
      </w:r>
      <w:r>
        <w:rPr>
          <w:spacing w:val="-18"/>
        </w:rPr>
        <w:t> </w:t>
      </w:r>
      <w:r>
        <w:rPr>
          <w:rFonts w:ascii="Times New Roman" w:hAnsi="Times New Roman" w:cs="Times New Roman" w:eastAsia="Times New Roman" w:hint="default"/>
        </w:rPr>
        <w:t>“</w:t>
      </w:r>
      <w:r>
        <w:rPr/>
        <w:t>智能仓 储管理</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智能移动支付</w:t>
      </w:r>
      <w:r>
        <w:rPr>
          <w:rFonts w:ascii="Times New Roman" w:hAnsi="Times New Roman" w:cs="Times New Roman" w:eastAsia="Times New Roman" w:hint="default"/>
        </w:rPr>
        <w:t>”</w:t>
      </w:r>
      <w:r>
        <w:rPr>
          <w:rFonts w:ascii="Times New Roman" w:hAnsi="Times New Roman" w:cs="Times New Roman" w:eastAsia="Times New Roman" w:hint="default"/>
          <w:spacing w:val="-5"/>
        </w:rPr>
        <w:t> </w:t>
      </w:r>
      <w:r>
        <w:rPr/>
        <w:t>等功能领域为物流快递、电子商务、零售、生产制造、公共交通、医疗卫生、行政执法及金融等 行业客户提供智能移动信息化应用整体解决方案。</w:t>
      </w:r>
    </w:p>
    <w:p>
      <w:pPr>
        <w:pStyle w:val="BodyText"/>
        <w:spacing w:line="240" w:lineRule="auto" w:before="64"/>
        <w:ind w:left="514" w:right="1134"/>
        <w:jc w:val="left"/>
      </w:pPr>
      <w:r>
        <w:rPr/>
        <w:t>公司现有的主要终端产品和行业应用解决方案如下表所示：</w:t>
      </w:r>
    </w:p>
    <w:p>
      <w:pPr>
        <w:spacing w:line="240" w:lineRule="auto" w:before="0"/>
        <w:rPr>
          <w:rFonts w:ascii="宋体" w:hAnsi="宋体" w:cs="宋体" w:eastAsia="宋体" w:hint="default"/>
          <w:sz w:val="8"/>
          <w:szCs w:val="8"/>
        </w:rPr>
      </w:pPr>
    </w:p>
    <w:tbl>
      <w:tblPr>
        <w:tblW w:w="0" w:type="auto"/>
        <w:jc w:val="left"/>
        <w:tblInd w:w="221" w:type="dxa"/>
        <w:tblLayout w:type="fixed"/>
        <w:tblCellMar>
          <w:top w:w="0" w:type="dxa"/>
          <w:left w:w="0" w:type="dxa"/>
          <w:bottom w:w="0" w:type="dxa"/>
          <w:right w:w="0" w:type="dxa"/>
        </w:tblCellMar>
        <w:tblLook w:val="01E0"/>
      </w:tblPr>
      <w:tblGrid>
        <w:gridCol w:w="971"/>
        <w:gridCol w:w="1720"/>
        <w:gridCol w:w="4893"/>
        <w:gridCol w:w="1912"/>
      </w:tblGrid>
      <w:tr>
        <w:trPr>
          <w:trHeight w:val="401" w:hRule="exact"/>
        </w:trPr>
        <w:tc>
          <w:tcPr>
            <w:tcW w:w="9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300" w:right="0"/>
              <w:jc w:val="left"/>
              <w:rPr>
                <w:rFonts w:ascii="宋体" w:hAnsi="宋体" w:cs="宋体" w:eastAsia="宋体" w:hint="default"/>
                <w:sz w:val="18"/>
                <w:szCs w:val="18"/>
              </w:rPr>
            </w:pPr>
            <w:r>
              <w:rPr>
                <w:rFonts w:ascii="宋体" w:hAnsi="宋体" w:cs="宋体" w:eastAsia="宋体" w:hint="default"/>
                <w:sz w:val="18"/>
                <w:szCs w:val="18"/>
              </w:rPr>
              <w:t>类别</w:t>
            </w:r>
          </w:p>
        </w:tc>
        <w:tc>
          <w:tcPr>
            <w:tcW w:w="661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终端产品系列</w:t>
            </w:r>
          </w:p>
        </w:tc>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85" w:right="0"/>
              <w:jc w:val="left"/>
              <w:rPr>
                <w:rFonts w:ascii="宋体" w:hAnsi="宋体" w:cs="宋体" w:eastAsia="宋体" w:hint="default"/>
                <w:sz w:val="18"/>
                <w:szCs w:val="18"/>
              </w:rPr>
            </w:pPr>
            <w:r>
              <w:rPr>
                <w:rFonts w:ascii="宋体" w:hAnsi="宋体" w:cs="宋体" w:eastAsia="宋体" w:hint="default"/>
                <w:sz w:val="18"/>
                <w:szCs w:val="18"/>
              </w:rPr>
              <w:t>主要应用行业</w:t>
            </w:r>
            <w:r>
              <w:rPr>
                <w:rFonts w:ascii="宋体" w:hAnsi="宋体" w:cs="宋体" w:eastAsia="宋体" w:hint="default"/>
                <w:sz w:val="18"/>
                <w:szCs w:val="18"/>
              </w:rPr>
              <w:t>/</w:t>
            </w:r>
            <w:r>
              <w:rPr>
                <w:rFonts w:ascii="宋体" w:hAnsi="宋体" w:cs="宋体" w:eastAsia="宋体" w:hint="default"/>
                <w:sz w:val="18"/>
                <w:szCs w:val="18"/>
              </w:rPr>
              <w:t>领域</w:t>
            </w:r>
          </w:p>
        </w:tc>
      </w:tr>
      <w:tr>
        <w:trPr>
          <w:trHeight w:val="1522" w:hRule="exact"/>
        </w:trPr>
        <w:tc>
          <w:tcPr>
            <w:tcW w:w="97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0"/>
                <w:szCs w:val="20"/>
              </w:rPr>
            </w:pPr>
          </w:p>
          <w:p>
            <w:pPr>
              <w:pStyle w:val="TableParagraph"/>
              <w:spacing w:line="319" w:lineRule="auto"/>
              <w:ind w:left="120" w:right="119"/>
              <w:jc w:val="left"/>
              <w:rPr>
                <w:rFonts w:ascii="宋体" w:hAnsi="宋体" w:cs="宋体" w:eastAsia="宋体" w:hint="default"/>
                <w:sz w:val="18"/>
                <w:szCs w:val="18"/>
              </w:rPr>
            </w:pPr>
            <w:r>
              <w:rPr>
                <w:rFonts w:ascii="宋体" w:hAnsi="宋体" w:cs="宋体" w:eastAsia="宋体" w:hint="default"/>
                <w:sz w:val="18"/>
                <w:szCs w:val="18"/>
              </w:rPr>
              <w:t>智能移动 数据终端</w:t>
            </w: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1"/>
              <w:ind w:right="1"/>
              <w:jc w:val="center"/>
              <w:rPr>
                <w:rFonts w:ascii="宋体" w:hAnsi="宋体" w:cs="宋体" w:eastAsia="宋体" w:hint="default"/>
                <w:sz w:val="18"/>
                <w:szCs w:val="18"/>
              </w:rPr>
            </w:pPr>
            <w:r>
              <w:rPr>
                <w:rFonts w:ascii="宋体" w:hAnsi="宋体" w:cs="宋体" w:eastAsia="宋体" w:hint="default"/>
                <w:sz w:val="18"/>
                <w:szCs w:val="18"/>
              </w:rPr>
              <w:t>手持式</w:t>
            </w:r>
            <w:r>
              <w:rPr>
                <w:rFonts w:ascii="宋体" w:hAnsi="宋体" w:cs="宋体" w:eastAsia="宋体" w:hint="default"/>
                <w:spacing w:val="-46"/>
                <w:sz w:val="18"/>
                <w:szCs w:val="18"/>
              </w:rPr>
              <w:t> </w:t>
            </w:r>
            <w:r>
              <w:rPr>
                <w:rFonts w:ascii="宋体" w:hAnsi="宋体" w:cs="宋体" w:eastAsia="宋体" w:hint="default"/>
                <w:sz w:val="18"/>
                <w:szCs w:val="18"/>
              </w:rPr>
              <w:t>PDA</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8"/>
                <w:szCs w:val="8"/>
              </w:rPr>
            </w:pPr>
          </w:p>
          <w:p>
            <w:pPr>
              <w:pStyle w:val="TableParagraph"/>
              <w:tabs>
                <w:tab w:pos="2099" w:val="left" w:leader="none"/>
                <w:tab w:pos="3234" w:val="left" w:leader="none"/>
              </w:tabs>
              <w:spacing w:line="1182" w:lineRule="exact"/>
              <w:ind w:left="986" w:right="0"/>
              <w:jc w:val="left"/>
              <w:rPr>
                <w:rFonts w:ascii="宋体" w:hAnsi="宋体" w:cs="宋体" w:eastAsia="宋体" w:hint="default"/>
                <w:sz w:val="20"/>
                <w:szCs w:val="20"/>
              </w:rPr>
            </w:pPr>
            <w:r>
              <w:rPr>
                <w:rFonts w:ascii="宋体"/>
                <w:position w:val="-18"/>
                <w:sz w:val="20"/>
              </w:rPr>
              <w:drawing>
                <wp:inline distT="0" distB="0" distL="0" distR="0">
                  <wp:extent cx="359691" cy="693420"/>
                  <wp:effectExtent l="0" t="0" r="0" b="0"/>
                  <wp:docPr id="3" name="image3.png" descr=""/>
                  <wp:cNvGraphicFramePr>
                    <a:graphicFrameLocks noChangeAspect="1"/>
                  </wp:cNvGraphicFramePr>
                  <a:graphic>
                    <a:graphicData uri="http://schemas.openxmlformats.org/drawingml/2006/picture">
                      <pic:pic>
                        <pic:nvPicPr>
                          <pic:cNvPr id="4" name="image3.png"/>
                          <pic:cNvPicPr/>
                        </pic:nvPicPr>
                        <pic:blipFill>
                          <a:blip r:embed="rId15" cstate="print"/>
                          <a:stretch>
                            <a:fillRect/>
                          </a:stretch>
                        </pic:blipFill>
                        <pic:spPr>
                          <a:xfrm>
                            <a:off x="0" y="0"/>
                            <a:ext cx="359691" cy="693420"/>
                          </a:xfrm>
                          <a:prstGeom prst="rect">
                            <a:avLst/>
                          </a:prstGeom>
                        </pic:spPr>
                      </pic:pic>
                    </a:graphicData>
                  </a:graphic>
                </wp:inline>
              </w:drawing>
            </w:r>
            <w:r>
              <w:rPr>
                <w:rFonts w:ascii="宋体"/>
                <w:position w:val="-18"/>
                <w:sz w:val="20"/>
              </w:rPr>
            </w:r>
            <w:r>
              <w:rPr>
                <w:rFonts w:ascii="宋体"/>
                <w:position w:val="-18"/>
                <w:sz w:val="20"/>
              </w:rPr>
              <w:tab/>
            </w:r>
            <w:r>
              <w:rPr>
                <w:rFonts w:ascii="宋体"/>
                <w:position w:val="-19"/>
                <w:sz w:val="20"/>
              </w:rPr>
              <w:drawing>
                <wp:inline distT="0" distB="0" distL="0" distR="0">
                  <wp:extent cx="398534" cy="728090"/>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16" cstate="print"/>
                          <a:stretch>
                            <a:fillRect/>
                          </a:stretch>
                        </pic:blipFill>
                        <pic:spPr>
                          <a:xfrm>
                            <a:off x="0" y="0"/>
                            <a:ext cx="398534" cy="728090"/>
                          </a:xfrm>
                          <a:prstGeom prst="rect">
                            <a:avLst/>
                          </a:prstGeom>
                        </pic:spPr>
                      </pic:pic>
                    </a:graphicData>
                  </a:graphic>
                </wp:inline>
              </w:drawing>
            </w:r>
            <w:r>
              <w:rPr>
                <w:rFonts w:ascii="宋体"/>
                <w:position w:val="-19"/>
                <w:sz w:val="20"/>
              </w:rPr>
            </w:r>
            <w:r>
              <w:rPr>
                <w:rFonts w:ascii="宋体"/>
                <w:position w:val="-19"/>
                <w:sz w:val="20"/>
              </w:rPr>
              <w:tab/>
            </w:r>
            <w:r>
              <w:rPr>
                <w:rFonts w:ascii="宋体"/>
                <w:position w:val="-23"/>
                <w:sz w:val="20"/>
              </w:rPr>
              <w:drawing>
                <wp:inline distT="0" distB="0" distL="0" distR="0">
                  <wp:extent cx="351577" cy="750665"/>
                  <wp:effectExtent l="0" t="0" r="0" b="0"/>
                  <wp:docPr id="7" name="image5.png" descr=""/>
                  <wp:cNvGraphicFramePr>
                    <a:graphicFrameLocks noChangeAspect="1"/>
                  </wp:cNvGraphicFramePr>
                  <a:graphic>
                    <a:graphicData uri="http://schemas.openxmlformats.org/drawingml/2006/picture">
                      <pic:pic>
                        <pic:nvPicPr>
                          <pic:cNvPr id="8" name="image5.png"/>
                          <pic:cNvPicPr/>
                        </pic:nvPicPr>
                        <pic:blipFill>
                          <a:blip r:embed="rId17" cstate="print"/>
                          <a:stretch>
                            <a:fillRect/>
                          </a:stretch>
                        </pic:blipFill>
                        <pic:spPr>
                          <a:xfrm>
                            <a:off x="0" y="0"/>
                            <a:ext cx="351577" cy="750665"/>
                          </a:xfrm>
                          <a:prstGeom prst="rect">
                            <a:avLst/>
                          </a:prstGeom>
                        </pic:spPr>
                      </pic:pic>
                    </a:graphicData>
                  </a:graphic>
                </wp:inline>
              </w:drawing>
            </w:r>
            <w:r>
              <w:rPr>
                <w:rFonts w:ascii="宋体"/>
                <w:position w:val="-23"/>
                <w:sz w:val="20"/>
              </w:rPr>
            </w:r>
          </w:p>
          <w:p>
            <w:pPr>
              <w:pStyle w:val="TableParagraph"/>
              <w:spacing w:line="240" w:lineRule="auto" w:before="0"/>
              <w:ind w:right="0"/>
              <w:jc w:val="left"/>
              <w:rPr>
                <w:rFonts w:ascii="宋体" w:hAnsi="宋体" w:cs="宋体" w:eastAsia="宋体" w:hint="default"/>
                <w:sz w:val="17"/>
                <w:szCs w:val="17"/>
              </w:rPr>
            </w:pPr>
          </w:p>
        </w:tc>
        <w:tc>
          <w:tcPr>
            <w:tcW w:w="191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2"/>
                <w:szCs w:val="22"/>
              </w:rPr>
            </w:pPr>
          </w:p>
          <w:p>
            <w:pPr>
              <w:pStyle w:val="TableParagraph"/>
              <w:spacing w:line="316" w:lineRule="auto"/>
              <w:ind w:left="103" w:right="12"/>
              <w:jc w:val="center"/>
              <w:rPr>
                <w:rFonts w:ascii="宋体" w:hAnsi="宋体" w:cs="宋体" w:eastAsia="宋体" w:hint="default"/>
                <w:sz w:val="18"/>
                <w:szCs w:val="18"/>
              </w:rPr>
            </w:pPr>
            <w:r>
              <w:rPr>
                <w:rFonts w:ascii="宋体" w:hAnsi="宋体" w:cs="宋体" w:eastAsia="宋体" w:hint="default"/>
                <w:spacing w:val="-2"/>
                <w:sz w:val="18"/>
                <w:szCs w:val="18"/>
              </w:rPr>
              <w:t>物流快递、电子商务、</w:t>
            </w:r>
            <w:r>
              <w:rPr>
                <w:rFonts w:ascii="宋体" w:hAnsi="宋体" w:cs="宋体" w:eastAsia="宋体" w:hint="default"/>
                <w:sz w:val="18"/>
                <w:szCs w:val="18"/>
              </w:rPr>
              <w:t> 零售、生产制造、仓 储运输、医疗卫生、 行政执法、食品药品 溯源等</w:t>
            </w:r>
          </w:p>
        </w:tc>
      </w:tr>
      <w:tr>
        <w:trPr>
          <w:trHeight w:val="1090" w:hRule="exact"/>
        </w:trPr>
        <w:tc>
          <w:tcPr>
            <w:tcW w:w="971" w:type="dxa"/>
            <w:vMerge/>
            <w:tcBorders>
              <w:left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0"/>
              <w:ind w:right="1"/>
              <w:jc w:val="center"/>
              <w:rPr>
                <w:rFonts w:ascii="宋体" w:hAnsi="宋体" w:cs="宋体" w:eastAsia="宋体" w:hint="default"/>
                <w:sz w:val="18"/>
                <w:szCs w:val="18"/>
              </w:rPr>
            </w:pPr>
            <w:r>
              <w:rPr>
                <w:rFonts w:ascii="宋体" w:hAnsi="宋体" w:cs="宋体" w:eastAsia="宋体" w:hint="default"/>
                <w:sz w:val="18"/>
                <w:szCs w:val="18"/>
              </w:rPr>
              <w:t>穿戴式</w:t>
            </w:r>
            <w:r>
              <w:rPr>
                <w:rFonts w:ascii="宋体" w:hAnsi="宋体" w:cs="宋体" w:eastAsia="宋体" w:hint="default"/>
                <w:spacing w:val="-46"/>
                <w:sz w:val="18"/>
                <w:szCs w:val="18"/>
              </w:rPr>
              <w:t> </w:t>
            </w:r>
            <w:r>
              <w:rPr>
                <w:rFonts w:ascii="宋体" w:hAnsi="宋体" w:cs="宋体" w:eastAsia="宋体" w:hint="default"/>
                <w:sz w:val="18"/>
                <w:szCs w:val="18"/>
              </w:rPr>
              <w:t>PDA</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927" w:lineRule="exact"/>
              <w:ind w:left="1839" w:right="0"/>
              <w:jc w:val="left"/>
              <w:rPr>
                <w:rFonts w:ascii="宋体" w:hAnsi="宋体" w:cs="宋体" w:eastAsia="宋体" w:hint="default"/>
                <w:sz w:val="20"/>
                <w:szCs w:val="20"/>
              </w:rPr>
            </w:pPr>
            <w:r>
              <w:rPr>
                <w:rFonts w:ascii="宋体" w:hAnsi="宋体" w:cs="宋体" w:eastAsia="宋体" w:hint="default"/>
                <w:position w:val="-18"/>
                <w:sz w:val="20"/>
                <w:szCs w:val="20"/>
              </w:rPr>
              <w:drawing>
                <wp:inline distT="0" distB="0" distL="0" distR="0">
                  <wp:extent cx="767797" cy="588645"/>
                  <wp:effectExtent l="0" t="0" r="0" b="0"/>
                  <wp:docPr id="9" name="image6.png" descr=""/>
                  <wp:cNvGraphicFramePr>
                    <a:graphicFrameLocks noChangeAspect="1"/>
                  </wp:cNvGraphicFramePr>
                  <a:graphic>
                    <a:graphicData uri="http://schemas.openxmlformats.org/drawingml/2006/picture">
                      <pic:pic>
                        <pic:nvPicPr>
                          <pic:cNvPr id="10" name="image6.png"/>
                          <pic:cNvPicPr/>
                        </pic:nvPicPr>
                        <pic:blipFill>
                          <a:blip r:embed="rId18" cstate="print"/>
                          <a:stretch>
                            <a:fillRect/>
                          </a:stretch>
                        </pic:blipFill>
                        <pic:spPr>
                          <a:xfrm>
                            <a:off x="0" y="0"/>
                            <a:ext cx="767797" cy="588645"/>
                          </a:xfrm>
                          <a:prstGeom prst="rect">
                            <a:avLst/>
                          </a:prstGeom>
                        </pic:spPr>
                      </pic:pic>
                    </a:graphicData>
                  </a:graphic>
                </wp:inline>
              </w:drawing>
            </w:r>
            <w:r>
              <w:rPr>
                <w:rFonts w:ascii="宋体" w:hAnsi="宋体" w:cs="宋体" w:eastAsia="宋体" w:hint="default"/>
                <w:position w:val="-18"/>
                <w:sz w:val="20"/>
                <w:szCs w:val="20"/>
              </w:rPr>
            </w:r>
          </w:p>
        </w:tc>
        <w:tc>
          <w:tcPr>
            <w:tcW w:w="1912" w:type="dxa"/>
            <w:vMerge/>
            <w:tcBorders>
              <w:left w:val="single" w:sz="4" w:space="0" w:color="000000"/>
              <w:bottom w:val="single" w:sz="4" w:space="0" w:color="000000"/>
              <w:right w:val="single" w:sz="4" w:space="0" w:color="000000"/>
            </w:tcBorders>
          </w:tcPr>
          <w:p>
            <w:pPr/>
          </w:p>
        </w:tc>
      </w:tr>
      <w:tr>
        <w:trPr>
          <w:trHeight w:val="1700" w:hRule="exact"/>
        </w:trPr>
        <w:tc>
          <w:tcPr>
            <w:tcW w:w="971" w:type="dxa"/>
            <w:vMerge/>
            <w:tcBorders>
              <w:left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智能</w:t>
            </w:r>
            <w:r>
              <w:rPr>
                <w:rFonts w:ascii="宋体" w:hAnsi="宋体" w:cs="宋体" w:eastAsia="宋体" w:hint="default"/>
                <w:spacing w:val="-46"/>
                <w:sz w:val="18"/>
                <w:szCs w:val="18"/>
              </w:rPr>
              <w:t> </w:t>
            </w:r>
            <w:r>
              <w:rPr>
                <w:rFonts w:ascii="宋体" w:hAnsi="宋体" w:cs="宋体" w:eastAsia="宋体" w:hint="default"/>
                <w:sz w:val="18"/>
                <w:szCs w:val="18"/>
              </w:rPr>
              <w:t>3D</w:t>
            </w:r>
            <w:r>
              <w:rPr>
                <w:rFonts w:ascii="宋体" w:hAnsi="宋体" w:cs="宋体" w:eastAsia="宋体" w:hint="default"/>
                <w:spacing w:val="-46"/>
                <w:sz w:val="18"/>
                <w:szCs w:val="18"/>
              </w:rPr>
              <w:t> </w:t>
            </w:r>
            <w:r>
              <w:rPr>
                <w:rFonts w:ascii="宋体" w:hAnsi="宋体" w:cs="宋体" w:eastAsia="宋体" w:hint="default"/>
                <w:sz w:val="18"/>
                <w:szCs w:val="18"/>
              </w:rPr>
              <w:t>测量仪</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0"/>
                <w:szCs w:val="10"/>
              </w:rPr>
            </w:pPr>
          </w:p>
          <w:p>
            <w:pPr>
              <w:pStyle w:val="TableParagraph"/>
              <w:spacing w:line="1479" w:lineRule="exact"/>
              <w:ind w:left="776" w:right="0"/>
              <w:jc w:val="left"/>
              <w:rPr>
                <w:rFonts w:ascii="宋体" w:hAnsi="宋体" w:cs="宋体" w:eastAsia="宋体" w:hint="default"/>
                <w:sz w:val="20"/>
                <w:szCs w:val="20"/>
              </w:rPr>
            </w:pPr>
            <w:r>
              <w:rPr>
                <w:rFonts w:ascii="宋体"/>
                <w:position w:val="-29"/>
                <w:sz w:val="20"/>
              </w:rPr>
              <w:drawing>
                <wp:inline distT="0" distB="0" distL="0" distR="0">
                  <wp:extent cx="1041263" cy="939164"/>
                  <wp:effectExtent l="0" t="0" r="0" b="0"/>
                  <wp:docPr id="11" name="image7.png" descr=""/>
                  <wp:cNvGraphicFramePr>
                    <a:graphicFrameLocks noChangeAspect="1"/>
                  </wp:cNvGraphicFramePr>
                  <a:graphic>
                    <a:graphicData uri="http://schemas.openxmlformats.org/drawingml/2006/picture">
                      <pic:pic>
                        <pic:nvPicPr>
                          <pic:cNvPr id="12" name="image7.png"/>
                          <pic:cNvPicPr/>
                        </pic:nvPicPr>
                        <pic:blipFill>
                          <a:blip r:embed="rId19" cstate="print"/>
                          <a:stretch>
                            <a:fillRect/>
                          </a:stretch>
                        </pic:blipFill>
                        <pic:spPr>
                          <a:xfrm>
                            <a:off x="0" y="0"/>
                            <a:ext cx="1041263" cy="939164"/>
                          </a:xfrm>
                          <a:prstGeom prst="rect">
                            <a:avLst/>
                          </a:prstGeom>
                        </pic:spPr>
                      </pic:pic>
                    </a:graphicData>
                  </a:graphic>
                </wp:inline>
              </w:drawing>
            </w:r>
            <w:r>
              <w:rPr>
                <w:rFonts w:ascii="宋体"/>
                <w:position w:val="-29"/>
                <w:sz w:val="20"/>
              </w:rPr>
            </w:r>
            <w:r>
              <w:rPr>
                <w:rFonts w:ascii="Times New Roman"/>
                <w:spacing w:val="84"/>
                <w:position w:val="-29"/>
                <w:sz w:val="20"/>
              </w:rPr>
              <w:t> </w:t>
            </w:r>
            <w:r>
              <w:rPr>
                <w:rFonts w:ascii="宋体"/>
                <w:spacing w:val="84"/>
                <w:position w:val="15"/>
                <w:sz w:val="20"/>
              </w:rPr>
              <w:drawing>
                <wp:inline distT="0" distB="0" distL="0" distR="0">
                  <wp:extent cx="803382" cy="372999"/>
                  <wp:effectExtent l="0" t="0" r="0" b="0"/>
                  <wp:docPr id="13" name="image8.png" descr=""/>
                  <wp:cNvGraphicFramePr>
                    <a:graphicFrameLocks noChangeAspect="1"/>
                  </wp:cNvGraphicFramePr>
                  <a:graphic>
                    <a:graphicData uri="http://schemas.openxmlformats.org/drawingml/2006/picture">
                      <pic:pic>
                        <pic:nvPicPr>
                          <pic:cNvPr id="14" name="image8.png"/>
                          <pic:cNvPicPr/>
                        </pic:nvPicPr>
                        <pic:blipFill>
                          <a:blip r:embed="rId20" cstate="print"/>
                          <a:stretch>
                            <a:fillRect/>
                          </a:stretch>
                        </pic:blipFill>
                        <pic:spPr>
                          <a:xfrm>
                            <a:off x="0" y="0"/>
                            <a:ext cx="803382" cy="372999"/>
                          </a:xfrm>
                          <a:prstGeom prst="rect">
                            <a:avLst/>
                          </a:prstGeom>
                        </pic:spPr>
                      </pic:pic>
                    </a:graphicData>
                  </a:graphic>
                </wp:inline>
              </w:drawing>
            </w:r>
            <w:r>
              <w:rPr>
                <w:rFonts w:ascii="宋体"/>
                <w:spacing w:val="84"/>
                <w:position w:val="15"/>
                <w:sz w:val="20"/>
              </w:rPr>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3"/>
                <w:szCs w:val="23"/>
              </w:rPr>
            </w:pPr>
          </w:p>
          <w:p>
            <w:pPr>
              <w:pStyle w:val="TableParagraph"/>
              <w:spacing w:line="319" w:lineRule="auto"/>
              <w:ind w:left="860" w:right="139" w:hanging="720"/>
              <w:jc w:val="left"/>
              <w:rPr>
                <w:rFonts w:ascii="宋体" w:hAnsi="宋体" w:cs="宋体" w:eastAsia="宋体" w:hint="default"/>
                <w:sz w:val="18"/>
                <w:szCs w:val="18"/>
              </w:rPr>
            </w:pPr>
            <w:r>
              <w:rPr>
                <w:rFonts w:ascii="宋体" w:hAnsi="宋体" w:cs="宋体" w:eastAsia="宋体" w:hint="default"/>
                <w:sz w:val="18"/>
                <w:szCs w:val="18"/>
              </w:rPr>
              <w:t>智慧物流、智能制造 等</w:t>
            </w:r>
          </w:p>
        </w:tc>
      </w:tr>
      <w:tr>
        <w:trPr>
          <w:trHeight w:val="1558" w:hRule="exact"/>
        </w:trPr>
        <w:tc>
          <w:tcPr>
            <w:tcW w:w="971" w:type="dxa"/>
            <w:vMerge/>
            <w:tcBorders>
              <w:left w:val="single" w:sz="4" w:space="0" w:color="000000"/>
              <w:bottom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1"/>
              <w:jc w:val="center"/>
              <w:rPr>
                <w:rFonts w:ascii="宋体" w:hAnsi="宋体" w:cs="宋体" w:eastAsia="宋体" w:hint="default"/>
                <w:sz w:val="18"/>
                <w:szCs w:val="18"/>
              </w:rPr>
            </w:pPr>
            <w:r>
              <w:rPr>
                <w:rFonts w:ascii="宋体" w:hAnsi="宋体" w:cs="宋体" w:eastAsia="宋体" w:hint="default"/>
                <w:sz w:val="18"/>
                <w:szCs w:val="18"/>
              </w:rPr>
              <w:t>超高频</w:t>
            </w:r>
            <w:r>
              <w:rPr>
                <w:rFonts w:ascii="宋体" w:hAnsi="宋体" w:cs="宋体" w:eastAsia="宋体" w:hint="default"/>
                <w:spacing w:val="-59"/>
                <w:sz w:val="18"/>
                <w:szCs w:val="18"/>
              </w:rPr>
              <w:t> </w:t>
            </w:r>
            <w:r>
              <w:rPr>
                <w:rFonts w:ascii="宋体" w:hAnsi="宋体" w:cs="宋体" w:eastAsia="宋体" w:hint="default"/>
                <w:sz w:val="18"/>
                <w:szCs w:val="18"/>
              </w:rPr>
              <w:t>RFID</w:t>
            </w:r>
            <w:r>
              <w:rPr>
                <w:rFonts w:ascii="宋体" w:hAnsi="宋体" w:cs="宋体" w:eastAsia="宋体" w:hint="default"/>
                <w:spacing w:val="-59"/>
                <w:sz w:val="18"/>
                <w:szCs w:val="18"/>
              </w:rPr>
              <w:t> </w:t>
            </w:r>
            <w:r>
              <w:rPr>
                <w:rFonts w:ascii="宋体" w:hAnsi="宋体" w:cs="宋体" w:eastAsia="宋体" w:hint="default"/>
                <w:sz w:val="18"/>
                <w:szCs w:val="18"/>
              </w:rPr>
              <w:t>读取器</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
                <w:szCs w:val="2"/>
              </w:rPr>
            </w:pPr>
          </w:p>
          <w:p>
            <w:pPr>
              <w:pStyle w:val="TableParagraph"/>
              <w:tabs>
                <w:tab w:pos="2750" w:val="left" w:leader="none"/>
              </w:tabs>
              <w:spacing w:line="1432" w:lineRule="exact"/>
              <w:ind w:left="1536" w:right="0"/>
              <w:jc w:val="left"/>
              <w:rPr>
                <w:rFonts w:ascii="宋体" w:hAnsi="宋体" w:cs="宋体" w:eastAsia="宋体" w:hint="default"/>
                <w:sz w:val="20"/>
                <w:szCs w:val="20"/>
              </w:rPr>
            </w:pPr>
            <w:r>
              <w:rPr>
                <w:rFonts w:ascii="宋体"/>
                <w:position w:val="-28"/>
                <w:sz w:val="20"/>
              </w:rPr>
              <w:drawing>
                <wp:inline distT="0" distB="0" distL="0" distR="0">
                  <wp:extent cx="642675" cy="909446"/>
                  <wp:effectExtent l="0" t="0" r="0" b="0"/>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21" cstate="print"/>
                          <a:stretch>
                            <a:fillRect/>
                          </a:stretch>
                        </pic:blipFill>
                        <pic:spPr>
                          <a:xfrm>
                            <a:off x="0" y="0"/>
                            <a:ext cx="642675" cy="909446"/>
                          </a:xfrm>
                          <a:prstGeom prst="rect">
                            <a:avLst/>
                          </a:prstGeom>
                        </pic:spPr>
                      </pic:pic>
                    </a:graphicData>
                  </a:graphic>
                </wp:inline>
              </w:drawing>
            </w:r>
            <w:r>
              <w:rPr>
                <w:rFonts w:ascii="宋体"/>
                <w:position w:val="-28"/>
                <w:sz w:val="20"/>
              </w:rPr>
            </w:r>
            <w:r>
              <w:rPr>
                <w:rFonts w:ascii="宋体"/>
                <w:position w:val="-28"/>
                <w:sz w:val="20"/>
              </w:rPr>
              <w:tab/>
            </w:r>
            <w:r>
              <w:rPr>
                <w:rFonts w:ascii="宋体"/>
                <w:position w:val="-8"/>
                <w:sz w:val="20"/>
              </w:rPr>
              <w:drawing>
                <wp:inline distT="0" distB="0" distL="0" distR="0">
                  <wp:extent cx="648138" cy="707231"/>
                  <wp:effectExtent l="0" t="0" r="0" b="0"/>
                  <wp:docPr id="17" name="image10.png" descr=""/>
                  <wp:cNvGraphicFramePr>
                    <a:graphicFrameLocks noChangeAspect="1"/>
                  </wp:cNvGraphicFramePr>
                  <a:graphic>
                    <a:graphicData uri="http://schemas.openxmlformats.org/drawingml/2006/picture">
                      <pic:pic>
                        <pic:nvPicPr>
                          <pic:cNvPr id="18" name="image10.png"/>
                          <pic:cNvPicPr/>
                        </pic:nvPicPr>
                        <pic:blipFill>
                          <a:blip r:embed="rId22" cstate="print"/>
                          <a:stretch>
                            <a:fillRect/>
                          </a:stretch>
                        </pic:blipFill>
                        <pic:spPr>
                          <a:xfrm>
                            <a:off x="0" y="0"/>
                            <a:ext cx="648138" cy="707231"/>
                          </a:xfrm>
                          <a:prstGeom prst="rect">
                            <a:avLst/>
                          </a:prstGeom>
                        </pic:spPr>
                      </pic:pic>
                    </a:graphicData>
                  </a:graphic>
                </wp:inline>
              </w:drawing>
            </w:r>
            <w:r>
              <w:rPr>
                <w:rFonts w:ascii="宋体"/>
                <w:position w:val="-8"/>
                <w:sz w:val="20"/>
              </w:rPr>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4"/>
                <w:szCs w:val="24"/>
              </w:rPr>
            </w:pPr>
          </w:p>
          <w:p>
            <w:pPr>
              <w:pStyle w:val="TableParagraph"/>
              <w:spacing w:line="316" w:lineRule="auto"/>
              <w:ind w:left="140" w:right="139"/>
              <w:jc w:val="center"/>
              <w:rPr>
                <w:rFonts w:ascii="宋体" w:hAnsi="宋体" w:cs="宋体" w:eastAsia="宋体" w:hint="default"/>
                <w:sz w:val="18"/>
                <w:szCs w:val="18"/>
              </w:rPr>
            </w:pPr>
            <w:r>
              <w:rPr>
                <w:rFonts w:ascii="宋体" w:hAnsi="宋体" w:cs="宋体" w:eastAsia="宋体" w:hint="default"/>
                <w:sz w:val="18"/>
                <w:szCs w:val="18"/>
              </w:rPr>
              <w:t>新零售、智慧物流、 智能制造、食品药品 溯源等</w:t>
            </w:r>
          </w:p>
        </w:tc>
      </w:tr>
    </w:tbl>
    <w:p>
      <w:pPr>
        <w:spacing w:after="0" w:line="316" w:lineRule="auto"/>
        <w:jc w:val="center"/>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221" w:type="dxa"/>
        <w:tblLayout w:type="fixed"/>
        <w:tblCellMar>
          <w:top w:w="0" w:type="dxa"/>
          <w:left w:w="0" w:type="dxa"/>
          <w:bottom w:w="0" w:type="dxa"/>
          <w:right w:w="0" w:type="dxa"/>
        </w:tblCellMar>
        <w:tblLook w:val="01E0"/>
      </w:tblPr>
      <w:tblGrid>
        <w:gridCol w:w="971"/>
        <w:gridCol w:w="1720"/>
        <w:gridCol w:w="4893"/>
        <w:gridCol w:w="1912"/>
      </w:tblGrid>
      <w:tr>
        <w:trPr>
          <w:trHeight w:val="1558" w:hRule="exact"/>
        </w:trPr>
        <w:tc>
          <w:tcPr>
            <w:tcW w:w="971" w:type="dxa"/>
            <w:tcBorders>
              <w:top w:val="single" w:sz="4" w:space="0" w:color="000000"/>
              <w:left w:val="single" w:sz="4" w:space="0" w:color="000000"/>
              <w:bottom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扫码终端</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tabs>
                <w:tab w:pos="1961" w:val="left" w:leader="none"/>
              </w:tabs>
              <w:spacing w:line="1102" w:lineRule="exact"/>
              <w:ind w:left="912" w:right="0"/>
              <w:jc w:val="left"/>
              <w:rPr>
                <w:rFonts w:ascii="Times New Roman" w:hAnsi="Times New Roman" w:cs="Times New Roman" w:eastAsia="Times New Roman" w:hint="default"/>
                <w:sz w:val="20"/>
                <w:szCs w:val="20"/>
              </w:rPr>
            </w:pPr>
            <w:r>
              <w:rPr>
                <w:rFonts w:ascii="Times New Roman"/>
                <w:position w:val="-21"/>
                <w:sz w:val="20"/>
              </w:rPr>
              <w:drawing>
                <wp:inline distT="0" distB="0" distL="0" distR="0">
                  <wp:extent cx="437534" cy="699801"/>
                  <wp:effectExtent l="0" t="0" r="0" b="0"/>
                  <wp:docPr id="19" name="image11.png" descr=""/>
                  <wp:cNvGraphicFramePr>
                    <a:graphicFrameLocks noChangeAspect="1"/>
                  </wp:cNvGraphicFramePr>
                  <a:graphic>
                    <a:graphicData uri="http://schemas.openxmlformats.org/drawingml/2006/picture">
                      <pic:pic>
                        <pic:nvPicPr>
                          <pic:cNvPr id="20" name="image11.png"/>
                          <pic:cNvPicPr/>
                        </pic:nvPicPr>
                        <pic:blipFill>
                          <a:blip r:embed="rId23" cstate="print"/>
                          <a:stretch>
                            <a:fillRect/>
                          </a:stretch>
                        </pic:blipFill>
                        <pic:spPr>
                          <a:xfrm>
                            <a:off x="0" y="0"/>
                            <a:ext cx="437534" cy="699801"/>
                          </a:xfrm>
                          <a:prstGeom prst="rect">
                            <a:avLst/>
                          </a:prstGeom>
                        </pic:spPr>
                      </pic:pic>
                    </a:graphicData>
                  </a:graphic>
                </wp:inline>
              </w:drawing>
            </w:r>
            <w:r>
              <w:rPr>
                <w:rFonts w:ascii="Times New Roman"/>
                <w:position w:val="-21"/>
                <w:sz w:val="20"/>
              </w:rPr>
            </w:r>
            <w:r>
              <w:rPr>
                <w:rFonts w:ascii="Times New Roman"/>
                <w:position w:val="-21"/>
                <w:sz w:val="20"/>
              </w:rPr>
              <w:tab/>
            </w:r>
            <w:r>
              <w:rPr>
                <w:rFonts w:ascii="Times New Roman"/>
                <w:position w:val="-20"/>
                <w:sz w:val="20"/>
              </w:rPr>
              <w:drawing>
                <wp:inline distT="0" distB="0" distL="0" distR="0">
                  <wp:extent cx="611788" cy="630078"/>
                  <wp:effectExtent l="0" t="0" r="0" b="0"/>
                  <wp:docPr id="21" name="image12.jpeg" descr=""/>
                  <wp:cNvGraphicFramePr>
                    <a:graphicFrameLocks noChangeAspect="1"/>
                  </wp:cNvGraphicFramePr>
                  <a:graphic>
                    <a:graphicData uri="http://schemas.openxmlformats.org/drawingml/2006/picture">
                      <pic:pic>
                        <pic:nvPicPr>
                          <pic:cNvPr id="22" name="image12.jpeg"/>
                          <pic:cNvPicPr/>
                        </pic:nvPicPr>
                        <pic:blipFill>
                          <a:blip r:embed="rId24" cstate="print"/>
                          <a:stretch>
                            <a:fillRect/>
                          </a:stretch>
                        </pic:blipFill>
                        <pic:spPr>
                          <a:xfrm>
                            <a:off x="0" y="0"/>
                            <a:ext cx="611788" cy="630078"/>
                          </a:xfrm>
                          <a:prstGeom prst="rect">
                            <a:avLst/>
                          </a:prstGeom>
                        </pic:spPr>
                      </pic:pic>
                    </a:graphicData>
                  </a:graphic>
                </wp:inline>
              </w:drawing>
            </w:r>
            <w:r>
              <w:rPr>
                <w:rFonts w:ascii="Times New Roman"/>
                <w:position w:val="-20"/>
                <w:sz w:val="20"/>
              </w:rPr>
            </w:r>
            <w:r>
              <w:rPr>
                <w:rFonts w:ascii="Times New Roman"/>
                <w:spacing w:val="136"/>
                <w:position w:val="-20"/>
                <w:sz w:val="20"/>
              </w:rPr>
              <w:t> </w:t>
            </w:r>
            <w:r>
              <w:rPr>
                <w:rFonts w:ascii="Times New Roman"/>
                <w:spacing w:val="136"/>
                <w:position w:val="-21"/>
                <w:sz w:val="20"/>
              </w:rPr>
              <w:drawing>
                <wp:inline distT="0" distB="0" distL="0" distR="0">
                  <wp:extent cx="682145" cy="542544"/>
                  <wp:effectExtent l="0" t="0" r="0" b="0"/>
                  <wp:docPr id="23" name="image13.jpeg" descr=""/>
                  <wp:cNvGraphicFramePr>
                    <a:graphicFrameLocks noChangeAspect="1"/>
                  </wp:cNvGraphicFramePr>
                  <a:graphic>
                    <a:graphicData uri="http://schemas.openxmlformats.org/drawingml/2006/picture">
                      <pic:pic>
                        <pic:nvPicPr>
                          <pic:cNvPr id="24" name="image13.jpeg"/>
                          <pic:cNvPicPr/>
                        </pic:nvPicPr>
                        <pic:blipFill>
                          <a:blip r:embed="rId25" cstate="print"/>
                          <a:stretch>
                            <a:fillRect/>
                          </a:stretch>
                        </pic:blipFill>
                        <pic:spPr>
                          <a:xfrm>
                            <a:off x="0" y="0"/>
                            <a:ext cx="682145" cy="542544"/>
                          </a:xfrm>
                          <a:prstGeom prst="rect">
                            <a:avLst/>
                          </a:prstGeom>
                        </pic:spPr>
                      </pic:pic>
                    </a:graphicData>
                  </a:graphic>
                </wp:inline>
              </w:drawing>
            </w:r>
            <w:r>
              <w:rPr>
                <w:rFonts w:ascii="Times New Roman"/>
                <w:spacing w:val="136"/>
                <w:position w:val="-21"/>
                <w:sz w:val="20"/>
              </w:rPr>
            </w:r>
          </w:p>
          <w:p>
            <w:pPr>
              <w:pStyle w:val="TableParagraph"/>
              <w:spacing w:line="240" w:lineRule="auto" w:before="4"/>
              <w:ind w:right="0"/>
              <w:jc w:val="left"/>
              <w:rPr>
                <w:rFonts w:ascii="Times New Roman" w:hAnsi="Times New Roman" w:cs="Times New Roman" w:eastAsia="Times New Roman" w:hint="default"/>
                <w:sz w:val="19"/>
                <w:szCs w:val="19"/>
              </w:rPr>
            </w:pP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3"/>
                <w:szCs w:val="23"/>
              </w:rPr>
            </w:pPr>
          </w:p>
          <w:p>
            <w:pPr>
              <w:pStyle w:val="TableParagraph"/>
              <w:spacing w:line="316" w:lineRule="auto"/>
              <w:ind w:left="140" w:right="139"/>
              <w:jc w:val="left"/>
              <w:rPr>
                <w:rFonts w:ascii="宋体" w:hAnsi="宋体" w:cs="宋体" w:eastAsia="宋体" w:hint="default"/>
                <w:sz w:val="18"/>
                <w:szCs w:val="18"/>
              </w:rPr>
            </w:pPr>
            <w:r>
              <w:rPr>
                <w:rFonts w:ascii="宋体" w:hAnsi="宋体" w:cs="宋体" w:eastAsia="宋体" w:hint="default"/>
                <w:sz w:val="18"/>
                <w:szCs w:val="18"/>
              </w:rPr>
              <w:t>物流快递、零售、生 产制造、仓储运输等</w:t>
            </w:r>
          </w:p>
        </w:tc>
      </w:tr>
      <w:tr>
        <w:trPr>
          <w:trHeight w:val="1693" w:hRule="exact"/>
        </w:trPr>
        <w:tc>
          <w:tcPr>
            <w:tcW w:w="97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48"/>
              <w:ind w:left="120" w:right="119"/>
              <w:jc w:val="left"/>
              <w:rPr>
                <w:rFonts w:ascii="宋体" w:hAnsi="宋体" w:cs="宋体" w:eastAsia="宋体" w:hint="default"/>
                <w:sz w:val="18"/>
                <w:szCs w:val="18"/>
              </w:rPr>
            </w:pPr>
            <w:r>
              <w:rPr>
                <w:rFonts w:ascii="宋体" w:hAnsi="宋体" w:cs="宋体" w:eastAsia="宋体" w:hint="default"/>
                <w:sz w:val="18"/>
                <w:szCs w:val="18"/>
              </w:rPr>
              <w:t>智能移动 支付终端</w:t>
            </w: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智能移动</w:t>
            </w:r>
            <w:r>
              <w:rPr>
                <w:rFonts w:ascii="宋体" w:hAnsi="宋体" w:cs="宋体" w:eastAsia="宋体" w:hint="default"/>
                <w:spacing w:val="-46"/>
                <w:sz w:val="18"/>
                <w:szCs w:val="18"/>
              </w:rPr>
              <w:t> </w:t>
            </w:r>
            <w:r>
              <w:rPr>
                <w:rFonts w:ascii="宋体" w:hAnsi="宋体" w:cs="宋体" w:eastAsia="宋体" w:hint="default"/>
                <w:sz w:val="18"/>
                <w:szCs w:val="18"/>
              </w:rPr>
              <w:t>POS</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4"/>
                <w:szCs w:val="4"/>
              </w:rPr>
            </w:pPr>
          </w:p>
          <w:p>
            <w:pPr>
              <w:pStyle w:val="TableParagraph"/>
              <w:tabs>
                <w:tab w:pos="1899" w:val="left" w:leader="none"/>
              </w:tabs>
              <w:spacing w:line="1530" w:lineRule="exact"/>
              <w:ind w:left="732" w:right="0"/>
              <w:jc w:val="left"/>
              <w:rPr>
                <w:rFonts w:ascii="Times New Roman" w:hAnsi="Times New Roman" w:cs="Times New Roman" w:eastAsia="Times New Roman" w:hint="default"/>
                <w:sz w:val="20"/>
                <w:szCs w:val="20"/>
              </w:rPr>
            </w:pPr>
            <w:r>
              <w:rPr>
                <w:rFonts w:ascii="Times New Roman"/>
                <w:position w:val="-25"/>
                <w:sz w:val="20"/>
              </w:rPr>
              <w:drawing>
                <wp:inline distT="0" distB="0" distL="0" distR="0">
                  <wp:extent cx="555748" cy="906208"/>
                  <wp:effectExtent l="0" t="0" r="0" b="0"/>
                  <wp:docPr id="25" name="image14.png" descr=""/>
                  <wp:cNvGraphicFramePr>
                    <a:graphicFrameLocks noChangeAspect="1"/>
                  </wp:cNvGraphicFramePr>
                  <a:graphic>
                    <a:graphicData uri="http://schemas.openxmlformats.org/drawingml/2006/picture">
                      <pic:pic>
                        <pic:nvPicPr>
                          <pic:cNvPr id="26" name="image14.png"/>
                          <pic:cNvPicPr/>
                        </pic:nvPicPr>
                        <pic:blipFill>
                          <a:blip r:embed="rId26" cstate="print"/>
                          <a:stretch>
                            <a:fillRect/>
                          </a:stretch>
                        </pic:blipFill>
                        <pic:spPr>
                          <a:xfrm>
                            <a:off x="0" y="0"/>
                            <a:ext cx="555748" cy="906208"/>
                          </a:xfrm>
                          <a:prstGeom prst="rect">
                            <a:avLst/>
                          </a:prstGeom>
                        </pic:spPr>
                      </pic:pic>
                    </a:graphicData>
                  </a:graphic>
                </wp:inline>
              </w:drawing>
            </w:r>
            <w:r>
              <w:rPr>
                <w:rFonts w:ascii="Times New Roman"/>
                <w:position w:val="-25"/>
                <w:sz w:val="20"/>
              </w:rPr>
            </w:r>
            <w:r>
              <w:rPr>
                <w:rFonts w:ascii="Times New Roman"/>
                <w:position w:val="-25"/>
                <w:sz w:val="20"/>
              </w:rPr>
              <w:tab/>
            </w:r>
            <w:r>
              <w:rPr>
                <w:rFonts w:ascii="Times New Roman"/>
                <w:position w:val="-30"/>
                <w:sz w:val="20"/>
              </w:rPr>
              <w:pict>
                <v:group style="width:132.15pt;height:76.5pt;mso-position-horizontal-relative:char;mso-position-vertical-relative:line" coordorigin="0,0" coordsize="2643,1530">
                  <v:shape style="position:absolute;left:0;top:0;width:1125;height:1530" type="#_x0000_t75" stroked="false">
                    <v:imagedata r:id="rId27" o:title=""/>
                  </v:shape>
                  <v:shape style="position:absolute;left:1068;top:200;width:1575;height:1110" type="#_x0000_t75" stroked="false">
                    <v:imagedata r:id="rId28" o:title=""/>
                  </v:shape>
                </v:group>
              </w:pict>
            </w:r>
            <w:r>
              <w:rPr>
                <w:rFonts w:ascii="Times New Roman"/>
                <w:position w:val="-30"/>
                <w:sz w:val="20"/>
              </w:rPr>
            </w:r>
          </w:p>
        </w:tc>
        <w:tc>
          <w:tcPr>
            <w:tcW w:w="191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48"/>
              <w:ind w:left="500" w:right="139" w:hanging="360"/>
              <w:jc w:val="left"/>
              <w:rPr>
                <w:rFonts w:ascii="宋体" w:hAnsi="宋体" w:cs="宋体" w:eastAsia="宋体" w:hint="default"/>
                <w:sz w:val="18"/>
                <w:szCs w:val="18"/>
              </w:rPr>
            </w:pPr>
            <w:r>
              <w:rPr>
                <w:rFonts w:ascii="宋体" w:hAnsi="宋体" w:cs="宋体" w:eastAsia="宋体" w:hint="default"/>
                <w:sz w:val="18"/>
                <w:szCs w:val="18"/>
              </w:rPr>
              <w:t>金融支付、新零售、 智慧交通等</w:t>
            </w:r>
          </w:p>
        </w:tc>
      </w:tr>
      <w:tr>
        <w:trPr>
          <w:trHeight w:val="1703" w:hRule="exact"/>
        </w:trPr>
        <w:tc>
          <w:tcPr>
            <w:tcW w:w="971" w:type="dxa"/>
            <w:vMerge/>
            <w:tcBorders>
              <w:left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智能多媒体</w:t>
            </w:r>
            <w:r>
              <w:rPr>
                <w:rFonts w:ascii="宋体" w:hAnsi="宋体" w:cs="宋体" w:eastAsia="宋体" w:hint="default"/>
                <w:spacing w:val="-46"/>
                <w:sz w:val="18"/>
                <w:szCs w:val="18"/>
              </w:rPr>
              <w:t> </w:t>
            </w:r>
            <w:r>
              <w:rPr>
                <w:rFonts w:ascii="宋体" w:hAnsi="宋体" w:cs="宋体" w:eastAsia="宋体" w:hint="default"/>
                <w:sz w:val="18"/>
                <w:szCs w:val="18"/>
              </w:rPr>
              <w:t>POS</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4"/>
                <w:szCs w:val="4"/>
              </w:rPr>
            </w:pPr>
          </w:p>
          <w:p>
            <w:pPr>
              <w:pStyle w:val="TableParagraph"/>
              <w:tabs>
                <w:tab w:pos="2663" w:val="left" w:leader="none"/>
              </w:tabs>
              <w:spacing w:line="1591" w:lineRule="exact"/>
              <w:ind w:left="720" w:right="0"/>
              <w:jc w:val="left"/>
              <w:rPr>
                <w:rFonts w:ascii="Times New Roman" w:hAnsi="Times New Roman" w:cs="Times New Roman" w:eastAsia="Times New Roman" w:hint="default"/>
                <w:sz w:val="20"/>
                <w:szCs w:val="20"/>
              </w:rPr>
            </w:pPr>
            <w:r>
              <w:rPr>
                <w:rFonts w:ascii="Times New Roman"/>
                <w:position w:val="-28"/>
                <w:sz w:val="20"/>
              </w:rPr>
              <w:drawing>
                <wp:inline distT="0" distB="0" distL="0" distR="0">
                  <wp:extent cx="1049867" cy="994409"/>
                  <wp:effectExtent l="0" t="0" r="0" b="0"/>
                  <wp:docPr id="27" name="image17.png" descr=""/>
                  <wp:cNvGraphicFramePr>
                    <a:graphicFrameLocks noChangeAspect="1"/>
                  </wp:cNvGraphicFramePr>
                  <a:graphic>
                    <a:graphicData uri="http://schemas.openxmlformats.org/drawingml/2006/picture">
                      <pic:pic>
                        <pic:nvPicPr>
                          <pic:cNvPr id="28" name="image17.png"/>
                          <pic:cNvPicPr/>
                        </pic:nvPicPr>
                        <pic:blipFill>
                          <a:blip r:embed="rId29" cstate="print"/>
                          <a:stretch>
                            <a:fillRect/>
                          </a:stretch>
                        </pic:blipFill>
                        <pic:spPr>
                          <a:xfrm>
                            <a:off x="0" y="0"/>
                            <a:ext cx="1049867" cy="994409"/>
                          </a:xfrm>
                          <a:prstGeom prst="rect">
                            <a:avLst/>
                          </a:prstGeom>
                        </pic:spPr>
                      </pic:pic>
                    </a:graphicData>
                  </a:graphic>
                </wp:inline>
              </w:drawing>
            </w:r>
            <w:r>
              <w:rPr>
                <w:rFonts w:ascii="Times New Roman"/>
                <w:position w:val="-28"/>
                <w:sz w:val="20"/>
              </w:rPr>
            </w:r>
            <w:r>
              <w:rPr>
                <w:rFonts w:ascii="Times New Roman"/>
                <w:position w:val="-28"/>
                <w:sz w:val="20"/>
              </w:rPr>
              <w:tab/>
            </w:r>
            <w:r>
              <w:rPr>
                <w:rFonts w:ascii="Times New Roman"/>
                <w:position w:val="-31"/>
                <w:sz w:val="20"/>
              </w:rPr>
              <w:drawing>
                <wp:inline distT="0" distB="0" distL="0" distR="0">
                  <wp:extent cx="1179914" cy="931545"/>
                  <wp:effectExtent l="0" t="0" r="0" b="0"/>
                  <wp:docPr id="29" name="image18.png" descr=""/>
                  <wp:cNvGraphicFramePr>
                    <a:graphicFrameLocks noChangeAspect="1"/>
                  </wp:cNvGraphicFramePr>
                  <a:graphic>
                    <a:graphicData uri="http://schemas.openxmlformats.org/drawingml/2006/picture">
                      <pic:pic>
                        <pic:nvPicPr>
                          <pic:cNvPr id="30" name="image18.png"/>
                          <pic:cNvPicPr/>
                        </pic:nvPicPr>
                        <pic:blipFill>
                          <a:blip r:embed="rId30" cstate="print"/>
                          <a:stretch>
                            <a:fillRect/>
                          </a:stretch>
                        </pic:blipFill>
                        <pic:spPr>
                          <a:xfrm>
                            <a:off x="0" y="0"/>
                            <a:ext cx="1179914" cy="931545"/>
                          </a:xfrm>
                          <a:prstGeom prst="rect">
                            <a:avLst/>
                          </a:prstGeom>
                        </pic:spPr>
                      </pic:pic>
                    </a:graphicData>
                  </a:graphic>
                </wp:inline>
              </w:drawing>
            </w:r>
            <w:r>
              <w:rPr>
                <w:rFonts w:ascii="Times New Roman"/>
                <w:position w:val="-31"/>
                <w:sz w:val="20"/>
              </w:rPr>
            </w:r>
          </w:p>
        </w:tc>
        <w:tc>
          <w:tcPr>
            <w:tcW w:w="1912" w:type="dxa"/>
            <w:vMerge/>
            <w:tcBorders>
              <w:left w:val="single" w:sz="4" w:space="0" w:color="000000"/>
              <w:right w:val="single" w:sz="4" w:space="0" w:color="000000"/>
            </w:tcBorders>
          </w:tcPr>
          <w:p>
            <w:pPr/>
          </w:p>
        </w:tc>
      </w:tr>
      <w:tr>
        <w:trPr>
          <w:trHeight w:val="1650" w:hRule="exact"/>
        </w:trPr>
        <w:tc>
          <w:tcPr>
            <w:tcW w:w="971" w:type="dxa"/>
            <w:vMerge/>
            <w:tcBorders>
              <w:left w:val="single" w:sz="4" w:space="0" w:color="000000"/>
              <w:bottom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二维码支付终端</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tabs>
                <w:tab w:pos="2115" w:val="left" w:leader="none"/>
                <w:tab w:pos="3646" w:val="left" w:leader="none"/>
              </w:tabs>
              <w:spacing w:line="1557" w:lineRule="exact"/>
              <w:ind w:left="643" w:right="0"/>
              <w:jc w:val="left"/>
              <w:rPr>
                <w:rFonts w:ascii="Times New Roman" w:hAnsi="Times New Roman" w:cs="Times New Roman" w:eastAsia="Times New Roman" w:hint="default"/>
                <w:sz w:val="20"/>
                <w:szCs w:val="20"/>
              </w:rPr>
            </w:pPr>
            <w:r>
              <w:rPr>
                <w:rFonts w:ascii="Times New Roman"/>
                <w:position w:val="-7"/>
                <w:sz w:val="20"/>
              </w:rPr>
              <w:drawing>
                <wp:inline distT="0" distB="0" distL="0" distR="0">
                  <wp:extent cx="688371" cy="611886"/>
                  <wp:effectExtent l="0" t="0" r="0" b="0"/>
                  <wp:docPr id="31" name="image19.png" descr=""/>
                  <wp:cNvGraphicFramePr>
                    <a:graphicFrameLocks noChangeAspect="1"/>
                  </wp:cNvGraphicFramePr>
                  <a:graphic>
                    <a:graphicData uri="http://schemas.openxmlformats.org/drawingml/2006/picture">
                      <pic:pic>
                        <pic:nvPicPr>
                          <pic:cNvPr id="32" name="image19.png"/>
                          <pic:cNvPicPr/>
                        </pic:nvPicPr>
                        <pic:blipFill>
                          <a:blip r:embed="rId31" cstate="print"/>
                          <a:stretch>
                            <a:fillRect/>
                          </a:stretch>
                        </pic:blipFill>
                        <pic:spPr>
                          <a:xfrm>
                            <a:off x="0" y="0"/>
                            <a:ext cx="688371" cy="611886"/>
                          </a:xfrm>
                          <a:prstGeom prst="rect">
                            <a:avLst/>
                          </a:prstGeom>
                        </pic:spPr>
                      </pic:pic>
                    </a:graphicData>
                  </a:graphic>
                </wp:inline>
              </w:drawing>
            </w:r>
            <w:r>
              <w:rPr>
                <w:rFonts w:ascii="Times New Roman"/>
                <w:position w:val="-7"/>
                <w:sz w:val="20"/>
              </w:rPr>
            </w:r>
            <w:r>
              <w:rPr>
                <w:rFonts w:ascii="Times New Roman"/>
                <w:position w:val="-7"/>
                <w:sz w:val="20"/>
              </w:rPr>
              <w:tab/>
            </w:r>
            <w:r>
              <w:rPr>
                <w:rFonts w:ascii="Times New Roman"/>
                <w:position w:val="-19"/>
                <w:sz w:val="20"/>
              </w:rPr>
              <w:drawing>
                <wp:inline distT="0" distB="0" distL="0" distR="0">
                  <wp:extent cx="644070" cy="802386"/>
                  <wp:effectExtent l="0" t="0" r="0" b="0"/>
                  <wp:docPr id="33" name="image20.jpeg" descr=""/>
                  <wp:cNvGraphicFramePr>
                    <a:graphicFrameLocks noChangeAspect="1"/>
                  </wp:cNvGraphicFramePr>
                  <a:graphic>
                    <a:graphicData uri="http://schemas.openxmlformats.org/drawingml/2006/picture">
                      <pic:pic>
                        <pic:nvPicPr>
                          <pic:cNvPr id="34" name="image20.jpeg"/>
                          <pic:cNvPicPr/>
                        </pic:nvPicPr>
                        <pic:blipFill>
                          <a:blip r:embed="rId32" cstate="print"/>
                          <a:stretch>
                            <a:fillRect/>
                          </a:stretch>
                        </pic:blipFill>
                        <pic:spPr>
                          <a:xfrm>
                            <a:off x="0" y="0"/>
                            <a:ext cx="644070" cy="802386"/>
                          </a:xfrm>
                          <a:prstGeom prst="rect">
                            <a:avLst/>
                          </a:prstGeom>
                        </pic:spPr>
                      </pic:pic>
                    </a:graphicData>
                  </a:graphic>
                </wp:inline>
              </w:drawing>
            </w:r>
            <w:r>
              <w:rPr>
                <w:rFonts w:ascii="Times New Roman"/>
                <w:position w:val="-19"/>
                <w:sz w:val="20"/>
              </w:rPr>
            </w:r>
            <w:r>
              <w:rPr>
                <w:rFonts w:ascii="Times New Roman"/>
                <w:position w:val="-19"/>
                <w:sz w:val="20"/>
              </w:rPr>
              <w:tab/>
            </w:r>
            <w:r>
              <w:rPr>
                <w:rFonts w:ascii="Times New Roman"/>
                <w:position w:val="-30"/>
                <w:sz w:val="20"/>
              </w:rPr>
              <w:drawing>
                <wp:inline distT="0" distB="0" distL="0" distR="0">
                  <wp:extent cx="569758" cy="989076"/>
                  <wp:effectExtent l="0" t="0" r="0" b="0"/>
                  <wp:docPr id="35" name="image21.png" descr=""/>
                  <wp:cNvGraphicFramePr>
                    <a:graphicFrameLocks noChangeAspect="1"/>
                  </wp:cNvGraphicFramePr>
                  <a:graphic>
                    <a:graphicData uri="http://schemas.openxmlformats.org/drawingml/2006/picture">
                      <pic:pic>
                        <pic:nvPicPr>
                          <pic:cNvPr id="36" name="image21.png"/>
                          <pic:cNvPicPr/>
                        </pic:nvPicPr>
                        <pic:blipFill>
                          <a:blip r:embed="rId33" cstate="print"/>
                          <a:stretch>
                            <a:fillRect/>
                          </a:stretch>
                        </pic:blipFill>
                        <pic:spPr>
                          <a:xfrm>
                            <a:off x="0" y="0"/>
                            <a:ext cx="569758" cy="989076"/>
                          </a:xfrm>
                          <a:prstGeom prst="rect">
                            <a:avLst/>
                          </a:prstGeom>
                        </pic:spPr>
                      </pic:pic>
                    </a:graphicData>
                  </a:graphic>
                </wp:inline>
              </w:drawing>
            </w:r>
            <w:r>
              <w:rPr>
                <w:rFonts w:ascii="Times New Roman"/>
                <w:position w:val="-30"/>
                <w:sz w:val="20"/>
              </w:rPr>
            </w:r>
          </w:p>
        </w:tc>
        <w:tc>
          <w:tcPr>
            <w:tcW w:w="1912" w:type="dxa"/>
            <w:vMerge/>
            <w:tcBorders>
              <w:left w:val="single" w:sz="4" w:space="0" w:color="000000"/>
              <w:bottom w:val="single" w:sz="4" w:space="0" w:color="000000"/>
              <w:right w:val="single" w:sz="4" w:space="0" w:color="000000"/>
            </w:tcBorders>
          </w:tcPr>
          <w:p>
            <w:pPr/>
          </w:p>
        </w:tc>
      </w:tr>
      <w:tr>
        <w:trPr>
          <w:trHeight w:val="1610" w:hRule="exact"/>
        </w:trPr>
        <w:tc>
          <w:tcPr>
            <w:tcW w:w="97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8"/>
                <w:szCs w:val="18"/>
              </w:rPr>
            </w:pPr>
          </w:p>
          <w:p>
            <w:pPr>
              <w:pStyle w:val="TableParagraph"/>
              <w:spacing w:line="319" w:lineRule="auto"/>
              <w:ind w:left="120" w:right="119"/>
              <w:jc w:val="center"/>
              <w:rPr>
                <w:rFonts w:ascii="宋体" w:hAnsi="宋体" w:cs="宋体" w:eastAsia="宋体" w:hint="default"/>
                <w:sz w:val="18"/>
                <w:szCs w:val="18"/>
              </w:rPr>
            </w:pPr>
            <w:r>
              <w:rPr>
                <w:rFonts w:ascii="宋体" w:hAnsi="宋体" w:cs="宋体" w:eastAsia="宋体" w:hint="default"/>
                <w:sz w:val="18"/>
                <w:szCs w:val="18"/>
              </w:rPr>
              <w:t>其他类智 能终端设 备</w:t>
            </w: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便携式标签打印机</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2"/>
                <w:szCs w:val="12"/>
              </w:rPr>
            </w:pPr>
          </w:p>
          <w:p>
            <w:pPr>
              <w:pStyle w:val="TableParagraph"/>
              <w:tabs>
                <w:tab w:pos="1296" w:val="left" w:leader="none"/>
              </w:tabs>
              <w:spacing w:line="1089" w:lineRule="exact"/>
              <w:ind w:left="136" w:right="0"/>
              <w:jc w:val="left"/>
              <w:rPr>
                <w:rFonts w:ascii="Times New Roman" w:hAnsi="Times New Roman" w:cs="Times New Roman" w:eastAsia="Times New Roman" w:hint="default"/>
                <w:sz w:val="20"/>
                <w:szCs w:val="20"/>
              </w:rPr>
            </w:pPr>
            <w:r>
              <w:rPr>
                <w:rFonts w:ascii="Times New Roman"/>
                <w:position w:val="-10"/>
                <w:sz w:val="20"/>
              </w:rPr>
              <w:drawing>
                <wp:inline distT="0" distB="0" distL="0" distR="0">
                  <wp:extent cx="595121" cy="595122"/>
                  <wp:effectExtent l="0" t="0" r="0" b="0"/>
                  <wp:docPr id="37" name="image22.jpeg" descr=""/>
                  <wp:cNvGraphicFramePr>
                    <a:graphicFrameLocks noChangeAspect="1"/>
                  </wp:cNvGraphicFramePr>
                  <a:graphic>
                    <a:graphicData uri="http://schemas.openxmlformats.org/drawingml/2006/picture">
                      <pic:pic>
                        <pic:nvPicPr>
                          <pic:cNvPr id="38" name="image22.jpeg"/>
                          <pic:cNvPicPr/>
                        </pic:nvPicPr>
                        <pic:blipFill>
                          <a:blip r:embed="rId34" cstate="print"/>
                          <a:stretch>
                            <a:fillRect/>
                          </a:stretch>
                        </pic:blipFill>
                        <pic:spPr>
                          <a:xfrm>
                            <a:off x="0" y="0"/>
                            <a:ext cx="595121" cy="595122"/>
                          </a:xfrm>
                          <a:prstGeom prst="rect">
                            <a:avLst/>
                          </a:prstGeom>
                        </pic:spPr>
                      </pic:pic>
                    </a:graphicData>
                  </a:graphic>
                </wp:inline>
              </w:drawing>
            </w:r>
            <w:r>
              <w:rPr>
                <w:rFonts w:ascii="Times New Roman"/>
                <w:position w:val="-10"/>
                <w:sz w:val="20"/>
              </w:rPr>
            </w:r>
            <w:r>
              <w:rPr>
                <w:rFonts w:ascii="Times New Roman"/>
                <w:position w:val="-10"/>
                <w:sz w:val="20"/>
              </w:rPr>
              <w:tab/>
            </w:r>
            <w:r>
              <w:rPr>
                <w:rFonts w:ascii="Times New Roman"/>
                <w:position w:val="-17"/>
                <w:sz w:val="20"/>
              </w:rPr>
              <w:drawing>
                <wp:inline distT="0" distB="0" distL="0" distR="0">
                  <wp:extent cx="819172" cy="577500"/>
                  <wp:effectExtent l="0" t="0" r="0" b="0"/>
                  <wp:docPr id="39" name="image23.jpeg" descr=""/>
                  <wp:cNvGraphicFramePr>
                    <a:graphicFrameLocks noChangeAspect="1"/>
                  </wp:cNvGraphicFramePr>
                  <a:graphic>
                    <a:graphicData uri="http://schemas.openxmlformats.org/drawingml/2006/picture">
                      <pic:pic>
                        <pic:nvPicPr>
                          <pic:cNvPr id="40" name="image23.jpeg"/>
                          <pic:cNvPicPr/>
                        </pic:nvPicPr>
                        <pic:blipFill>
                          <a:blip r:embed="rId35" cstate="print"/>
                          <a:stretch>
                            <a:fillRect/>
                          </a:stretch>
                        </pic:blipFill>
                        <pic:spPr>
                          <a:xfrm>
                            <a:off x="0" y="0"/>
                            <a:ext cx="819172" cy="577500"/>
                          </a:xfrm>
                          <a:prstGeom prst="rect">
                            <a:avLst/>
                          </a:prstGeom>
                        </pic:spPr>
                      </pic:pic>
                    </a:graphicData>
                  </a:graphic>
                </wp:inline>
              </w:drawing>
            </w:r>
            <w:r>
              <w:rPr>
                <w:rFonts w:ascii="Times New Roman"/>
                <w:position w:val="-17"/>
                <w:sz w:val="20"/>
              </w:rPr>
            </w:r>
            <w:r>
              <w:rPr>
                <w:rFonts w:ascii="Times New Roman"/>
                <w:spacing w:val="123"/>
                <w:position w:val="-17"/>
                <w:sz w:val="20"/>
              </w:rPr>
              <w:t> </w:t>
            </w:r>
            <w:r>
              <w:rPr>
                <w:rFonts w:ascii="Times New Roman"/>
                <w:spacing w:val="123"/>
                <w:position w:val="-14"/>
                <w:sz w:val="20"/>
              </w:rPr>
              <w:drawing>
                <wp:inline distT="0" distB="0" distL="0" distR="0">
                  <wp:extent cx="587409" cy="632840"/>
                  <wp:effectExtent l="0" t="0" r="0" b="0"/>
                  <wp:docPr id="41" name="image24.jpeg" descr=""/>
                  <wp:cNvGraphicFramePr>
                    <a:graphicFrameLocks noChangeAspect="1"/>
                  </wp:cNvGraphicFramePr>
                  <a:graphic>
                    <a:graphicData uri="http://schemas.openxmlformats.org/drawingml/2006/picture">
                      <pic:pic>
                        <pic:nvPicPr>
                          <pic:cNvPr id="42" name="image24.jpeg"/>
                          <pic:cNvPicPr/>
                        </pic:nvPicPr>
                        <pic:blipFill>
                          <a:blip r:embed="rId36" cstate="print"/>
                          <a:stretch>
                            <a:fillRect/>
                          </a:stretch>
                        </pic:blipFill>
                        <pic:spPr>
                          <a:xfrm>
                            <a:off x="0" y="0"/>
                            <a:ext cx="587409" cy="632840"/>
                          </a:xfrm>
                          <a:prstGeom prst="rect">
                            <a:avLst/>
                          </a:prstGeom>
                        </pic:spPr>
                      </pic:pic>
                    </a:graphicData>
                  </a:graphic>
                </wp:inline>
              </w:drawing>
            </w:r>
            <w:r>
              <w:rPr>
                <w:rFonts w:ascii="Times New Roman"/>
                <w:spacing w:val="123"/>
                <w:position w:val="-14"/>
                <w:sz w:val="20"/>
              </w:rPr>
            </w:r>
            <w:r>
              <w:rPr>
                <w:rFonts w:ascii="Times New Roman"/>
                <w:spacing w:val="131"/>
                <w:position w:val="-14"/>
                <w:sz w:val="20"/>
              </w:rPr>
              <w:t> </w:t>
            </w:r>
            <w:r>
              <w:rPr>
                <w:rFonts w:ascii="Times New Roman"/>
                <w:spacing w:val="131"/>
                <w:position w:val="-21"/>
                <w:sz w:val="20"/>
              </w:rPr>
              <w:drawing>
                <wp:inline distT="0" distB="0" distL="0" distR="0">
                  <wp:extent cx="576048" cy="691514"/>
                  <wp:effectExtent l="0" t="0" r="0" b="0"/>
                  <wp:docPr id="43" name="image25.jpeg" descr=""/>
                  <wp:cNvGraphicFramePr>
                    <a:graphicFrameLocks noChangeAspect="1"/>
                  </wp:cNvGraphicFramePr>
                  <a:graphic>
                    <a:graphicData uri="http://schemas.openxmlformats.org/drawingml/2006/picture">
                      <pic:pic>
                        <pic:nvPicPr>
                          <pic:cNvPr id="44" name="image25.jpeg"/>
                          <pic:cNvPicPr/>
                        </pic:nvPicPr>
                        <pic:blipFill>
                          <a:blip r:embed="rId37" cstate="print"/>
                          <a:stretch>
                            <a:fillRect/>
                          </a:stretch>
                        </pic:blipFill>
                        <pic:spPr>
                          <a:xfrm>
                            <a:off x="0" y="0"/>
                            <a:ext cx="576048" cy="691514"/>
                          </a:xfrm>
                          <a:prstGeom prst="rect">
                            <a:avLst/>
                          </a:prstGeom>
                        </pic:spPr>
                      </pic:pic>
                    </a:graphicData>
                  </a:graphic>
                </wp:inline>
              </w:drawing>
            </w:r>
            <w:r>
              <w:rPr>
                <w:rFonts w:ascii="Times New Roman"/>
                <w:spacing w:val="131"/>
                <w:position w:val="-21"/>
                <w:sz w:val="20"/>
              </w:rPr>
            </w:r>
          </w:p>
          <w:p>
            <w:pPr>
              <w:pStyle w:val="TableParagraph"/>
              <w:spacing w:line="240" w:lineRule="auto"/>
              <w:ind w:right="0"/>
              <w:jc w:val="left"/>
              <w:rPr>
                <w:rFonts w:ascii="Times New Roman" w:hAnsi="Times New Roman" w:cs="Times New Roman" w:eastAsia="Times New Roman" w:hint="default"/>
                <w:sz w:val="20"/>
                <w:szCs w:val="20"/>
              </w:rPr>
            </w:pPr>
          </w:p>
        </w:tc>
        <w:tc>
          <w:tcPr>
            <w:tcW w:w="191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316" w:lineRule="auto"/>
              <w:ind w:left="500" w:right="12" w:hanging="398"/>
              <w:jc w:val="left"/>
              <w:rPr>
                <w:rFonts w:ascii="宋体" w:hAnsi="宋体" w:cs="宋体" w:eastAsia="宋体" w:hint="default"/>
                <w:sz w:val="18"/>
                <w:szCs w:val="18"/>
              </w:rPr>
            </w:pPr>
            <w:r>
              <w:rPr>
                <w:rFonts w:ascii="宋体" w:hAnsi="宋体" w:cs="宋体" w:eastAsia="宋体" w:hint="default"/>
                <w:spacing w:val="-2"/>
                <w:sz w:val="18"/>
                <w:szCs w:val="18"/>
              </w:rPr>
              <w:t>智慧城市、智慧交通、</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物流电商等</w:t>
            </w:r>
          </w:p>
        </w:tc>
      </w:tr>
      <w:tr>
        <w:trPr>
          <w:trHeight w:val="1609" w:hRule="exact"/>
        </w:trPr>
        <w:tc>
          <w:tcPr>
            <w:tcW w:w="971" w:type="dxa"/>
            <w:vMerge/>
            <w:tcBorders>
              <w:left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智能移动税控机</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
                <w:szCs w:val="2"/>
              </w:rPr>
            </w:pPr>
          </w:p>
          <w:p>
            <w:pPr>
              <w:pStyle w:val="TableParagraph"/>
              <w:spacing w:line="1468" w:lineRule="exact"/>
              <w:ind w:left="1857"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8"/>
                <w:sz w:val="20"/>
                <w:szCs w:val="20"/>
              </w:rPr>
              <w:drawing>
                <wp:inline distT="0" distB="0" distL="0" distR="0">
                  <wp:extent cx="694757" cy="932688"/>
                  <wp:effectExtent l="0" t="0" r="0" b="0"/>
                  <wp:docPr id="45" name="image26.png" descr=""/>
                  <wp:cNvGraphicFramePr>
                    <a:graphicFrameLocks noChangeAspect="1"/>
                  </wp:cNvGraphicFramePr>
                  <a:graphic>
                    <a:graphicData uri="http://schemas.openxmlformats.org/drawingml/2006/picture">
                      <pic:pic>
                        <pic:nvPicPr>
                          <pic:cNvPr id="46" name="image26.png"/>
                          <pic:cNvPicPr/>
                        </pic:nvPicPr>
                        <pic:blipFill>
                          <a:blip r:embed="rId38" cstate="print"/>
                          <a:stretch>
                            <a:fillRect/>
                          </a:stretch>
                        </pic:blipFill>
                        <pic:spPr>
                          <a:xfrm>
                            <a:off x="0" y="0"/>
                            <a:ext cx="694757" cy="932688"/>
                          </a:xfrm>
                          <a:prstGeom prst="rect">
                            <a:avLst/>
                          </a:prstGeom>
                        </pic:spPr>
                      </pic:pic>
                    </a:graphicData>
                  </a:graphic>
                </wp:inline>
              </w:drawing>
            </w:r>
            <w:r>
              <w:rPr>
                <w:rFonts w:ascii="Times New Roman" w:hAnsi="Times New Roman" w:cs="Times New Roman" w:eastAsia="Times New Roman" w:hint="default"/>
                <w:position w:val="-28"/>
                <w:sz w:val="20"/>
                <w:szCs w:val="20"/>
              </w:rPr>
            </w:r>
          </w:p>
        </w:tc>
        <w:tc>
          <w:tcPr>
            <w:tcW w:w="1912" w:type="dxa"/>
            <w:vMerge/>
            <w:tcBorders>
              <w:left w:val="single" w:sz="4" w:space="0" w:color="000000"/>
              <w:bottom w:val="single" w:sz="4" w:space="0" w:color="000000"/>
              <w:right w:val="single" w:sz="4" w:space="0" w:color="000000"/>
            </w:tcBorders>
          </w:tcPr>
          <w:p>
            <w:pPr/>
          </w:p>
        </w:tc>
      </w:tr>
      <w:tr>
        <w:trPr>
          <w:trHeight w:val="2274" w:hRule="exact"/>
        </w:trPr>
        <w:tc>
          <w:tcPr>
            <w:tcW w:w="971" w:type="dxa"/>
            <w:vMerge/>
            <w:tcBorders>
              <w:left w:val="single" w:sz="4" w:space="0" w:color="000000"/>
              <w:bottom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right="1"/>
              <w:jc w:val="center"/>
              <w:rPr>
                <w:rFonts w:ascii="宋体" w:hAnsi="宋体" w:cs="宋体" w:eastAsia="宋体" w:hint="default"/>
                <w:sz w:val="18"/>
                <w:szCs w:val="18"/>
              </w:rPr>
            </w:pPr>
            <w:r>
              <w:rPr>
                <w:rFonts w:ascii="宋体" w:hAnsi="宋体" w:cs="宋体" w:eastAsia="宋体" w:hint="default"/>
                <w:sz w:val="18"/>
                <w:szCs w:val="18"/>
              </w:rPr>
              <w:t>智能仓库机器人</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12"/>
                <w:szCs w:val="12"/>
              </w:rPr>
            </w:pPr>
          </w:p>
          <w:p>
            <w:pPr>
              <w:pStyle w:val="TableParagraph"/>
              <w:spacing w:line="1973" w:lineRule="exact"/>
              <w:ind w:left="1654"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8"/>
                <w:sz w:val="20"/>
                <w:szCs w:val="20"/>
              </w:rPr>
              <w:drawing>
                <wp:inline distT="0" distB="0" distL="0" distR="0">
                  <wp:extent cx="1001723" cy="1253109"/>
                  <wp:effectExtent l="0" t="0" r="0" b="0"/>
                  <wp:docPr id="47" name="image27.png" descr=""/>
                  <wp:cNvGraphicFramePr>
                    <a:graphicFrameLocks noChangeAspect="1"/>
                  </wp:cNvGraphicFramePr>
                  <a:graphic>
                    <a:graphicData uri="http://schemas.openxmlformats.org/drawingml/2006/picture">
                      <pic:pic>
                        <pic:nvPicPr>
                          <pic:cNvPr id="48" name="image27.png"/>
                          <pic:cNvPicPr/>
                        </pic:nvPicPr>
                        <pic:blipFill>
                          <a:blip r:embed="rId39" cstate="print"/>
                          <a:stretch>
                            <a:fillRect/>
                          </a:stretch>
                        </pic:blipFill>
                        <pic:spPr>
                          <a:xfrm>
                            <a:off x="0" y="0"/>
                            <a:ext cx="1001723" cy="1253109"/>
                          </a:xfrm>
                          <a:prstGeom prst="rect">
                            <a:avLst/>
                          </a:prstGeom>
                        </pic:spPr>
                      </pic:pic>
                    </a:graphicData>
                  </a:graphic>
                </wp:inline>
              </w:drawing>
            </w:r>
            <w:r>
              <w:rPr>
                <w:rFonts w:ascii="Times New Roman" w:hAnsi="Times New Roman" w:cs="Times New Roman" w:eastAsia="Times New Roman" w:hint="default"/>
                <w:position w:val="-38"/>
                <w:sz w:val="20"/>
                <w:szCs w:val="20"/>
              </w:rPr>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500" w:right="0"/>
              <w:jc w:val="left"/>
              <w:rPr>
                <w:rFonts w:ascii="宋体" w:hAnsi="宋体" w:cs="宋体" w:eastAsia="宋体" w:hint="default"/>
                <w:sz w:val="18"/>
                <w:szCs w:val="18"/>
              </w:rPr>
            </w:pPr>
            <w:r>
              <w:rPr>
                <w:rFonts w:ascii="宋体" w:hAnsi="宋体" w:cs="宋体" w:eastAsia="宋体" w:hint="default"/>
                <w:sz w:val="18"/>
                <w:szCs w:val="18"/>
              </w:rPr>
              <w:t>智能仓储等</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group style="position:absolute;margin-left:284.350006pt;margin-top:174.051987pt;width:63pt;height:159.1pt;mso-position-horizontal-relative:page;mso-position-vertical-relative:page;z-index:-1013200" coordorigin="5687,3481" coordsize="1260,3182">
            <v:shape style="position:absolute;left:5687;top:3481;width:1260;height:1316" type="#_x0000_t75" stroked="false">
              <v:imagedata r:id="rId40" o:title=""/>
            </v:shape>
            <v:shape style="position:absolute;left:5967;top:4773;width:806;height:1890" type="#_x0000_t75" stroked="false">
              <v:imagedata r:id="rId41" o:title=""/>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221" w:type="dxa"/>
        <w:tblLayout w:type="fixed"/>
        <w:tblCellMar>
          <w:top w:w="0" w:type="dxa"/>
          <w:left w:w="0" w:type="dxa"/>
          <w:bottom w:w="0" w:type="dxa"/>
          <w:right w:w="0" w:type="dxa"/>
        </w:tblCellMar>
        <w:tblLook w:val="01E0"/>
      </w:tblPr>
      <w:tblGrid>
        <w:gridCol w:w="971"/>
        <w:gridCol w:w="1720"/>
        <w:gridCol w:w="4893"/>
        <w:gridCol w:w="1912"/>
      </w:tblGrid>
      <w:tr>
        <w:trPr>
          <w:trHeight w:val="2010" w:hRule="exact"/>
        </w:trPr>
        <w:tc>
          <w:tcPr>
            <w:tcW w:w="971" w:type="dxa"/>
            <w:vMerge w:val="restart"/>
            <w:tcBorders>
              <w:top w:val="single" w:sz="4" w:space="0" w:color="000000"/>
              <w:left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0"/>
                <w:szCs w:val="20"/>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智能立体仓库</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1392" w:lineRule="exact"/>
              <w:ind w:left="161" w:right="0"/>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7"/>
                <w:sz w:val="20"/>
                <w:szCs w:val="20"/>
              </w:rPr>
              <w:drawing>
                <wp:inline distT="0" distB="0" distL="0" distR="0">
                  <wp:extent cx="2895599" cy="883920"/>
                  <wp:effectExtent l="0" t="0" r="0" b="0"/>
                  <wp:docPr id="49" name="image30.png" descr=""/>
                  <wp:cNvGraphicFramePr>
                    <a:graphicFrameLocks noChangeAspect="1"/>
                  </wp:cNvGraphicFramePr>
                  <a:graphic>
                    <a:graphicData uri="http://schemas.openxmlformats.org/drawingml/2006/picture">
                      <pic:pic>
                        <pic:nvPicPr>
                          <pic:cNvPr id="50" name="image30.png"/>
                          <pic:cNvPicPr/>
                        </pic:nvPicPr>
                        <pic:blipFill>
                          <a:blip r:embed="rId42" cstate="print"/>
                          <a:stretch>
                            <a:fillRect/>
                          </a:stretch>
                        </pic:blipFill>
                        <pic:spPr>
                          <a:xfrm>
                            <a:off x="0" y="0"/>
                            <a:ext cx="2895599" cy="883920"/>
                          </a:xfrm>
                          <a:prstGeom prst="rect">
                            <a:avLst/>
                          </a:prstGeom>
                        </pic:spPr>
                      </pic:pic>
                    </a:graphicData>
                  </a:graphic>
                </wp:inline>
              </w:drawing>
            </w:r>
            <w:r>
              <w:rPr>
                <w:rFonts w:ascii="Times New Roman" w:hAnsi="Times New Roman" w:cs="Times New Roman" w:eastAsia="Times New Roman" w:hint="default"/>
                <w:position w:val="-27"/>
                <w:sz w:val="20"/>
                <w:szCs w:val="20"/>
              </w:rPr>
            </w:r>
          </w:p>
          <w:p>
            <w:pPr>
              <w:pStyle w:val="TableParagraph"/>
              <w:spacing w:line="240" w:lineRule="auto" w:before="5"/>
              <w:ind w:right="0"/>
              <w:jc w:val="left"/>
              <w:rPr>
                <w:rFonts w:ascii="Times New Roman" w:hAnsi="Times New Roman" w:cs="Times New Roman" w:eastAsia="Times New Roman" w:hint="default"/>
                <w:sz w:val="26"/>
                <w:szCs w:val="26"/>
              </w:rPr>
            </w:pPr>
          </w:p>
        </w:tc>
        <w:tc>
          <w:tcPr>
            <w:tcW w:w="1912" w:type="dxa"/>
            <w:tcBorders>
              <w:top w:val="single" w:sz="4" w:space="0" w:color="000000"/>
              <w:left w:val="single" w:sz="4" w:space="0" w:color="000000"/>
              <w:bottom w:val="single" w:sz="4" w:space="0" w:color="000000"/>
              <w:right w:val="single" w:sz="4" w:space="0" w:color="000000"/>
            </w:tcBorders>
          </w:tcPr>
          <w:p>
            <w:pPr/>
          </w:p>
        </w:tc>
      </w:tr>
      <w:tr>
        <w:trPr>
          <w:trHeight w:val="1306" w:hRule="exact"/>
        </w:trPr>
        <w:tc>
          <w:tcPr>
            <w:tcW w:w="971" w:type="dxa"/>
            <w:vMerge/>
            <w:tcBorders>
              <w:left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便携式称重仪</w:t>
            </w:r>
          </w:p>
        </w:tc>
        <w:tc>
          <w:tcPr>
            <w:tcW w:w="4893" w:type="dxa"/>
            <w:tcBorders>
              <w:top w:val="single" w:sz="4" w:space="0" w:color="000000"/>
              <w:left w:val="single" w:sz="4" w:space="0" w:color="000000"/>
              <w:bottom w:val="single" w:sz="4" w:space="0" w:color="000000"/>
              <w:right w:val="single" w:sz="4" w:space="0" w:color="000000"/>
            </w:tcBorders>
          </w:tcPr>
          <w:p>
            <w:pPr/>
          </w:p>
        </w:tc>
        <w:tc>
          <w:tcPr>
            <w:tcW w:w="191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8"/>
              <w:ind w:left="500" w:right="0"/>
              <w:jc w:val="left"/>
              <w:rPr>
                <w:rFonts w:ascii="宋体" w:hAnsi="宋体" w:cs="宋体" w:eastAsia="宋体" w:hint="default"/>
                <w:sz w:val="18"/>
                <w:szCs w:val="18"/>
              </w:rPr>
            </w:pPr>
            <w:r>
              <w:rPr>
                <w:rFonts w:ascii="宋体" w:hAnsi="宋体" w:cs="宋体" w:eastAsia="宋体" w:hint="default"/>
                <w:sz w:val="18"/>
                <w:szCs w:val="18"/>
              </w:rPr>
              <w:t>智慧物流等</w:t>
            </w:r>
          </w:p>
        </w:tc>
      </w:tr>
      <w:tr>
        <w:trPr>
          <w:trHeight w:val="2126" w:hRule="exact"/>
        </w:trPr>
        <w:tc>
          <w:tcPr>
            <w:tcW w:w="971" w:type="dxa"/>
            <w:vMerge/>
            <w:tcBorders>
              <w:left w:val="single" w:sz="4" w:space="0" w:color="000000"/>
              <w:bottom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5"/>
                <w:szCs w:val="2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智能物流一体机</w:t>
            </w:r>
          </w:p>
        </w:tc>
        <w:tc>
          <w:tcPr>
            <w:tcW w:w="4893" w:type="dxa"/>
            <w:tcBorders>
              <w:top w:val="single" w:sz="4" w:space="0" w:color="000000"/>
              <w:left w:val="single" w:sz="4" w:space="0" w:color="000000"/>
              <w:bottom w:val="single" w:sz="4" w:space="0" w:color="000000"/>
              <w:right w:val="single" w:sz="4" w:space="0" w:color="000000"/>
            </w:tcBorders>
          </w:tcPr>
          <w:p>
            <w:pPr/>
          </w:p>
        </w:tc>
        <w:tc>
          <w:tcPr>
            <w:tcW w:w="1912" w:type="dxa"/>
            <w:vMerge/>
            <w:tcBorders>
              <w:left w:val="single" w:sz="4" w:space="0" w:color="000000"/>
              <w:bottom w:val="single" w:sz="4" w:space="0" w:color="000000"/>
              <w:right w:val="single" w:sz="4" w:space="0" w:color="000000"/>
            </w:tcBorders>
          </w:tcPr>
          <w:p>
            <w:pPr/>
          </w:p>
        </w:tc>
      </w:tr>
      <w:tr>
        <w:trPr>
          <w:trHeight w:val="402" w:hRule="exact"/>
        </w:trPr>
        <w:tc>
          <w:tcPr>
            <w:tcW w:w="269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48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功能概述</w:t>
            </w:r>
          </w:p>
        </w:tc>
        <w:tc>
          <w:tcPr>
            <w:tcW w:w="191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85" w:right="0"/>
              <w:jc w:val="left"/>
              <w:rPr>
                <w:rFonts w:ascii="宋体" w:hAnsi="宋体" w:cs="宋体" w:eastAsia="宋体" w:hint="default"/>
                <w:sz w:val="18"/>
                <w:szCs w:val="18"/>
              </w:rPr>
            </w:pPr>
            <w:r>
              <w:rPr>
                <w:rFonts w:ascii="宋体" w:hAnsi="宋体" w:cs="宋体" w:eastAsia="宋体" w:hint="default"/>
                <w:sz w:val="18"/>
                <w:szCs w:val="18"/>
              </w:rPr>
              <w:t>主要应用行业</w:t>
            </w:r>
            <w:r>
              <w:rPr>
                <w:rFonts w:ascii="宋体" w:hAnsi="宋体" w:cs="宋体" w:eastAsia="宋体" w:hint="default"/>
                <w:sz w:val="18"/>
                <w:szCs w:val="18"/>
              </w:rPr>
              <w:t>/</w:t>
            </w:r>
            <w:r>
              <w:rPr>
                <w:rFonts w:ascii="宋体" w:hAnsi="宋体" w:cs="宋体" w:eastAsia="宋体" w:hint="default"/>
                <w:sz w:val="18"/>
                <w:szCs w:val="18"/>
              </w:rPr>
              <w:t>领域</w:t>
            </w:r>
          </w:p>
        </w:tc>
      </w:tr>
      <w:tr>
        <w:trPr>
          <w:trHeight w:val="1026" w:hRule="exact"/>
        </w:trPr>
        <w:tc>
          <w:tcPr>
            <w:tcW w:w="97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319" w:lineRule="auto"/>
              <w:ind w:left="120" w:right="119"/>
              <w:jc w:val="both"/>
              <w:rPr>
                <w:rFonts w:ascii="宋体" w:hAnsi="宋体" w:cs="宋体" w:eastAsia="宋体" w:hint="default"/>
                <w:sz w:val="18"/>
                <w:szCs w:val="18"/>
              </w:rPr>
            </w:pPr>
            <w:r>
              <w:rPr>
                <w:rFonts w:ascii="宋体" w:hAnsi="宋体" w:cs="宋体" w:eastAsia="宋体" w:hint="default"/>
                <w:sz w:val="18"/>
                <w:szCs w:val="18"/>
              </w:rPr>
              <w:t>行业智能 移动信息 化应用解 决方案</w:t>
            </w: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
              <w:jc w:val="center"/>
              <w:rPr>
                <w:rFonts w:ascii="宋体" w:hAnsi="宋体" w:cs="宋体" w:eastAsia="宋体" w:hint="default"/>
                <w:sz w:val="18"/>
                <w:szCs w:val="18"/>
              </w:rPr>
            </w:pPr>
            <w:r>
              <w:rPr>
                <w:rFonts w:ascii="宋体" w:hAnsi="宋体" w:cs="宋体" w:eastAsia="宋体" w:hint="default"/>
                <w:sz w:val="18"/>
                <w:szCs w:val="18"/>
              </w:rPr>
              <w:t>物流快递信息管理</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01"/>
              <w:jc w:val="both"/>
              <w:rPr>
                <w:rFonts w:ascii="宋体" w:hAnsi="宋体" w:cs="宋体" w:eastAsia="宋体" w:hint="default"/>
                <w:sz w:val="18"/>
                <w:szCs w:val="18"/>
              </w:rPr>
            </w:pPr>
            <w:r>
              <w:rPr>
                <w:rFonts w:ascii="宋体" w:hAnsi="宋体" w:cs="宋体" w:eastAsia="宋体" w:hint="default"/>
                <w:sz w:val="18"/>
                <w:szCs w:val="18"/>
              </w:rPr>
              <w:t>为物流快递、电商企业提供收派件管理、货件追踪、行程实 </w:t>
            </w:r>
            <w:r>
              <w:rPr>
                <w:rFonts w:ascii="宋体" w:hAnsi="宋体" w:cs="宋体" w:eastAsia="宋体" w:hint="default"/>
                <w:spacing w:val="-4"/>
                <w:sz w:val="18"/>
                <w:szCs w:val="18"/>
              </w:rPr>
              <w:t>时监控、运单查询、客户回访等功能，以实现物流全程的</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可</w:t>
            </w:r>
            <w:r>
              <w:rPr>
                <w:rFonts w:ascii="宋体" w:hAnsi="宋体" w:cs="宋体" w:eastAsia="宋体" w:hint="default"/>
                <w:spacing w:val="-67"/>
                <w:sz w:val="18"/>
                <w:szCs w:val="18"/>
              </w:rPr>
              <w:t> </w:t>
            </w:r>
            <w:r>
              <w:rPr>
                <w:rFonts w:ascii="宋体" w:hAnsi="宋体" w:cs="宋体" w:eastAsia="宋体" w:hint="default"/>
                <w:sz w:val="18"/>
                <w:szCs w:val="18"/>
              </w:rPr>
              <w:t>视化、智能化</w:t>
            </w:r>
            <w:r>
              <w:rPr>
                <w:rFonts w:ascii="Times New Roman" w:hAnsi="Times New Roman" w:cs="Times New Roman" w:eastAsia="Times New Roman" w:hint="default"/>
                <w:sz w:val="18"/>
                <w:szCs w:val="18"/>
              </w:rPr>
              <w:t>”</w:t>
            </w:r>
            <w:r>
              <w:rPr>
                <w:rFonts w:ascii="宋体" w:hAnsi="宋体" w:cs="宋体" w:eastAsia="宋体" w:hint="default"/>
                <w:sz w:val="18"/>
                <w:szCs w:val="18"/>
              </w:rPr>
              <w:t>管理</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770" w:right="139" w:hanging="630"/>
              <w:jc w:val="left"/>
              <w:rPr>
                <w:rFonts w:ascii="宋体" w:hAnsi="宋体" w:cs="宋体" w:eastAsia="宋体" w:hint="default"/>
                <w:sz w:val="18"/>
                <w:szCs w:val="18"/>
              </w:rPr>
            </w:pPr>
            <w:r>
              <w:rPr>
                <w:rFonts w:ascii="宋体" w:hAnsi="宋体" w:cs="宋体" w:eastAsia="宋体" w:hint="default"/>
                <w:sz w:val="18"/>
                <w:szCs w:val="18"/>
              </w:rPr>
              <w:t>物流快递、电子商务 行业</w:t>
            </w:r>
          </w:p>
        </w:tc>
      </w:tr>
      <w:tr>
        <w:trPr>
          <w:trHeight w:val="1338" w:hRule="exact"/>
        </w:trPr>
        <w:tc>
          <w:tcPr>
            <w:tcW w:w="971" w:type="dxa"/>
            <w:vMerge/>
            <w:tcBorders>
              <w:left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right="1"/>
              <w:jc w:val="center"/>
              <w:rPr>
                <w:rFonts w:ascii="宋体" w:hAnsi="宋体" w:cs="宋体" w:eastAsia="宋体" w:hint="default"/>
                <w:sz w:val="18"/>
                <w:szCs w:val="18"/>
              </w:rPr>
            </w:pPr>
            <w:r>
              <w:rPr>
                <w:rFonts w:ascii="宋体" w:hAnsi="宋体" w:cs="宋体" w:eastAsia="宋体" w:hint="default"/>
                <w:sz w:val="18"/>
                <w:szCs w:val="18"/>
              </w:rPr>
              <w:t>供应链信息管理</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3"/>
              <w:jc w:val="left"/>
              <w:rPr>
                <w:rFonts w:ascii="宋体" w:hAnsi="宋体" w:cs="宋体" w:eastAsia="宋体" w:hint="default"/>
                <w:sz w:val="18"/>
                <w:szCs w:val="18"/>
              </w:rPr>
            </w:pPr>
            <w:r>
              <w:rPr>
                <w:rFonts w:ascii="宋体" w:hAnsi="宋体" w:cs="宋体" w:eastAsia="宋体" w:hint="default"/>
                <w:sz w:val="18"/>
                <w:szCs w:val="18"/>
              </w:rPr>
              <w:t>为生产制造、零售等行业企业在采购、生产、仓储、运输、 分销、配送等各个供应链环节提供订单管理、仓库管理、运 </w:t>
            </w:r>
            <w:r>
              <w:rPr>
                <w:rFonts w:ascii="宋体" w:hAnsi="宋体" w:cs="宋体" w:eastAsia="宋体" w:hint="default"/>
                <w:spacing w:val="-4"/>
                <w:sz w:val="18"/>
                <w:szCs w:val="18"/>
              </w:rPr>
              <w:t>输管理、配送管理等功能，有效降低供应链成本和库存压力、</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提高供应链管理效率</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860" w:right="139" w:hanging="720"/>
              <w:jc w:val="left"/>
              <w:rPr>
                <w:rFonts w:ascii="宋体" w:hAnsi="宋体" w:cs="宋体" w:eastAsia="宋体" w:hint="default"/>
                <w:sz w:val="18"/>
                <w:szCs w:val="18"/>
              </w:rPr>
            </w:pPr>
            <w:r>
              <w:rPr>
                <w:rFonts w:ascii="宋体" w:hAnsi="宋体" w:cs="宋体" w:eastAsia="宋体" w:hint="default"/>
                <w:sz w:val="18"/>
                <w:szCs w:val="18"/>
              </w:rPr>
              <w:t>生产制造、零售等行 业</w:t>
            </w:r>
          </w:p>
        </w:tc>
      </w:tr>
      <w:tr>
        <w:trPr>
          <w:trHeight w:val="1026" w:hRule="exact"/>
        </w:trPr>
        <w:tc>
          <w:tcPr>
            <w:tcW w:w="971" w:type="dxa"/>
            <w:vMerge/>
            <w:tcBorders>
              <w:left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
              <w:jc w:val="center"/>
              <w:rPr>
                <w:rFonts w:ascii="宋体" w:hAnsi="宋体" w:cs="宋体" w:eastAsia="宋体" w:hint="default"/>
                <w:sz w:val="18"/>
                <w:szCs w:val="18"/>
              </w:rPr>
            </w:pPr>
            <w:r>
              <w:rPr>
                <w:rFonts w:ascii="宋体" w:hAnsi="宋体" w:cs="宋体" w:eastAsia="宋体" w:hint="default"/>
                <w:sz w:val="18"/>
                <w:szCs w:val="18"/>
              </w:rPr>
              <w:t>质量安全溯源管理</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3"/>
              <w:jc w:val="left"/>
              <w:rPr>
                <w:rFonts w:ascii="宋体" w:hAnsi="宋体" w:cs="宋体" w:eastAsia="宋体" w:hint="default"/>
                <w:sz w:val="18"/>
                <w:szCs w:val="18"/>
              </w:rPr>
            </w:pPr>
            <w:r>
              <w:rPr>
                <w:rFonts w:ascii="宋体" w:hAnsi="宋体" w:cs="宋体" w:eastAsia="宋体" w:hint="default"/>
                <w:spacing w:val="-4"/>
                <w:sz w:val="18"/>
                <w:szCs w:val="18"/>
              </w:rPr>
              <w:t>为食品、医药等行业企业及监管部门实现原材料供应、生产、</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仓储物流、销售等业务环节的全程信息标识、采集及传递， 可实时跟踪监控产品的生产状态、原材料来源及产品流向</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680" w:right="139" w:hanging="540"/>
              <w:jc w:val="left"/>
              <w:rPr>
                <w:rFonts w:ascii="宋体" w:hAnsi="宋体" w:cs="宋体" w:eastAsia="宋体" w:hint="default"/>
                <w:sz w:val="18"/>
                <w:szCs w:val="18"/>
              </w:rPr>
            </w:pPr>
            <w:r>
              <w:rPr>
                <w:rFonts w:ascii="宋体" w:hAnsi="宋体" w:cs="宋体" w:eastAsia="宋体" w:hint="default"/>
                <w:sz w:val="18"/>
                <w:szCs w:val="18"/>
              </w:rPr>
              <w:t>食品医药、生产制造 等行业</w:t>
            </w:r>
          </w:p>
        </w:tc>
      </w:tr>
      <w:tr>
        <w:trPr>
          <w:trHeight w:val="1026" w:hRule="exact"/>
        </w:trPr>
        <w:tc>
          <w:tcPr>
            <w:tcW w:w="971" w:type="dxa"/>
            <w:vMerge/>
            <w:tcBorders>
              <w:left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
              <w:jc w:val="center"/>
              <w:rPr>
                <w:rFonts w:ascii="宋体" w:hAnsi="宋体" w:cs="宋体" w:eastAsia="宋体" w:hint="default"/>
                <w:sz w:val="18"/>
                <w:szCs w:val="18"/>
              </w:rPr>
            </w:pPr>
            <w:r>
              <w:rPr>
                <w:rFonts w:ascii="宋体" w:hAnsi="宋体" w:cs="宋体" w:eastAsia="宋体" w:hint="default"/>
                <w:sz w:val="18"/>
                <w:szCs w:val="18"/>
              </w:rPr>
              <w:t>移动销售管理</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3"/>
              <w:jc w:val="left"/>
              <w:rPr>
                <w:rFonts w:ascii="宋体" w:hAnsi="宋体" w:cs="宋体" w:eastAsia="宋体" w:hint="default"/>
                <w:sz w:val="18"/>
                <w:szCs w:val="18"/>
              </w:rPr>
            </w:pPr>
            <w:r>
              <w:rPr>
                <w:rFonts w:ascii="宋体" w:hAnsi="宋体" w:cs="宋体" w:eastAsia="宋体" w:hint="default"/>
                <w:spacing w:val="-4"/>
                <w:sz w:val="18"/>
                <w:szCs w:val="18"/>
              </w:rPr>
              <w:t>为连锁零售和服务企业提供订单管理、会员管理、门店盘点、</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人员管理等销售管理功能，并可实时与企业业务系统交互， 实现了企业对门店的实时信息化管理</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40" w:right="0"/>
              <w:jc w:val="left"/>
              <w:rPr>
                <w:rFonts w:ascii="宋体" w:hAnsi="宋体" w:cs="宋体" w:eastAsia="宋体" w:hint="default"/>
                <w:sz w:val="18"/>
                <w:szCs w:val="18"/>
              </w:rPr>
            </w:pPr>
            <w:r>
              <w:rPr>
                <w:rFonts w:ascii="宋体" w:hAnsi="宋体" w:cs="宋体" w:eastAsia="宋体" w:hint="default"/>
                <w:sz w:val="18"/>
                <w:szCs w:val="18"/>
              </w:rPr>
              <w:t>连锁零售和服务行业</w:t>
            </w:r>
          </w:p>
        </w:tc>
      </w:tr>
      <w:tr>
        <w:trPr>
          <w:trHeight w:val="714" w:hRule="exact"/>
        </w:trPr>
        <w:tc>
          <w:tcPr>
            <w:tcW w:w="971" w:type="dxa"/>
            <w:vMerge/>
            <w:tcBorders>
              <w:left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电子政务管理</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98"/>
              <w:jc w:val="left"/>
              <w:rPr>
                <w:rFonts w:ascii="宋体" w:hAnsi="宋体" w:cs="宋体" w:eastAsia="宋体" w:hint="default"/>
                <w:sz w:val="18"/>
                <w:szCs w:val="18"/>
              </w:rPr>
            </w:pPr>
            <w:r>
              <w:rPr>
                <w:rFonts w:ascii="宋体" w:hAnsi="宋体" w:cs="宋体" w:eastAsia="宋体" w:hint="default"/>
                <w:sz w:val="18"/>
                <w:szCs w:val="18"/>
              </w:rPr>
              <w:t>为政府及公用事业管理单位提供电子取证、实时信息查询、 移动办公等功能，构建移动政务管理系统，提高管理效率</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770" w:right="139" w:hanging="630"/>
              <w:jc w:val="left"/>
              <w:rPr>
                <w:rFonts w:ascii="宋体" w:hAnsi="宋体" w:cs="宋体" w:eastAsia="宋体" w:hint="default"/>
                <w:sz w:val="18"/>
                <w:szCs w:val="18"/>
              </w:rPr>
            </w:pPr>
            <w:r>
              <w:rPr>
                <w:rFonts w:ascii="宋体" w:hAnsi="宋体" w:cs="宋体" w:eastAsia="宋体" w:hint="default"/>
                <w:sz w:val="18"/>
                <w:szCs w:val="18"/>
              </w:rPr>
              <w:t>行政执法及公用事业 管理</w:t>
            </w:r>
          </w:p>
        </w:tc>
      </w:tr>
      <w:tr>
        <w:trPr>
          <w:trHeight w:val="1026" w:hRule="exact"/>
        </w:trPr>
        <w:tc>
          <w:tcPr>
            <w:tcW w:w="971" w:type="dxa"/>
            <w:vMerge/>
            <w:tcBorders>
              <w:left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
              <w:jc w:val="center"/>
              <w:rPr>
                <w:rFonts w:ascii="宋体" w:hAnsi="宋体" w:cs="宋体" w:eastAsia="宋体" w:hint="default"/>
                <w:sz w:val="18"/>
                <w:szCs w:val="18"/>
              </w:rPr>
            </w:pPr>
            <w:r>
              <w:rPr>
                <w:rFonts w:ascii="宋体" w:hAnsi="宋体" w:cs="宋体" w:eastAsia="宋体" w:hint="default"/>
                <w:sz w:val="18"/>
                <w:szCs w:val="18"/>
              </w:rPr>
              <w:t>智能仓储管理</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3" w:right="98"/>
              <w:jc w:val="left"/>
              <w:rPr>
                <w:rFonts w:ascii="宋体" w:hAnsi="宋体" w:cs="宋体" w:eastAsia="宋体" w:hint="default"/>
                <w:sz w:val="18"/>
                <w:szCs w:val="18"/>
              </w:rPr>
            </w:pPr>
            <w:r>
              <w:rPr>
                <w:rFonts w:ascii="宋体" w:hAnsi="宋体" w:cs="宋体" w:eastAsia="宋体" w:hint="default"/>
                <w:sz w:val="18"/>
                <w:szCs w:val="18"/>
              </w:rPr>
              <w:t>运用自主研发的智能仓库机器人，集成其他智能仓储硬件， 为客户提供全新的智能化、自动化立体仓储管理系统</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2"/>
              <w:jc w:val="center"/>
              <w:rPr>
                <w:rFonts w:ascii="宋体" w:hAnsi="宋体" w:cs="宋体" w:eastAsia="宋体" w:hint="default"/>
                <w:sz w:val="18"/>
                <w:szCs w:val="18"/>
              </w:rPr>
            </w:pPr>
            <w:r>
              <w:rPr>
                <w:rFonts w:ascii="宋体" w:hAnsi="宋体" w:cs="宋体" w:eastAsia="宋体" w:hint="default"/>
                <w:spacing w:val="-2"/>
                <w:sz w:val="18"/>
                <w:szCs w:val="18"/>
              </w:rPr>
              <w:t>物流快递、电子商务、</w:t>
            </w:r>
            <w:r>
              <w:rPr>
                <w:rFonts w:ascii="宋体" w:hAnsi="宋体" w:cs="宋体" w:eastAsia="宋体" w:hint="default"/>
                <w:sz w:val="18"/>
                <w:szCs w:val="18"/>
              </w:rPr>
              <w:t> 生产制造、零售等行 业</w:t>
            </w:r>
          </w:p>
        </w:tc>
      </w:tr>
      <w:tr>
        <w:trPr>
          <w:trHeight w:val="1026" w:hRule="exact"/>
        </w:trPr>
        <w:tc>
          <w:tcPr>
            <w:tcW w:w="971" w:type="dxa"/>
            <w:vMerge/>
            <w:tcBorders>
              <w:left w:val="single" w:sz="4" w:space="0" w:color="000000"/>
              <w:bottom w:val="single" w:sz="4" w:space="0" w:color="000000"/>
              <w:right w:val="single" w:sz="4" w:space="0" w:color="000000"/>
            </w:tcBorders>
          </w:tcPr>
          <w:p>
            <w:pPr/>
          </w:p>
        </w:tc>
        <w:tc>
          <w:tcPr>
            <w:tcW w:w="1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
              <w:jc w:val="center"/>
              <w:rPr>
                <w:rFonts w:ascii="宋体" w:hAnsi="宋体" w:cs="宋体" w:eastAsia="宋体" w:hint="default"/>
                <w:sz w:val="18"/>
                <w:szCs w:val="18"/>
              </w:rPr>
            </w:pPr>
            <w:r>
              <w:rPr>
                <w:rFonts w:ascii="宋体" w:hAnsi="宋体" w:cs="宋体" w:eastAsia="宋体" w:hint="default"/>
                <w:sz w:val="18"/>
                <w:szCs w:val="18"/>
              </w:rPr>
              <w:t>智能移动支付</w:t>
            </w:r>
          </w:p>
        </w:tc>
        <w:tc>
          <w:tcPr>
            <w:tcW w:w="4893"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98"/>
              <w:jc w:val="both"/>
              <w:rPr>
                <w:rFonts w:ascii="宋体" w:hAnsi="宋体" w:cs="宋体" w:eastAsia="宋体" w:hint="default"/>
                <w:sz w:val="18"/>
                <w:szCs w:val="18"/>
              </w:rPr>
            </w:pPr>
            <w:r>
              <w:rPr>
                <w:rFonts w:ascii="宋体" w:hAnsi="宋体" w:cs="宋体" w:eastAsia="宋体" w:hint="default"/>
                <w:sz w:val="18"/>
                <w:szCs w:val="18"/>
              </w:rPr>
              <w:t>基于智能移动支付终端为零售业、服务业商户及物流快递、 电商企业构建</w:t>
            </w:r>
            <w:r>
              <w:rPr>
                <w:rFonts w:ascii="Times New Roman" w:hAnsi="Times New Roman" w:cs="Times New Roman" w:eastAsia="Times New Roman" w:hint="default"/>
                <w:sz w:val="18"/>
                <w:szCs w:val="18"/>
              </w:rPr>
              <w:t>“</w:t>
            </w:r>
            <w:r>
              <w:rPr>
                <w:rFonts w:ascii="宋体" w:hAnsi="宋体" w:cs="宋体" w:eastAsia="宋体" w:hint="default"/>
                <w:sz w:val="18"/>
                <w:szCs w:val="18"/>
              </w:rPr>
              <w:t>客流、物流、资金流</w:t>
            </w:r>
            <w:r>
              <w:rPr>
                <w:rFonts w:ascii="Times New Roman" w:hAnsi="Times New Roman" w:cs="Times New Roman" w:eastAsia="Times New Roman" w:hint="default"/>
                <w:sz w:val="18"/>
                <w:szCs w:val="18"/>
              </w:rPr>
              <w:t>”</w:t>
            </w:r>
            <w:r>
              <w:rPr>
                <w:rFonts w:ascii="宋体" w:hAnsi="宋体" w:cs="宋体" w:eastAsia="宋体" w:hint="default"/>
                <w:sz w:val="18"/>
                <w:szCs w:val="18"/>
              </w:rPr>
              <w:t>三流合一的业务管理平 台</w:t>
            </w:r>
          </w:p>
        </w:tc>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40" w:right="139"/>
              <w:jc w:val="center"/>
              <w:rPr>
                <w:rFonts w:ascii="宋体" w:hAnsi="宋体" w:cs="宋体" w:eastAsia="宋体" w:hint="default"/>
                <w:sz w:val="18"/>
                <w:szCs w:val="18"/>
              </w:rPr>
            </w:pPr>
            <w:r>
              <w:rPr>
                <w:rFonts w:ascii="宋体" w:hAnsi="宋体" w:cs="宋体" w:eastAsia="宋体" w:hint="default"/>
                <w:sz w:val="18"/>
                <w:szCs w:val="18"/>
              </w:rPr>
              <w:t>零售、消费服务、物 流快递、电子商务等 行业</w:t>
            </w:r>
          </w:p>
        </w:tc>
      </w:tr>
    </w:tbl>
    <w:p>
      <w:pPr>
        <w:pStyle w:val="Heading4"/>
        <w:spacing w:line="240" w:lineRule="auto" w:before="10"/>
        <w:ind w:right="1134"/>
        <w:jc w:val="left"/>
        <w:rPr>
          <w:b w:val="0"/>
          <w:bCs w:val="0"/>
        </w:rPr>
      </w:pPr>
      <w:r>
        <w:rPr/>
        <w:t>（二）经营模式</w:t>
      </w:r>
      <w:r>
        <w:rPr>
          <w:b w:val="0"/>
          <w:bCs w:val="0"/>
        </w:rPr>
      </w:r>
    </w:p>
    <w:p>
      <w:pPr>
        <w:pStyle w:val="BodyText"/>
        <w:spacing w:line="300" w:lineRule="auto" w:before="76"/>
        <w:ind w:left="514" w:right="1126"/>
        <w:jc w:val="left"/>
      </w:pPr>
      <w:r>
        <w:rPr>
          <w:rFonts w:ascii="Times New Roman" w:hAnsi="Times New Roman" w:cs="Times New Roman" w:eastAsia="Times New Roman" w:hint="default"/>
        </w:rPr>
        <w:t>1</w:t>
      </w:r>
      <w:r>
        <w:rPr/>
        <w:t>、采购模式 </w:t>
      </w:r>
      <w:r>
        <w:rPr>
          <w:spacing w:val="-1"/>
        </w:rPr>
        <w:t>公司根据经销商和客户的销售计划及订单安排生产计划和采购计划，采用</w:t>
      </w:r>
      <w:r>
        <w:rPr>
          <w:rFonts w:ascii="Times New Roman" w:hAnsi="Times New Roman" w:cs="Times New Roman" w:eastAsia="Times New Roman" w:hint="default"/>
          <w:spacing w:val="-1"/>
        </w:rPr>
        <w:t>“</w:t>
      </w:r>
      <w:r>
        <w:rPr>
          <w:spacing w:val="-1"/>
        </w:rPr>
        <w:t>以销定产</w:t>
      </w:r>
      <w:r>
        <w:rPr>
          <w:rFonts w:ascii="Times New Roman" w:hAnsi="Times New Roman" w:cs="Times New Roman" w:eastAsia="Times New Roman" w:hint="default"/>
          <w:spacing w:val="-1"/>
        </w:rPr>
        <w:t>”</w:t>
      </w:r>
      <w:r>
        <w:rPr>
          <w:spacing w:val="-1"/>
        </w:rPr>
        <w:t>和</w:t>
      </w:r>
      <w:r>
        <w:rPr>
          <w:rFonts w:ascii="Times New Roman" w:hAnsi="Times New Roman" w:cs="Times New Roman" w:eastAsia="Times New Roman" w:hint="default"/>
          <w:spacing w:val="-1"/>
        </w:rPr>
        <w:t>“</w:t>
      </w:r>
      <w:r>
        <w:rPr>
          <w:spacing w:val="-1"/>
        </w:rPr>
        <w:t>以产定购</w:t>
      </w:r>
      <w:r>
        <w:rPr>
          <w:rFonts w:ascii="Times New Roman" w:hAnsi="Times New Roman" w:cs="Times New Roman" w:eastAsia="Times New Roman" w:hint="default"/>
          <w:spacing w:val="-1"/>
        </w:rPr>
        <w:t>”</w:t>
      </w:r>
      <w:r>
        <w:rPr>
          <w:spacing w:val="-1"/>
        </w:rPr>
        <w:t>的业务模式。该采购</w:t>
      </w:r>
    </w:p>
    <w:p>
      <w:pPr>
        <w:spacing w:after="0" w:line="30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right="0"/>
        <w:jc w:val="both"/>
      </w:pPr>
      <w:r>
        <w:rPr/>
        <w:t>模式符合公司实际业务开展的需要，也是行业内通常采用的业务模式。</w:t>
      </w:r>
    </w:p>
    <w:p>
      <w:pPr>
        <w:pStyle w:val="BodyText"/>
        <w:spacing w:line="300" w:lineRule="auto" w:before="76"/>
        <w:ind w:left="514" w:right="1034"/>
        <w:jc w:val="left"/>
      </w:pPr>
      <w:r>
        <w:rPr>
          <w:rFonts w:ascii="Times New Roman" w:hAnsi="Times New Roman" w:cs="Times New Roman" w:eastAsia="Times New Roman" w:hint="default"/>
        </w:rPr>
        <w:t>2</w:t>
      </w:r>
      <w:r>
        <w:rPr/>
        <w:t>、生产模式 </w:t>
      </w:r>
      <w:r>
        <w:rPr>
          <w:spacing w:val="-3"/>
        </w:rPr>
        <w:t>公司生产采取的是</w:t>
      </w:r>
      <w:r>
        <w:rPr>
          <w:rFonts w:ascii="Times New Roman" w:hAnsi="Times New Roman" w:cs="Times New Roman" w:eastAsia="Times New Roman" w:hint="default"/>
          <w:spacing w:val="-3"/>
        </w:rPr>
        <w:t>“</w:t>
      </w:r>
      <w:r>
        <w:rPr>
          <w:spacing w:val="-3"/>
        </w:rPr>
        <w:t>以销定产</w:t>
      </w:r>
      <w:r>
        <w:rPr>
          <w:rFonts w:ascii="Times New Roman" w:hAnsi="Times New Roman" w:cs="Times New Roman" w:eastAsia="Times New Roman" w:hint="default"/>
          <w:spacing w:val="-3"/>
        </w:rPr>
        <w:t>”</w:t>
      </w:r>
      <w:r>
        <w:rPr>
          <w:spacing w:val="-3"/>
        </w:rPr>
        <w:t>的模式，即依据销售计划和合同订单制定生产计划。根据生产计划组织进行预加工、组装、</w:t>
      </w:r>
    </w:p>
    <w:p>
      <w:pPr>
        <w:pStyle w:val="BodyText"/>
        <w:spacing w:line="319" w:lineRule="auto" w:before="13"/>
        <w:ind w:right="1133"/>
        <w:jc w:val="both"/>
      </w:pPr>
      <w:r>
        <w:rPr>
          <w:spacing w:val="-2"/>
        </w:rPr>
        <w:t>软件灌入、整机测试和包装。报告期内，由于公司订单大幅增加，自有产能不足以满足客户需求，公司将部分产品委托专业</w:t>
      </w:r>
      <w:r>
        <w:rPr>
          <w:spacing w:val="-66"/>
        </w:rPr>
        <w:t> </w:t>
      </w:r>
      <w:r>
        <w:rPr>
          <w:spacing w:val="-66"/>
        </w:rPr>
      </w:r>
      <w:r>
        <w:rPr/>
        <w:t>代工厂进行加工生产。</w:t>
      </w:r>
    </w:p>
    <w:p>
      <w:pPr>
        <w:pStyle w:val="BodyText"/>
        <w:spacing w:line="300" w:lineRule="auto" w:before="17"/>
        <w:ind w:left="514" w:right="1034"/>
        <w:jc w:val="left"/>
      </w:pPr>
      <w:r>
        <w:rPr>
          <w:rFonts w:ascii="Times New Roman" w:hAnsi="Times New Roman" w:cs="Times New Roman" w:eastAsia="Times New Roman" w:hint="default"/>
        </w:rPr>
        <w:t>3</w:t>
      </w:r>
      <w:r>
        <w:rPr/>
        <w:t>、营销模式 </w:t>
      </w:r>
      <w:r>
        <w:rPr>
          <w:spacing w:val="-4"/>
        </w:rPr>
        <w:t>公司的产品销售模式分为两大类：一、针对不特定的用户提供标准配置的产品，主要通过各级经销商等合作方进行销售；</w:t>
      </w:r>
    </w:p>
    <w:p>
      <w:pPr>
        <w:pStyle w:val="BodyText"/>
        <w:spacing w:line="316" w:lineRule="auto" w:before="31"/>
        <w:ind w:right="1131"/>
        <w:jc w:val="both"/>
      </w:pPr>
      <w:r>
        <w:rPr>
          <w:spacing w:val="-2"/>
        </w:rPr>
        <w:t>二、针对采购规模大的最终客户的个性化需求提供定制化的智能终端产品、软件或整体解决方案，采用项目制进行销售，针</w:t>
      </w:r>
      <w:r>
        <w:rPr>
          <w:spacing w:val="-66"/>
        </w:rPr>
        <w:t> </w:t>
      </w:r>
      <w:r>
        <w:rPr>
          <w:spacing w:val="-66"/>
        </w:rPr>
      </w:r>
      <w:r>
        <w:rPr>
          <w:spacing w:val="-2"/>
        </w:rPr>
        <w:t>对各个客户对用途、性能等要求的不同，依据客户订单组织产品生产，直接向客户销售。同时，公司针对特定客户的短期需</w:t>
      </w:r>
      <w:r>
        <w:rPr>
          <w:spacing w:val="-66"/>
        </w:rPr>
        <w:t> </w:t>
      </w:r>
      <w:r>
        <w:rPr>
          <w:spacing w:val="-66"/>
        </w:rPr>
      </w:r>
      <w:r>
        <w:rPr/>
        <w:t>求，向客户提供智能终端设备的租赁服务。</w:t>
      </w:r>
    </w:p>
    <w:p>
      <w:pPr>
        <w:pStyle w:val="BodyText"/>
        <w:spacing w:line="300" w:lineRule="auto" w:before="19"/>
        <w:ind w:left="514" w:right="1032"/>
        <w:jc w:val="left"/>
      </w:pPr>
      <w:r>
        <w:rPr>
          <w:rFonts w:ascii="Times New Roman" w:hAnsi="Times New Roman" w:cs="Times New Roman" w:eastAsia="Times New Roman" w:hint="default"/>
        </w:rPr>
        <w:t>4</w:t>
      </w:r>
      <w:r>
        <w:rPr/>
        <w:t>、研发管理模式 公司高度重视研发工作，为了科学有效管理研发过程，公司建立了完善的新产品开发管理流程，将产品开发分为概念、</w:t>
      </w:r>
    </w:p>
    <w:p>
      <w:pPr>
        <w:pStyle w:val="BodyText"/>
        <w:spacing w:line="316" w:lineRule="auto" w:before="31"/>
        <w:ind w:right="1131"/>
        <w:jc w:val="both"/>
      </w:pPr>
      <w:r>
        <w:rPr>
          <w:spacing w:val="-2"/>
        </w:rPr>
        <w:t>计划、开发、发布及维护五个阶段，每个阶段都有清晰的技术和业务评审决策标准进行管控，并通过项目管理的方式对整个</w:t>
      </w:r>
      <w:r>
        <w:rPr>
          <w:spacing w:val="-66"/>
        </w:rPr>
        <w:t> </w:t>
      </w:r>
      <w:r>
        <w:rPr>
          <w:spacing w:val="-66"/>
        </w:rPr>
      </w:r>
      <w:r>
        <w:rPr/>
        <w:t>开发过程进行有效管控。</w:t>
      </w:r>
    </w:p>
    <w:p>
      <w:pPr>
        <w:pStyle w:val="Heading4"/>
        <w:spacing w:line="240" w:lineRule="auto" w:before="19"/>
        <w:ind w:right="1134"/>
        <w:jc w:val="left"/>
        <w:rPr>
          <w:b w:val="0"/>
          <w:bCs w:val="0"/>
        </w:rPr>
      </w:pPr>
      <w:r>
        <w:rPr/>
        <w:t>（三）主要业绩驱动因素</w:t>
      </w:r>
      <w:r>
        <w:rPr>
          <w:b w:val="0"/>
          <w:bCs w:val="0"/>
        </w:rPr>
      </w:r>
    </w:p>
    <w:p>
      <w:pPr>
        <w:pStyle w:val="Heading4"/>
        <w:spacing w:line="240" w:lineRule="auto" w:before="76"/>
        <w:ind w:right="1134"/>
        <w:jc w:val="left"/>
        <w:rPr>
          <w:b w:val="0"/>
          <w:bCs w:val="0"/>
        </w:rPr>
      </w:pPr>
      <w:r>
        <w:rPr>
          <w:rFonts w:ascii="Times New Roman" w:hAnsi="Times New Roman" w:cs="Times New Roman" w:eastAsia="Times New Roman" w:hint="default"/>
        </w:rPr>
        <w:t>1</w:t>
      </w:r>
      <w:r>
        <w:rPr/>
        <w:t>、市场需求驱动因素</w:t>
      </w:r>
      <w:r>
        <w:rPr>
          <w:b w:val="0"/>
          <w:bCs w:val="0"/>
        </w:rPr>
      </w:r>
    </w:p>
    <w:p>
      <w:pPr>
        <w:pStyle w:val="Heading4"/>
        <w:spacing w:line="300" w:lineRule="auto" w:before="63"/>
        <w:ind w:left="154" w:right="1197" w:firstLine="361"/>
        <w:jc w:val="left"/>
        <w:rPr>
          <w:b w:val="0"/>
          <w:bCs w:val="0"/>
        </w:rPr>
      </w:pPr>
      <w:r>
        <w:rPr/>
        <w:t>（</w:t>
      </w:r>
      <w:r>
        <w:rPr>
          <w:rFonts w:ascii="Times New Roman" w:hAnsi="Times New Roman" w:cs="Times New Roman" w:eastAsia="Times New Roman" w:hint="default"/>
        </w:rPr>
        <w:t>1</w:t>
      </w:r>
      <w:r>
        <w:rPr/>
        <w:t>）我国物流快递和电商行业仍处于快速增长期，</w:t>
      </w:r>
      <w:r>
        <w:rPr>
          <w:spacing w:val="-21"/>
        </w:rPr>
        <w:t> </w:t>
      </w:r>
      <w:r>
        <w:rPr>
          <w:rFonts w:ascii="Times New Roman" w:hAnsi="Times New Roman" w:cs="Times New Roman" w:eastAsia="Times New Roman" w:hint="default"/>
        </w:rPr>
        <w:t>“</w:t>
      </w:r>
      <w:r>
        <w:rPr/>
        <w:t>新零售</w:t>
      </w:r>
      <w:r>
        <w:rPr>
          <w:rFonts w:ascii="Times New Roman" w:hAnsi="Times New Roman" w:cs="Times New Roman" w:eastAsia="Times New Roman" w:hint="default"/>
        </w:rPr>
        <w:t>”</w:t>
      </w:r>
      <w:r>
        <w:rPr/>
        <w:t>催生</w:t>
      </w:r>
      <w:r>
        <w:rPr>
          <w:rFonts w:ascii="Times New Roman" w:hAnsi="Times New Roman" w:cs="Times New Roman" w:eastAsia="Times New Roman" w:hint="default"/>
        </w:rPr>
        <w:t>“</w:t>
      </w:r>
      <w:r>
        <w:rPr/>
        <w:t>新物流</w:t>
      </w:r>
      <w:r>
        <w:rPr>
          <w:rFonts w:ascii="Times New Roman" w:hAnsi="Times New Roman" w:cs="Times New Roman" w:eastAsia="Times New Roman" w:hint="default"/>
        </w:rPr>
        <w:t>”</w:t>
      </w:r>
      <w:r>
        <w:rPr/>
        <w:t>，物流快递、电商及零售企业积极拥抱新</w:t>
      </w:r>
      <w:r>
        <w:rPr>
          <w:w w:val="99"/>
        </w:rPr>
        <w:t> </w:t>
      </w:r>
      <w:r>
        <w:rPr/>
        <w:t>兴技术以提升物流配送效率和消费者体验</w:t>
      </w:r>
      <w:r>
        <w:rPr>
          <w:b w:val="0"/>
          <w:bCs w:val="0"/>
        </w:rPr>
      </w:r>
    </w:p>
    <w:p>
      <w:pPr>
        <w:pStyle w:val="BodyText"/>
        <w:spacing w:line="300" w:lineRule="auto" w:before="31"/>
        <w:ind w:right="1122" w:firstLine="360"/>
        <w:jc w:val="left"/>
      </w:pPr>
      <w:r>
        <w:rPr/>
        <w:t>根据商务部通报的</w:t>
      </w:r>
      <w:r>
        <w:rPr>
          <w:rFonts w:ascii="Times New Roman" w:hAnsi="Times New Roman" w:cs="Times New Roman" w:eastAsia="Times New Roman" w:hint="default"/>
        </w:rPr>
        <w:t>2018</w:t>
      </w:r>
      <w:r>
        <w:rPr/>
        <w:t>年我国网络零售市场发展情况：</w:t>
      </w:r>
      <w:r>
        <w:rPr>
          <w:rFonts w:ascii="Times New Roman" w:hAnsi="Times New Roman" w:cs="Times New Roman" w:eastAsia="Times New Roman" w:hint="default"/>
        </w:rPr>
        <w:t>2018</w:t>
      </w:r>
      <w:r>
        <w:rPr/>
        <w:t>年我国网络零售市场规模持续扩大，全国网上零售额突破</w:t>
      </w:r>
      <w:r>
        <w:rPr>
          <w:rFonts w:ascii="Times New Roman" w:hAnsi="Times New Roman" w:cs="Times New Roman" w:eastAsia="Times New Roman" w:hint="default"/>
        </w:rPr>
        <w:t>9 </w:t>
      </w:r>
      <w:r>
        <w:rPr>
          <w:spacing w:val="-2"/>
        </w:rPr>
        <w:t>万亿元，其中实物商品网上零售额</w:t>
      </w:r>
      <w:r>
        <w:rPr>
          <w:rFonts w:ascii="Times New Roman" w:hAnsi="Times New Roman" w:cs="Times New Roman" w:eastAsia="Times New Roman" w:hint="default"/>
          <w:spacing w:val="-2"/>
        </w:rPr>
        <w:t>7</w:t>
      </w:r>
      <w:r>
        <w:rPr>
          <w:spacing w:val="-2"/>
        </w:rPr>
        <w:t>万亿元，同比增长</w:t>
      </w:r>
      <w:r>
        <w:rPr>
          <w:rFonts w:ascii="Times New Roman" w:hAnsi="Times New Roman" w:cs="Times New Roman" w:eastAsia="Times New Roman" w:hint="default"/>
          <w:spacing w:val="-2"/>
        </w:rPr>
        <w:t>25.4%</w:t>
      </w:r>
      <w:r>
        <w:rPr>
          <w:spacing w:val="-2"/>
        </w:rPr>
        <w:t>，对社会消费品零售总额增长的贡献率达</w:t>
      </w:r>
      <w:r>
        <w:rPr>
          <w:rFonts w:ascii="Times New Roman" w:hAnsi="Times New Roman" w:cs="Times New Roman" w:eastAsia="Times New Roman" w:hint="default"/>
          <w:spacing w:val="-2"/>
        </w:rPr>
        <w:t>45.2%</w:t>
      </w:r>
      <w:r>
        <w:rPr>
          <w:spacing w:val="-2"/>
        </w:rPr>
        <w:t>，较上年提升</w:t>
      </w:r>
      <w:r>
        <w:rPr>
          <w:rFonts w:ascii="Times New Roman" w:hAnsi="Times New Roman" w:cs="Times New Roman" w:eastAsia="Times New Roman" w:hint="default"/>
          <w:spacing w:val="-2"/>
        </w:rPr>
        <w:t>7.3</w:t>
      </w:r>
      <w:r>
        <w:rPr>
          <w:rFonts w:ascii="Times New Roman" w:hAnsi="Times New Roman" w:cs="Times New Roman" w:eastAsia="Times New Roman" w:hint="default"/>
          <w:spacing w:val="7"/>
        </w:rPr>
        <w:t> </w:t>
      </w:r>
      <w:r>
        <w:rPr/>
        <w:t>个百分点；另据</w:t>
      </w:r>
      <w:r>
        <w:rPr>
          <w:rFonts w:ascii="Times New Roman" w:hAnsi="Times New Roman" w:cs="Times New Roman" w:eastAsia="Times New Roman" w:hint="default"/>
        </w:rPr>
        <w:t>2019</w:t>
      </w:r>
      <w:r>
        <w:rPr/>
        <w:t>年全国邮政管理工作会发布的数据：</w:t>
      </w:r>
      <w:r>
        <w:rPr>
          <w:rFonts w:ascii="Times New Roman" w:hAnsi="Times New Roman" w:cs="Times New Roman" w:eastAsia="Times New Roman" w:hint="default"/>
        </w:rPr>
        <w:t>2018</w:t>
      </w:r>
      <w:r>
        <w:rPr/>
        <w:t>年全年，我国快递业务量完成</w:t>
      </w:r>
      <w:r>
        <w:rPr>
          <w:rFonts w:ascii="Times New Roman" w:hAnsi="Times New Roman" w:cs="Times New Roman" w:eastAsia="Times New Roman" w:hint="default"/>
        </w:rPr>
        <w:t>505</w:t>
      </w:r>
      <w:r>
        <w:rPr/>
        <w:t>亿件，同比增长</w:t>
      </w:r>
      <w:r>
        <w:rPr>
          <w:rFonts w:ascii="Times New Roman" w:hAnsi="Times New Roman" w:cs="Times New Roman" w:eastAsia="Times New Roman" w:hint="default"/>
        </w:rPr>
        <w:t>25.8%</w:t>
      </w:r>
      <w:r>
        <w:rPr/>
        <w:t>，约 为</w:t>
      </w:r>
      <w:r>
        <w:rPr>
          <w:rFonts w:ascii="Times New Roman" w:hAnsi="Times New Roman" w:cs="Times New Roman" w:eastAsia="Times New Roman" w:hint="default"/>
        </w:rPr>
        <w:t>2012</w:t>
      </w:r>
      <w:r>
        <w:rPr/>
        <w:t>年的</w:t>
      </w:r>
      <w:r>
        <w:rPr>
          <w:rFonts w:ascii="Times New Roman" w:hAnsi="Times New Roman" w:cs="Times New Roman" w:eastAsia="Times New Roman" w:hint="default"/>
        </w:rPr>
        <w:t>9</w:t>
      </w:r>
      <w:r>
        <w:rPr/>
        <w:t>倍，业务收入完成</w:t>
      </w:r>
      <w:r>
        <w:rPr>
          <w:rFonts w:ascii="Times New Roman" w:hAnsi="Times New Roman" w:cs="Times New Roman" w:eastAsia="Times New Roman" w:hint="default"/>
        </w:rPr>
        <w:t>6,010</w:t>
      </w:r>
      <w:r>
        <w:rPr/>
        <w:t>亿元，同比增长</w:t>
      </w:r>
      <w:r>
        <w:rPr>
          <w:rFonts w:ascii="Times New Roman" w:hAnsi="Times New Roman" w:cs="Times New Roman" w:eastAsia="Times New Roman" w:hint="default"/>
        </w:rPr>
        <w:t>21.2%</w:t>
      </w:r>
      <w:r>
        <w:rPr/>
        <w:t>。我国物流快递和电商行业仍处于快速增长期，其对于智能信息 化产品的需求空间巨大。</w:t>
      </w:r>
    </w:p>
    <w:p>
      <w:pPr>
        <w:pStyle w:val="BodyText"/>
        <w:spacing w:line="314" w:lineRule="auto" w:before="31"/>
        <w:ind w:right="1032" w:firstLine="360"/>
        <w:jc w:val="left"/>
      </w:pPr>
      <w:r>
        <w:rPr>
          <w:spacing w:val="-2"/>
        </w:rPr>
        <w:t>近年来，线上线下加供应链物流深度融合的新零售已是毋庸置疑的趋势，线下零售场景的不断丰富，对物流提出更高的</w:t>
      </w:r>
      <w:r>
        <w:rPr/>
        <w:t> </w:t>
      </w:r>
      <w:r>
        <w:rPr>
          <w:spacing w:val="-2"/>
        </w:rPr>
        <w:t>要求，而如何加强供应链管理、精准控制库存、智能配送、提升现有物流服务水平则成为亟待解决的主要课题</w:t>
      </w:r>
      <w:r>
        <w:rPr>
          <w:rFonts w:ascii="Times New Roman" w:hAnsi="Times New Roman" w:cs="Times New Roman" w:eastAsia="Times New Roman" w:hint="default"/>
          <w:spacing w:val="-2"/>
        </w:rPr>
        <w:t>——</w:t>
      </w:r>
      <w:r>
        <w:rPr>
          <w:spacing w:val="-2"/>
        </w:rPr>
        <w:t>构建新物</w:t>
      </w:r>
      <w:r>
        <w:rPr>
          <w:spacing w:val="-66"/>
        </w:rPr>
        <w:t> </w:t>
      </w:r>
      <w:r>
        <w:rPr/>
        <w:t>流。从企业的需求角度而言，新物流需要进行销售预测和库存管理，消灭库存，降低物流成本；从消费者的体验需求出发， </w:t>
      </w:r>
      <w:r>
        <w:rPr>
          <w:spacing w:val="-2"/>
        </w:rPr>
        <w:t>新物流需要满足消费者个性化、碎片化需求，商品更加精准快速送达，提供体验式服务；从数字化的角度出发，新物流需要</w:t>
      </w:r>
      <w:r>
        <w:rPr>
          <w:spacing w:val="-66"/>
        </w:rPr>
        <w:t> </w:t>
      </w:r>
      <w:r>
        <w:rPr>
          <w:spacing w:val="-66"/>
        </w:rPr>
      </w:r>
      <w:r>
        <w:rPr/>
        <w:t>基于行业全链条的大数据向智能化、自动化优化升级，利用智能化设备实现智能仓储、智能运输、智能物流等全方位服务。 </w:t>
      </w:r>
      <w:r>
        <w:rPr>
          <w:spacing w:val="-2"/>
        </w:rPr>
        <w:t>目前国内各大电商巨头和快递公司已开始从智能终端和大数据系统入手，实现物流体系的改造升级，提高物流配送效率和消</w:t>
      </w:r>
      <w:r>
        <w:rPr>
          <w:spacing w:val="-64"/>
        </w:rPr>
        <w:t> </w:t>
      </w:r>
      <w:r>
        <w:rPr>
          <w:spacing w:val="-64"/>
        </w:rPr>
      </w:r>
      <w:r>
        <w:rPr/>
        <w:t>费者体验。</w:t>
      </w:r>
    </w:p>
    <w:p>
      <w:pPr>
        <w:pStyle w:val="BodyText"/>
        <w:spacing w:line="316" w:lineRule="auto" w:before="20"/>
        <w:ind w:right="1118" w:firstLine="360"/>
        <w:jc w:val="left"/>
      </w:pPr>
      <w:r>
        <w:rPr>
          <w:spacing w:val="-2"/>
        </w:rPr>
        <w:t>报告期内，公司进一步加深与国内物流快递、电商及零售企业的合作，以提升物流配送效率和消费者体验为出发点，协</w:t>
      </w:r>
      <w:r>
        <w:rPr/>
        <w:t> 助其打造</w:t>
      </w:r>
      <w:r>
        <w:rPr>
          <w:spacing w:val="-19"/>
        </w:rPr>
        <w:t> </w:t>
      </w:r>
      <w:r>
        <w:rPr>
          <w:rFonts w:ascii="Times New Roman" w:hAnsi="Times New Roman" w:cs="Times New Roman" w:eastAsia="Times New Roman" w:hint="default"/>
        </w:rPr>
        <w:t>“</w:t>
      </w:r>
      <w:r>
        <w:rPr/>
        <w:t>新零售</w:t>
      </w:r>
      <w:r>
        <w:rPr>
          <w:rFonts w:ascii="Times New Roman" w:hAnsi="Times New Roman" w:cs="Times New Roman" w:eastAsia="Times New Roman" w:hint="default"/>
        </w:rPr>
        <w:t>”</w:t>
      </w:r>
      <w:r>
        <w:rPr/>
        <w:t>和</w:t>
      </w:r>
      <w:r>
        <w:rPr>
          <w:rFonts w:ascii="Times New Roman" w:hAnsi="Times New Roman" w:cs="Times New Roman" w:eastAsia="Times New Roman" w:hint="default"/>
        </w:rPr>
        <w:t>“</w:t>
      </w:r>
      <w:r>
        <w:rPr/>
        <w:t>新物流</w:t>
      </w:r>
      <w:r>
        <w:rPr>
          <w:rFonts w:ascii="Times New Roman" w:hAnsi="Times New Roman" w:cs="Times New Roman" w:eastAsia="Times New Roman" w:hint="default"/>
        </w:rPr>
        <w:t>”</w:t>
      </w:r>
      <w:r>
        <w:rPr/>
        <w:t>模式。</w:t>
      </w:r>
    </w:p>
    <w:p>
      <w:pPr>
        <w:spacing w:line="300" w:lineRule="auto" w:before="0"/>
        <w:ind w:left="514" w:right="1132" w:firstLine="1"/>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）行业智能移动应用场景不断丰富，产品应用领域进一步拓展</w:t>
      </w:r>
      <w:r>
        <w:rPr>
          <w:rFonts w:ascii="宋体" w:hAnsi="宋体" w:cs="宋体" w:eastAsia="宋体" w:hint="default"/>
          <w:b/>
          <w:bCs/>
          <w:w w:val="99"/>
          <w:sz w:val="18"/>
          <w:szCs w:val="18"/>
        </w:rPr>
        <w:t> </w:t>
      </w:r>
      <w:r>
        <w:rPr>
          <w:rFonts w:ascii="宋体" w:hAnsi="宋体" w:cs="宋体" w:eastAsia="宋体" w:hint="default"/>
          <w:sz w:val="18"/>
          <w:szCs w:val="18"/>
        </w:rPr>
        <w:t>在互联网和</w:t>
      </w:r>
      <w:r>
        <w:rPr>
          <w:rFonts w:ascii="Times New Roman" w:hAnsi="Times New Roman" w:cs="Times New Roman" w:eastAsia="Times New Roman" w:hint="default"/>
          <w:sz w:val="18"/>
          <w:szCs w:val="18"/>
        </w:rPr>
        <w:t>IoT</w:t>
      </w:r>
      <w:r>
        <w:rPr>
          <w:rFonts w:ascii="宋体" w:hAnsi="宋体" w:cs="宋体" w:eastAsia="宋体" w:hint="default"/>
          <w:sz w:val="18"/>
          <w:szCs w:val="18"/>
        </w:rPr>
        <w:t>（物联网）时代，包括金融、交通、生产制造、医疗卫生在内的传统行业都在以各种形式触网、联网，</w:t>
      </w:r>
    </w:p>
    <w:p>
      <w:pPr>
        <w:pStyle w:val="BodyText"/>
        <w:spacing w:line="316" w:lineRule="auto" w:before="13"/>
        <w:ind w:right="1131"/>
        <w:jc w:val="both"/>
      </w:pPr>
      <w:r>
        <w:rPr>
          <w:spacing w:val="-2"/>
        </w:rPr>
        <w:t>以实现智能化、自动化、信息交互的实时性以及服务的广泛性。近年来，以智能移动支付为代表的智慧金融、以共享出行为</w:t>
      </w:r>
      <w:r>
        <w:rPr>
          <w:spacing w:val="-65"/>
        </w:rPr>
        <w:t> </w:t>
      </w:r>
      <w:r>
        <w:rPr>
          <w:spacing w:val="-65"/>
        </w:rPr>
      </w:r>
      <w:r>
        <w:rPr>
          <w:spacing w:val="-2"/>
        </w:rPr>
        <w:t>代表的智慧交通、以工业互联网为代表的智能制造等新概念、新应用层出不穷。公司作为国内领先的行业智能移动信息化解</w:t>
      </w:r>
      <w:r>
        <w:rPr>
          <w:spacing w:val="-66"/>
        </w:rPr>
        <w:t> </w:t>
      </w:r>
      <w:r>
        <w:rPr>
          <w:spacing w:val="-66"/>
        </w:rPr>
      </w:r>
      <w:r>
        <w:rPr>
          <w:spacing w:val="-2"/>
        </w:rPr>
        <w:t>决方案提供商，近年来一直致力于以具有竞争力的软硬件核心技术及产品、丰富的行业信息化经验助推我国金融、交通、生</w:t>
      </w:r>
      <w:r>
        <w:rPr>
          <w:spacing w:val="-66"/>
        </w:rPr>
        <w:t> </w:t>
      </w:r>
      <w:r>
        <w:rPr>
          <w:spacing w:val="-66"/>
        </w:rPr>
      </w:r>
      <w:r>
        <w:rPr/>
        <w:t>产制造、仓储、医疗卫生、行政执法等行业的智慧升级进程。</w:t>
      </w:r>
    </w:p>
    <w:p>
      <w:pPr>
        <w:pStyle w:val="BodyText"/>
        <w:spacing w:line="316" w:lineRule="auto" w:before="19"/>
        <w:ind w:right="1118" w:firstLine="360"/>
        <w:jc w:val="left"/>
      </w:pPr>
      <w:r>
        <w:rPr>
          <w:spacing w:val="-2"/>
        </w:rPr>
        <w:t>报告期内，公司在诸多新兴行业领域的应用市场拓展成效显著，也进一步丰富了行业智能应用软硬件产品开发和实施部</w:t>
      </w:r>
      <w:r>
        <w:rPr/>
        <w:t> 署经验。</w:t>
      </w:r>
    </w:p>
    <w:p>
      <w:pPr>
        <w:spacing w:line="300" w:lineRule="auto" w:before="19"/>
        <w:ind w:left="515" w:right="0" w:firstLine="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）在新零售的浪潮下，智能移动支付终端（智能</w:t>
      </w:r>
      <w:r>
        <w:rPr>
          <w:rFonts w:ascii="Times New Roman" w:hAnsi="Times New Roman" w:cs="Times New Roman" w:eastAsia="Times New Roman" w:hint="default"/>
          <w:b/>
          <w:bCs/>
          <w:sz w:val="18"/>
          <w:szCs w:val="18"/>
        </w:rPr>
        <w:t>POS</w:t>
      </w:r>
      <w:r>
        <w:rPr>
          <w:rFonts w:ascii="宋体" w:hAnsi="宋体" w:cs="宋体" w:eastAsia="宋体" w:hint="default"/>
          <w:b/>
          <w:bCs/>
          <w:sz w:val="18"/>
          <w:szCs w:val="18"/>
        </w:rPr>
        <w:t>）的普及应用已是大势所趋，市场空间将进一步释放</w:t>
      </w:r>
      <w:r>
        <w:rPr>
          <w:rFonts w:ascii="宋体" w:hAnsi="宋体" w:cs="宋体" w:eastAsia="宋体" w:hint="default"/>
          <w:b/>
          <w:bCs/>
          <w:w w:val="99"/>
          <w:sz w:val="18"/>
          <w:szCs w:val="18"/>
        </w:rPr>
        <w:t> </w:t>
      </w:r>
      <w:r>
        <w:rPr>
          <w:rFonts w:ascii="宋体" w:hAnsi="宋体" w:cs="宋体" w:eastAsia="宋体" w:hint="default"/>
          <w:spacing w:val="-2"/>
          <w:sz w:val="18"/>
          <w:szCs w:val="18"/>
        </w:rPr>
        <w:t>随着移动互联网和移动支付的快速发展，以消费者体验为中心的数据驱动的新零售时代已经到来，承载着多功能形态的</w:t>
      </w:r>
    </w:p>
    <w:p>
      <w:pPr>
        <w:pStyle w:val="BodyText"/>
        <w:spacing w:line="300" w:lineRule="auto" w:before="31"/>
        <w:ind w:right="1043"/>
        <w:jc w:val="both"/>
      </w:pPr>
      <w:r>
        <w:rPr/>
        <w:t>智能</w:t>
      </w:r>
      <w:r>
        <w:rPr>
          <w:rFonts w:ascii="Times New Roman" w:hAnsi="Times New Roman" w:cs="Times New Roman" w:eastAsia="Times New Roman" w:hint="default"/>
        </w:rPr>
        <w:t>POS</w:t>
      </w:r>
      <w:r>
        <w:rPr/>
        <w:t>终端快速普及，走到了新的行业风口，智能</w:t>
      </w:r>
      <w:r>
        <w:rPr>
          <w:rFonts w:ascii="Times New Roman" w:hAnsi="Times New Roman" w:cs="Times New Roman" w:eastAsia="Times New Roman" w:hint="default"/>
        </w:rPr>
        <w:t>POS</w:t>
      </w:r>
      <w:r>
        <w:rPr/>
        <w:t>终端可以说是</w:t>
      </w:r>
      <w:r>
        <w:rPr>
          <w:rFonts w:ascii="Times New Roman" w:hAnsi="Times New Roman" w:cs="Times New Roman" w:eastAsia="Times New Roman" w:hint="default"/>
        </w:rPr>
        <w:t>“</w:t>
      </w:r>
      <w:r>
        <w:rPr/>
        <w:t>新零售</w:t>
      </w:r>
      <w:r>
        <w:rPr>
          <w:rFonts w:ascii="Times New Roman" w:hAnsi="Times New Roman" w:cs="Times New Roman" w:eastAsia="Times New Roman" w:hint="default"/>
        </w:rPr>
        <w:t>”</w:t>
      </w:r>
      <w:r>
        <w:rPr/>
        <w:t>落地不可或缺的一环。近年来，智能</w:t>
      </w:r>
      <w:r>
        <w:rPr>
          <w:rFonts w:ascii="Times New Roman" w:hAnsi="Times New Roman" w:cs="Times New Roman" w:eastAsia="Times New Roman" w:hint="default"/>
        </w:rPr>
        <w:t>POS</w:t>
      </w:r>
      <w:r>
        <w:rPr/>
        <w:t>作 </w:t>
      </w:r>
      <w:r>
        <w:rPr>
          <w:spacing w:val="-4"/>
        </w:rPr>
        <w:t>为商户核心业务管理平台和数据入口的功能属性进一步强化，除了聚合支付，进销存管理、会员管理、订单管理、卡券营销、</w:t>
      </w:r>
    </w:p>
    <w:p>
      <w:pPr>
        <w:spacing w:after="0" w:line="300"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right="1132"/>
        <w:jc w:val="both"/>
      </w:pPr>
      <w:r>
        <w:rPr>
          <w:spacing w:val="-1"/>
        </w:rPr>
        <w:t>外卖团购、快速开票等增值服务功能进一步普及应用。智能</w:t>
      </w:r>
      <w:r>
        <w:rPr>
          <w:rFonts w:ascii="Times New Roman" w:hAnsi="Times New Roman" w:cs="Times New Roman" w:eastAsia="Times New Roman" w:hint="default"/>
          <w:spacing w:val="-1"/>
        </w:rPr>
        <w:t>POS</w:t>
      </w:r>
      <w:r>
        <w:rPr>
          <w:spacing w:val="-1"/>
        </w:rPr>
        <w:t>终端市场将会在新零售的浪潮下继续蓬勃发展，市场空间有</w:t>
      </w:r>
      <w:r>
        <w:rPr/>
        <w:t> 望进一步释放。</w:t>
      </w:r>
    </w:p>
    <w:p>
      <w:pPr>
        <w:pStyle w:val="BodyText"/>
        <w:spacing w:line="300" w:lineRule="auto" w:before="31"/>
        <w:ind w:right="1134" w:firstLine="361"/>
        <w:jc w:val="left"/>
      </w:pPr>
      <w:r>
        <w:rPr>
          <w:spacing w:val="-2"/>
        </w:rPr>
        <w:t>报告期内，公司与主流第三方支付平台继续保持良好合作，中标了多个国有大行的项目；另外，公司的智能</w:t>
      </w:r>
      <w:r>
        <w:rPr>
          <w:rFonts w:ascii="Times New Roman" w:hAnsi="Times New Roman" w:cs="Times New Roman" w:eastAsia="Times New Roman" w:hint="default"/>
          <w:spacing w:val="-2"/>
        </w:rPr>
        <w:t>POS</w:t>
      </w:r>
      <w:r>
        <w:rPr>
          <w:spacing w:val="-2"/>
        </w:rPr>
        <w:t>产品实</w:t>
      </w:r>
      <w:r>
        <w:rPr/>
        <w:t> 现了在印度等海外市场的突破。</w:t>
      </w:r>
    </w:p>
    <w:p>
      <w:pPr>
        <w:spacing w:line="300" w:lineRule="auto" w:before="32"/>
        <w:ind w:left="514" w:right="0" w:firstLine="1"/>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）公司产品的国际市场竞争力逐步凸显，海外市场拓展成效显著，海外市场销售额继续保持高速增长</w:t>
      </w:r>
      <w:r>
        <w:rPr>
          <w:rFonts w:ascii="宋体" w:hAnsi="宋体" w:cs="宋体" w:eastAsia="宋体" w:hint="default"/>
          <w:b/>
          <w:bCs/>
          <w:w w:val="99"/>
          <w:sz w:val="18"/>
          <w:szCs w:val="18"/>
        </w:rPr>
        <w:t> </w:t>
      </w:r>
      <w:r>
        <w:rPr>
          <w:rFonts w:ascii="宋体" w:hAnsi="宋体" w:cs="宋体" w:eastAsia="宋体" w:hint="default"/>
          <w:spacing w:val="-2"/>
          <w:sz w:val="18"/>
          <w:szCs w:val="18"/>
        </w:rPr>
        <w:t>行业级智能移动终端产品具有较强的通用性，不同国家和地区对其软硬件功能方面的需求差异不大。基于多年的技术和</w:t>
      </w:r>
    </w:p>
    <w:p>
      <w:pPr>
        <w:pStyle w:val="BodyText"/>
        <w:spacing w:line="316" w:lineRule="auto" w:before="31"/>
        <w:ind w:right="1131"/>
        <w:jc w:val="both"/>
      </w:pPr>
      <w:r>
        <w:rPr>
          <w:spacing w:val="-2"/>
        </w:rPr>
        <w:t>产品开发经验积累，公司产品功能不断完善、产品质量不断提升，且已具备较强的国际通用性。凭借产品突出的技术性能优</w:t>
      </w:r>
      <w:r>
        <w:rPr>
          <w:spacing w:val="-66"/>
        </w:rPr>
        <w:t> </w:t>
      </w:r>
      <w:r>
        <w:rPr>
          <w:spacing w:val="-66"/>
        </w:rPr>
      </w:r>
      <w:r>
        <w:rPr/>
        <w:t>势和价格优势，公司采用自建渠道、与海外代理商及合作伙伴合作等方式，逐步构建起海外销售和服务网络。</w:t>
      </w:r>
    </w:p>
    <w:p>
      <w:pPr>
        <w:pStyle w:val="BodyText"/>
        <w:spacing w:line="309" w:lineRule="auto" w:before="19"/>
        <w:ind w:right="0" w:firstLine="360"/>
        <w:jc w:val="left"/>
      </w:pPr>
      <w:r>
        <w:rPr>
          <w:spacing w:val="-2"/>
        </w:rPr>
        <w:t>报告期内，公司按照年度经营计划进一步加大了海外市场开拓力度，公司产品在海外市场的认可度显著提升，公司在海</w:t>
      </w:r>
      <w:r>
        <w:rPr/>
        <w:t> </w:t>
      </w:r>
      <w:r>
        <w:rPr>
          <w:spacing w:val="-2"/>
        </w:rPr>
        <w:t>外市场拓展的成效显著，海外市场销售额继续保持高速增长，较上年同期增长</w:t>
      </w:r>
      <w:r>
        <w:rPr>
          <w:rFonts w:ascii="Times New Roman" w:hAnsi="Times New Roman" w:cs="Times New Roman" w:eastAsia="Times New Roman" w:hint="default"/>
          <w:spacing w:val="-2"/>
        </w:rPr>
        <w:t>361.33%</w:t>
      </w:r>
      <w:r>
        <w:rPr>
          <w:spacing w:val="-2"/>
        </w:rPr>
        <w:t>，主要销售市场集中在印度、东南亚、</w:t>
      </w:r>
      <w:r>
        <w:rPr>
          <w:spacing w:val="-72"/>
        </w:rPr>
        <w:t> </w:t>
      </w:r>
      <w:r>
        <w:rPr>
          <w:spacing w:val="-72"/>
        </w:rPr>
      </w:r>
      <w:r>
        <w:rPr/>
        <w:t>南美洲、欧洲和俄罗斯。</w:t>
      </w:r>
    </w:p>
    <w:p>
      <w:pPr>
        <w:spacing w:line="340" w:lineRule="auto" w:before="24"/>
        <w:ind w:left="514"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、公司自身的竞争优势驱动因素</w:t>
      </w:r>
      <w:r>
        <w:rPr>
          <w:rFonts w:ascii="宋体" w:hAnsi="宋体" w:cs="宋体" w:eastAsia="宋体" w:hint="default"/>
          <w:b/>
          <w:bCs/>
          <w:w w:val="99"/>
          <w:sz w:val="18"/>
          <w:szCs w:val="18"/>
        </w:rPr>
        <w:t> </w:t>
      </w:r>
      <w:r>
        <w:rPr>
          <w:rFonts w:ascii="宋体" w:hAnsi="宋体" w:cs="宋体" w:eastAsia="宋体" w:hint="default"/>
          <w:spacing w:val="-2"/>
          <w:sz w:val="18"/>
          <w:szCs w:val="18"/>
        </w:rPr>
        <w:t>经过十余年的发展，公司在行业级智能移动应用领域积累了具有核心竞争力的软硬件技术，同时建立起稳定完善的营销</w:t>
      </w:r>
    </w:p>
    <w:p>
      <w:pPr>
        <w:pStyle w:val="BodyText"/>
        <w:spacing w:line="319" w:lineRule="auto"/>
        <w:ind w:right="1130"/>
        <w:jc w:val="both"/>
      </w:pPr>
      <w:r>
        <w:rPr>
          <w:spacing w:val="-2"/>
        </w:rPr>
        <w:t>服务网络。报告期内，公司进一步加强智能终端与重点行业领域的融合应用，持续开展新的智能终端及行业应用软件产品研</w:t>
      </w:r>
      <w:r>
        <w:rPr>
          <w:spacing w:val="-66"/>
        </w:rPr>
        <w:t> </w:t>
      </w:r>
      <w:r>
        <w:rPr>
          <w:spacing w:val="-66"/>
        </w:rPr>
      </w:r>
      <w:r>
        <w:rPr>
          <w:spacing w:val="-2"/>
        </w:rPr>
        <w:t>发，以技术创新推动产品核心竞争力的提高、质量的完善优化和行业应用的深化。同时，公司积极探索人工智能技术及相关</w:t>
      </w:r>
      <w:r>
        <w:rPr>
          <w:spacing w:val="-66"/>
        </w:rPr>
        <w:t> </w:t>
      </w:r>
      <w:r>
        <w:rPr>
          <w:spacing w:val="-66"/>
        </w:rPr>
      </w:r>
      <w:r>
        <w:rPr/>
        <w:t>软硬件产品、解决方案在新零售和智慧物流等行业场景的应用。</w:t>
      </w:r>
    </w:p>
    <w:p>
      <w:pPr>
        <w:pStyle w:val="Heading4"/>
        <w:spacing w:line="240" w:lineRule="auto" w:before="56"/>
        <w:ind w:right="1134"/>
        <w:jc w:val="left"/>
        <w:rPr>
          <w:b w:val="0"/>
          <w:bCs w:val="0"/>
        </w:rPr>
      </w:pPr>
      <w:r>
        <w:rPr/>
        <w:t>（四）公司所属行业的发展阶段、周期性特点以及公司所处的行业地位</w:t>
      </w:r>
      <w:r>
        <w:rPr>
          <w:b w:val="0"/>
          <w:bCs w:val="0"/>
        </w:rPr>
      </w:r>
    </w:p>
    <w:p>
      <w:pPr>
        <w:spacing w:line="300" w:lineRule="auto" w:before="76"/>
        <w:ind w:left="51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、公司所属行业的发展情况</w:t>
      </w:r>
      <w:r>
        <w:rPr>
          <w:rFonts w:ascii="宋体" w:hAnsi="宋体" w:cs="宋体" w:eastAsia="宋体" w:hint="default"/>
          <w:b/>
          <w:bCs/>
          <w:w w:val="99"/>
          <w:sz w:val="18"/>
          <w:szCs w:val="18"/>
        </w:rPr>
        <w:t> </w:t>
      </w:r>
      <w:r>
        <w:rPr>
          <w:rFonts w:ascii="宋体" w:hAnsi="宋体" w:cs="宋体" w:eastAsia="宋体" w:hint="default"/>
          <w:spacing w:val="-2"/>
          <w:sz w:val="18"/>
          <w:szCs w:val="18"/>
        </w:rPr>
        <w:t>智能移动信息化应用解决方案是企业信息化系统的核心组成部分之一，以智能移动终端为载体，结合自动数据读取、移</w:t>
      </w:r>
    </w:p>
    <w:p>
      <w:pPr>
        <w:pStyle w:val="BodyText"/>
        <w:spacing w:line="316" w:lineRule="auto" w:before="31"/>
        <w:ind w:right="1133"/>
        <w:jc w:val="both"/>
      </w:pPr>
      <w:r>
        <w:rPr>
          <w:spacing w:val="-2"/>
        </w:rPr>
        <w:t>动通讯及数据库等技术，通过在企业核心业务操作流程中进行实时数据采集，并与企业信息化系统进行信息交互后，进行数</w:t>
      </w:r>
      <w:r>
        <w:rPr>
          <w:spacing w:val="-66"/>
        </w:rPr>
        <w:t> </w:t>
      </w:r>
      <w:r>
        <w:rPr>
          <w:spacing w:val="-66"/>
        </w:rPr>
      </w:r>
      <w:r>
        <w:rPr>
          <w:spacing w:val="-2"/>
        </w:rPr>
        <w:t>据处理及分析，协助企业进行业务流程的精细化管理。移动信息化应用解决方案已经被广泛应用在包括物流管理、供应链管</w:t>
      </w:r>
      <w:r>
        <w:rPr>
          <w:spacing w:val="-66"/>
        </w:rPr>
        <w:t> </w:t>
      </w:r>
      <w:r>
        <w:rPr>
          <w:spacing w:val="-66"/>
        </w:rPr>
      </w:r>
      <w:r>
        <w:rPr/>
        <w:t>理、零售连锁管理、质量追溯管理等领域，成为企业信息化系统中不可缺少的组成部分。</w:t>
      </w:r>
    </w:p>
    <w:p>
      <w:pPr>
        <w:pStyle w:val="BodyText"/>
        <w:spacing w:line="316" w:lineRule="auto" w:before="19"/>
        <w:ind w:right="1032" w:firstLine="360"/>
        <w:jc w:val="left"/>
      </w:pPr>
      <w:r>
        <w:rPr>
          <w:spacing w:val="-2"/>
        </w:rPr>
        <w:t>物联网在全球市场的潜力和成长性正逐步凸显，以物联网技术为核心的智能移动信息化应用将加速渗透到生产和生活各</w:t>
      </w:r>
      <w:r>
        <w:rPr/>
        <w:t> </w:t>
      </w:r>
      <w:r>
        <w:rPr>
          <w:spacing w:val="-2"/>
        </w:rPr>
        <w:t>个环节，市场规模不断扩大，产业潜力将加快释放，市场化的资源配置机制逐步确立。智能移动信息化应用与传统产业的深</w:t>
      </w:r>
      <w:r>
        <w:rPr>
          <w:spacing w:val="-66"/>
        </w:rPr>
        <w:t> </w:t>
      </w:r>
      <w:r>
        <w:rPr>
          <w:spacing w:val="-66"/>
        </w:rPr>
      </w:r>
      <w:r>
        <w:rPr>
          <w:spacing w:val="-2"/>
        </w:rPr>
        <w:t>度融合将加剧，并带来生产方式和生活方式的深刻变革。在工业、交通、物流、安防、金融、政务、电力等行业领域，物联</w:t>
      </w:r>
      <w:r>
        <w:rPr>
          <w:spacing w:val="-69"/>
        </w:rPr>
        <w:t> </w:t>
      </w:r>
      <w:r>
        <w:rPr>
          <w:spacing w:val="-69"/>
        </w:rPr>
      </w:r>
      <w:r>
        <w:rPr/>
        <w:t>网应用提升的空间广阔。物联网多种技术手段，为行业实现精细化管理提供了有力的支撑，不仅大大提升管理能力和水平， 而且能够改进行业运行模式，从技术的角度引发行业管理领域和居民生活方式的变革。</w:t>
      </w:r>
    </w:p>
    <w:p>
      <w:pPr>
        <w:pStyle w:val="BodyText"/>
        <w:spacing w:line="300" w:lineRule="auto" w:before="19"/>
        <w:ind w:left="514" w:right="0"/>
        <w:jc w:val="left"/>
      </w:pPr>
      <w:r>
        <w:rPr>
          <w:rFonts w:ascii="Times New Roman" w:hAnsi="Times New Roman" w:cs="Times New Roman" w:eastAsia="Times New Roman" w:hint="default"/>
          <w:b/>
          <w:bCs/>
        </w:rPr>
        <w:t>2</w:t>
      </w:r>
      <w:r>
        <w:rPr>
          <w:rFonts w:ascii="宋体" w:hAnsi="宋体" w:cs="宋体" w:eastAsia="宋体" w:hint="default"/>
          <w:b/>
          <w:bCs/>
        </w:rPr>
        <w:t>、公司所处的行业地位</w:t>
      </w:r>
      <w:r>
        <w:rPr>
          <w:rFonts w:ascii="宋体" w:hAnsi="宋体" w:cs="宋体" w:eastAsia="宋体" w:hint="default"/>
          <w:b/>
          <w:bCs/>
          <w:w w:val="99"/>
        </w:rPr>
        <w:t> </w:t>
      </w:r>
      <w:r>
        <w:rPr>
          <w:spacing w:val="-11"/>
        </w:rPr>
        <w:t>从国外市场来看，包括斑马（</w:t>
      </w:r>
      <w:r>
        <w:rPr>
          <w:rFonts w:ascii="宋体" w:hAnsi="宋体" w:cs="宋体" w:eastAsia="宋体" w:hint="default"/>
          <w:spacing w:val="-11"/>
        </w:rPr>
        <w:t>Zebra</w:t>
      </w:r>
      <w:r>
        <w:rPr>
          <w:spacing w:val="-11"/>
        </w:rPr>
        <w:t>）、霍尼韦尔</w:t>
      </w:r>
      <w:r>
        <w:rPr>
          <w:rFonts w:ascii="宋体" w:hAnsi="宋体" w:cs="宋体" w:eastAsia="宋体" w:hint="default"/>
          <w:spacing w:val="-11"/>
        </w:rPr>
        <w:t>(Honeywell)</w:t>
      </w:r>
      <w:r>
        <w:rPr>
          <w:spacing w:val="-11"/>
        </w:rPr>
        <w:t>、得利捷（</w:t>
      </w:r>
      <w:r>
        <w:rPr>
          <w:rFonts w:ascii="宋体" w:hAnsi="宋体" w:cs="宋体" w:eastAsia="宋体" w:hint="default"/>
          <w:spacing w:val="-11"/>
        </w:rPr>
        <w:t>Datalogic</w:t>
      </w:r>
      <w:r>
        <w:rPr>
          <w:spacing w:val="-11"/>
        </w:rPr>
        <w:t>）、惠尔丰（</w:t>
      </w:r>
      <w:r>
        <w:rPr>
          <w:rFonts w:ascii="宋体" w:hAnsi="宋体" w:cs="宋体" w:eastAsia="宋体" w:hint="default"/>
          <w:spacing w:val="-11"/>
        </w:rPr>
        <w:t>VeriFone</w:t>
      </w:r>
      <w:r>
        <w:rPr>
          <w:spacing w:val="-11"/>
        </w:rPr>
        <w:t>）、安智（</w:t>
      </w:r>
      <w:r>
        <w:rPr>
          <w:rFonts w:ascii="宋体" w:hAnsi="宋体" w:cs="宋体" w:eastAsia="宋体" w:hint="default"/>
          <w:spacing w:val="-11"/>
        </w:rPr>
        <w:t>Ingenico</w:t>
      </w:r>
      <w:r>
        <w:rPr>
          <w:spacing w:val="-11"/>
        </w:rPr>
        <w:t>）</w:t>
      </w:r>
    </w:p>
    <w:p>
      <w:pPr>
        <w:pStyle w:val="BodyText"/>
        <w:spacing w:line="316" w:lineRule="auto" w:before="31"/>
        <w:ind w:right="1133"/>
        <w:jc w:val="both"/>
      </w:pPr>
      <w:r>
        <w:rPr>
          <w:spacing w:val="-2"/>
        </w:rPr>
        <w:t>在内的欧美国家知名品牌占据了绝大部分的市场份额。国内市场行业竞争参与者众多，市场集中度较低，呈现充分竞争的状</w:t>
      </w:r>
      <w:r>
        <w:rPr>
          <w:spacing w:val="-66"/>
        </w:rPr>
        <w:t> </w:t>
      </w:r>
      <w:r>
        <w:rPr>
          <w:spacing w:val="-66"/>
        </w:rPr>
      </w:r>
      <w:r>
        <w:rPr>
          <w:spacing w:val="-2"/>
        </w:rPr>
        <w:t>态，公司、福建新大陆自动识别技术有限公司、新大陆支付技术有限公司、深圳市新国都技术股份有限公司、江苏东大集成</w:t>
      </w:r>
      <w:r>
        <w:rPr>
          <w:spacing w:val="-66"/>
        </w:rPr>
        <w:t> </w:t>
      </w:r>
      <w:r>
        <w:rPr>
          <w:spacing w:val="-66"/>
        </w:rPr>
      </w:r>
      <w:r>
        <w:rPr/>
        <w:t>电路系统工程技术有限公司、福建联迪商用设备有限公司等企业占据较强的市场地位。</w:t>
      </w:r>
    </w:p>
    <w:p>
      <w:pPr>
        <w:pStyle w:val="BodyText"/>
        <w:spacing w:line="316" w:lineRule="auto" w:before="59"/>
        <w:ind w:right="0" w:firstLine="360"/>
        <w:jc w:val="left"/>
      </w:pPr>
      <w:r>
        <w:rPr>
          <w:spacing w:val="-2"/>
        </w:rPr>
        <w:t>公司作为国内最早提供行业智能移动信息化解决方案的厂商之一，在国内市场具备较强的先发优势，尤其是在智能移动</w:t>
      </w:r>
      <w:r>
        <w:rPr/>
        <w:t> 信息化应用最早的物流快递和电商行业，公司产品具有较高的知名度，占有较高的市场份额，处于市场领先地位。</w:t>
      </w:r>
    </w:p>
    <w:p>
      <w:pPr>
        <w:spacing w:line="240" w:lineRule="auto" w:before="7"/>
        <w:rPr>
          <w:rFonts w:ascii="宋体" w:hAnsi="宋体" w:cs="宋体" w:eastAsia="宋体" w:hint="default"/>
          <w:sz w:val="20"/>
          <w:szCs w:val="20"/>
        </w:rPr>
      </w:pPr>
    </w:p>
    <w:p>
      <w:pPr>
        <w:pStyle w:val="Heading2"/>
        <w:spacing w:line="240" w:lineRule="auto"/>
        <w:ind w:right="0"/>
        <w:jc w:val="both"/>
        <w:rPr>
          <w:b w:val="0"/>
          <w:bCs w:val="0"/>
        </w:rPr>
      </w:pPr>
      <w:bookmarkStart w:name="二、主要资产重大变化情况" w:id="18"/>
      <w:bookmarkEnd w:id="18"/>
      <w:r>
        <w:rPr>
          <w:b w:val="0"/>
          <w:bCs w:val="0"/>
        </w:rPr>
      </w:r>
      <w:r>
        <w:rPr/>
        <w:t>二、主要资产重大变化情况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0"/>
        <w:jc w:val="both"/>
        <w:rPr>
          <w:b w:val="0"/>
          <w:bCs w:val="0"/>
        </w:rPr>
      </w:pPr>
      <w:bookmarkStart w:name="1、主要资产重大变化情况" w:id="19"/>
      <w:bookmarkEnd w:id="19"/>
      <w:r>
        <w:rPr>
          <w:b w:val="0"/>
          <w:bCs w:val="0"/>
        </w:rPr>
      </w:r>
      <w:r>
        <w:rPr>
          <w:rFonts w:ascii="Times New Roman" w:hAnsi="Times New Roman" w:cs="Times New Roman" w:eastAsia="Times New Roman" w:hint="default"/>
        </w:rPr>
        <w:t>1</w:t>
      </w:r>
      <w:r>
        <w:rPr/>
        <w:t>、主要资产重大变化情况</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041"/>
        <w:gridCol w:w="6517"/>
      </w:tblGrid>
      <w:tr>
        <w:trPr>
          <w:trHeight w:val="186" w:hRule="exact"/>
        </w:trPr>
        <w:tc>
          <w:tcPr>
            <w:tcW w:w="3041" w:type="dxa"/>
            <w:tcBorders>
              <w:top w:val="single" w:sz="4" w:space="0" w:color="000000"/>
              <w:left w:val="single" w:sz="4" w:space="0" w:color="000000"/>
              <w:bottom w:val="nil" w:sz="6" w:space="0" w:color="auto"/>
              <w:right w:val="single" w:sz="4" w:space="0" w:color="000000"/>
            </w:tcBorders>
            <w:shd w:val="clear" w:color="auto" w:fill="D2D2D2"/>
          </w:tcPr>
          <w:p>
            <w:pPr/>
          </w:p>
        </w:tc>
        <w:tc>
          <w:tcPr>
            <w:tcW w:w="651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3" w:hRule="exact"/>
        </w:trPr>
        <w:tc>
          <w:tcPr>
            <w:tcW w:w="304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186" w:hRule="exact"/>
        </w:trPr>
        <w:tc>
          <w:tcPr>
            <w:tcW w:w="3041" w:type="dxa"/>
            <w:tcBorders>
              <w:top w:val="nil" w:sz="6" w:space="0" w:color="auto"/>
              <w:left w:val="single" w:sz="4" w:space="0" w:color="000000"/>
              <w:bottom w:val="single" w:sz="4" w:space="0" w:color="000000"/>
              <w:right w:val="single" w:sz="4" w:space="0" w:color="000000"/>
            </w:tcBorders>
            <w:shd w:val="clear" w:color="auto" w:fill="D2D2D2"/>
          </w:tcPr>
          <w:p>
            <w:pPr/>
          </w:p>
        </w:tc>
        <w:tc>
          <w:tcPr>
            <w:tcW w:w="651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2" w:hRule="exact"/>
        </w:trPr>
        <w:tc>
          <w:tcPr>
            <w:tcW w:w="30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71"/>
              <w:ind w:left="10"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248.52%</w:t>
            </w:r>
            <w:r>
              <w:rPr>
                <w:rFonts w:ascii="宋体" w:hAnsi="宋体" w:cs="宋体" w:eastAsia="宋体" w:hint="default"/>
                <w:sz w:val="18"/>
                <w:szCs w:val="18"/>
              </w:rPr>
              <w:t>，因上个报告期向上海东苑美墅置业有限公司购置房屋在本报告期达</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3052"/>
        <w:gridCol w:w="6517"/>
      </w:tblGrid>
      <w:tr>
        <w:trPr>
          <w:trHeight w:val="36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到预定可使用状态而结转至固定资产所致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158.18%</w:t>
            </w:r>
            <w:r>
              <w:rPr>
                <w:rFonts w:ascii="宋体" w:hAnsi="宋体" w:cs="宋体" w:eastAsia="宋体" w:hint="default"/>
                <w:sz w:val="18"/>
                <w:szCs w:val="18"/>
              </w:rPr>
              <w:t>，因本报告期购入高尔夫会籍所致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714"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37"/>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 益的金融资产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，因本报告期末持有金融产品公允价值变动以及确认应收控股子公司业 绩补偿款所致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231.60%</w:t>
            </w:r>
            <w:r>
              <w:rPr>
                <w:rFonts w:ascii="宋体" w:hAnsi="宋体" w:cs="宋体" w:eastAsia="宋体" w:hint="default"/>
                <w:sz w:val="18"/>
                <w:szCs w:val="18"/>
              </w:rPr>
              <w:t>，因本报告期销售规模扩大所致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66.43%</w:t>
            </w:r>
            <w:r>
              <w:rPr>
                <w:rFonts w:ascii="宋体" w:hAnsi="宋体" w:cs="宋体" w:eastAsia="宋体" w:hint="default"/>
                <w:sz w:val="18"/>
                <w:szCs w:val="18"/>
              </w:rPr>
              <w:t>，因本报告期销售规模扩大所致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49.10%</w:t>
            </w:r>
            <w:r>
              <w:rPr>
                <w:rFonts w:ascii="宋体" w:hAnsi="宋体" w:cs="宋体" w:eastAsia="宋体" w:hint="default"/>
                <w:sz w:val="18"/>
                <w:szCs w:val="18"/>
              </w:rPr>
              <w:t>，因本报告期业务增长采购量增加所致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60.25%</w:t>
            </w:r>
            <w:r>
              <w:rPr>
                <w:rFonts w:ascii="宋体" w:hAnsi="宋体" w:cs="宋体" w:eastAsia="宋体" w:hint="default"/>
                <w:sz w:val="18"/>
                <w:szCs w:val="18"/>
              </w:rPr>
              <w:t>，因本报告期收回客户保证金及收回出口退税款所致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95.52%</w:t>
            </w:r>
            <w:r>
              <w:rPr>
                <w:rFonts w:ascii="宋体" w:hAnsi="宋体" w:cs="宋体" w:eastAsia="宋体" w:hint="default"/>
                <w:sz w:val="18"/>
                <w:szCs w:val="18"/>
              </w:rPr>
              <w:t>，本报告期因订单增加导致存货增长</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69.93%</w:t>
            </w:r>
            <w:r>
              <w:rPr>
                <w:rFonts w:ascii="宋体" w:hAnsi="宋体" w:cs="宋体" w:eastAsia="宋体" w:hint="default"/>
                <w:sz w:val="18"/>
                <w:szCs w:val="18"/>
              </w:rPr>
              <w:t>，因预缴企业所得税、待抵扣进项税留存所致</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75.26%</w:t>
            </w:r>
            <w:r>
              <w:rPr>
                <w:rFonts w:ascii="宋体" w:hAnsi="宋体" w:cs="宋体" w:eastAsia="宋体" w:hint="default"/>
                <w:sz w:val="18"/>
                <w:szCs w:val="18"/>
              </w:rPr>
              <w:t>，因本报告期新承租总部办公室导致装修费用增加</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35.55%</w:t>
            </w:r>
            <w:r>
              <w:rPr>
                <w:rFonts w:ascii="宋体" w:hAnsi="宋体" w:cs="宋体" w:eastAsia="宋体" w:hint="default"/>
                <w:sz w:val="18"/>
                <w:szCs w:val="18"/>
              </w:rPr>
              <w:t>，因本报告期末坏账准备及存货跌价准备增加所致</w:t>
            </w:r>
          </w:p>
        </w:tc>
      </w:tr>
      <w:tr>
        <w:trPr>
          <w:trHeight w:val="714"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21"/>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23"/>
                <w:sz w:val="18"/>
                <w:szCs w:val="18"/>
              </w:rPr>
              <w:t> </w:t>
            </w:r>
            <w:r>
              <w:rPr>
                <w:rFonts w:ascii="Times New Roman" w:hAnsi="Times New Roman" w:cs="Times New Roman" w:eastAsia="Times New Roman" w:hint="default"/>
                <w:spacing w:val="-3"/>
                <w:sz w:val="18"/>
                <w:szCs w:val="18"/>
              </w:rPr>
              <w:t>97.05%</w:t>
            </w:r>
            <w:r>
              <w:rPr>
                <w:rFonts w:ascii="宋体" w:hAnsi="宋体" w:cs="宋体" w:eastAsia="宋体" w:hint="default"/>
                <w:spacing w:val="-3"/>
                <w:sz w:val="18"/>
                <w:szCs w:val="18"/>
              </w:rPr>
              <w:t>，因上个报告期向上海东苑美墅置业有限公司购置房屋在本报告期达到</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预定可使用状态而结转至固定资产所致</w:t>
            </w:r>
          </w:p>
        </w:tc>
      </w:tr>
    </w:tbl>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6"/>
          <w:szCs w:val="26"/>
        </w:rPr>
      </w:pPr>
    </w:p>
    <w:p>
      <w:pPr>
        <w:pStyle w:val="Heading3"/>
        <w:spacing w:line="240" w:lineRule="auto" w:before="35"/>
        <w:ind w:right="1134"/>
        <w:jc w:val="left"/>
        <w:rPr>
          <w:b w:val="0"/>
          <w:bCs w:val="0"/>
        </w:rPr>
      </w:pPr>
      <w:bookmarkStart w:name="2、主要境外资产情况" w:id="20"/>
      <w:bookmarkEnd w:id="20"/>
      <w:r>
        <w:rPr>
          <w:b w:val="0"/>
          <w:bCs w:val="0"/>
        </w:rPr>
      </w:r>
      <w:r>
        <w:rPr>
          <w:rFonts w:ascii="Times New Roman" w:hAnsi="Times New Roman" w:cs="Times New Roman" w:eastAsia="Times New Roman" w:hint="default"/>
        </w:rPr>
        <w:t>2</w:t>
      </w:r>
      <w:r>
        <w:rPr/>
        <w:t>、主要境外资产情况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419"/>
        <w:gridCol w:w="709"/>
        <w:gridCol w:w="1062"/>
        <w:gridCol w:w="1347"/>
        <w:gridCol w:w="994"/>
        <w:gridCol w:w="852"/>
        <w:gridCol w:w="1065"/>
        <w:gridCol w:w="1064"/>
        <w:gridCol w:w="1058"/>
      </w:tblGrid>
      <w:tr>
        <w:trPr>
          <w:trHeight w:val="1026" w:hRule="exact"/>
        </w:trPr>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73" w:right="0"/>
              <w:jc w:val="left"/>
              <w:rPr>
                <w:rFonts w:ascii="宋体" w:hAnsi="宋体" w:cs="宋体" w:eastAsia="宋体" w:hint="default"/>
                <w:sz w:val="18"/>
                <w:szCs w:val="18"/>
              </w:rPr>
            </w:pPr>
            <w:r>
              <w:rPr>
                <w:rFonts w:ascii="宋体" w:hAnsi="宋体" w:cs="宋体" w:eastAsia="宋体" w:hint="default"/>
                <w:sz w:val="18"/>
                <w:szCs w:val="18"/>
              </w:rPr>
              <w:t>资产的具体内容</w:t>
            </w:r>
          </w:p>
        </w:tc>
        <w:tc>
          <w:tcPr>
            <w:tcW w:w="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59" w:right="78" w:hanging="180"/>
              <w:jc w:val="left"/>
              <w:rPr>
                <w:rFonts w:ascii="宋体" w:hAnsi="宋体" w:cs="宋体" w:eastAsia="宋体" w:hint="default"/>
                <w:sz w:val="18"/>
                <w:szCs w:val="18"/>
              </w:rPr>
            </w:pPr>
            <w:r>
              <w:rPr>
                <w:rFonts w:ascii="宋体" w:hAnsi="宋体" w:cs="宋体" w:eastAsia="宋体" w:hint="default"/>
                <w:sz w:val="18"/>
                <w:szCs w:val="18"/>
              </w:rPr>
              <w:t>形成原 因</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资产规模</w:t>
            </w:r>
          </w:p>
        </w:tc>
        <w:tc>
          <w:tcPr>
            <w:tcW w:w="13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98" w:right="0"/>
              <w:jc w:val="left"/>
              <w:rPr>
                <w:rFonts w:ascii="宋体" w:hAnsi="宋体" w:cs="宋体" w:eastAsia="宋体" w:hint="default"/>
                <w:sz w:val="18"/>
                <w:szCs w:val="18"/>
              </w:rPr>
            </w:pPr>
            <w:r>
              <w:rPr>
                <w:rFonts w:ascii="宋体" w:hAnsi="宋体" w:cs="宋体" w:eastAsia="宋体" w:hint="default"/>
                <w:sz w:val="18"/>
                <w:szCs w:val="18"/>
              </w:rPr>
              <w:t>所在地</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31"/>
              <w:jc w:val="right"/>
              <w:rPr>
                <w:rFonts w:ascii="宋体" w:hAnsi="宋体" w:cs="宋体" w:eastAsia="宋体" w:hint="default"/>
                <w:sz w:val="18"/>
                <w:szCs w:val="18"/>
              </w:rPr>
            </w:pPr>
            <w:r>
              <w:rPr>
                <w:rFonts w:ascii="宋体" w:hAnsi="宋体" w:cs="宋体" w:eastAsia="宋体" w:hint="default"/>
                <w:sz w:val="18"/>
                <w:szCs w:val="18"/>
              </w:rPr>
              <w:t>运营模式</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1" w:right="59"/>
              <w:jc w:val="both"/>
              <w:rPr>
                <w:rFonts w:ascii="宋体" w:hAnsi="宋体" w:cs="宋体" w:eastAsia="宋体" w:hint="default"/>
                <w:sz w:val="18"/>
                <w:szCs w:val="18"/>
              </w:rPr>
            </w:pPr>
            <w:r>
              <w:rPr>
                <w:rFonts w:ascii="宋体" w:hAnsi="宋体" w:cs="宋体" w:eastAsia="宋体" w:hint="default"/>
                <w:sz w:val="18"/>
                <w:szCs w:val="18"/>
              </w:rPr>
              <w:t>保障资产 安全性的 控制措施</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7" w:right="0"/>
              <w:jc w:val="left"/>
              <w:rPr>
                <w:rFonts w:ascii="宋体" w:hAnsi="宋体" w:cs="宋体" w:eastAsia="宋体" w:hint="default"/>
                <w:sz w:val="18"/>
                <w:szCs w:val="18"/>
              </w:rPr>
            </w:pPr>
            <w:r>
              <w:rPr>
                <w:rFonts w:ascii="宋体" w:hAnsi="宋体" w:cs="宋体" w:eastAsia="宋体" w:hint="default"/>
                <w:sz w:val="18"/>
                <w:szCs w:val="18"/>
              </w:rPr>
              <w:t>收益状况</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76" w:right="77"/>
              <w:jc w:val="center"/>
              <w:rPr>
                <w:rFonts w:ascii="宋体" w:hAnsi="宋体" w:cs="宋体" w:eastAsia="宋体" w:hint="default"/>
                <w:sz w:val="18"/>
                <w:szCs w:val="18"/>
              </w:rPr>
            </w:pPr>
            <w:r>
              <w:rPr>
                <w:rFonts w:ascii="宋体" w:hAnsi="宋体" w:cs="宋体" w:eastAsia="宋体" w:hint="default"/>
                <w:sz w:val="18"/>
                <w:szCs w:val="18"/>
              </w:rPr>
              <w:t>境外资产占 公司净资产 的比重</w:t>
            </w:r>
          </w:p>
        </w:tc>
        <w:tc>
          <w:tcPr>
            <w:tcW w:w="10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4" w:right="72"/>
              <w:jc w:val="left"/>
              <w:rPr>
                <w:rFonts w:ascii="宋体" w:hAnsi="宋体" w:cs="宋体" w:eastAsia="宋体" w:hint="default"/>
                <w:sz w:val="18"/>
                <w:szCs w:val="18"/>
              </w:rPr>
            </w:pPr>
            <w:r>
              <w:rPr>
                <w:rFonts w:ascii="宋体" w:hAnsi="宋体" w:cs="宋体" w:eastAsia="宋体" w:hint="default"/>
                <w:sz w:val="18"/>
                <w:szCs w:val="18"/>
              </w:rPr>
              <w:t>是否存在重 大减值风险</w:t>
            </w:r>
          </w:p>
        </w:tc>
      </w:tr>
      <w:tr>
        <w:trPr>
          <w:trHeight w:val="402"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香港优博讯</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收购</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4,886,185.11</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香港</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9"/>
              <w:jc w:val="right"/>
              <w:rPr>
                <w:rFonts w:ascii="宋体" w:hAnsi="宋体" w:cs="宋体" w:eastAsia="宋体" w:hint="default"/>
                <w:sz w:val="18"/>
                <w:szCs w:val="18"/>
              </w:rPr>
            </w:pPr>
            <w:r>
              <w:rPr>
                <w:rFonts w:ascii="宋体" w:hAnsi="宋体" w:cs="宋体" w:eastAsia="宋体" w:hint="default"/>
                <w:sz w:val="18"/>
                <w:szCs w:val="18"/>
              </w:rPr>
              <w:t>全资子公司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-2,077,036.76</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0.66%</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马来西亚优博讯</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收购</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8,005.83</w:t>
            </w:r>
          </w:p>
        </w:tc>
        <w:tc>
          <w:tcPr>
            <w:tcW w:w="13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马来西亚吉隆坡</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9"/>
              <w:jc w:val="right"/>
              <w:rPr>
                <w:rFonts w:ascii="宋体" w:hAnsi="宋体" w:cs="宋体" w:eastAsia="宋体" w:hint="default"/>
                <w:sz w:val="18"/>
                <w:szCs w:val="18"/>
              </w:rPr>
            </w:pPr>
            <w:r>
              <w:rPr>
                <w:rFonts w:ascii="宋体" w:hAnsi="宋体" w:cs="宋体" w:eastAsia="宋体" w:hint="default"/>
                <w:sz w:val="18"/>
                <w:szCs w:val="18"/>
              </w:rPr>
              <w:t>全资子公司</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-62,771.83</w:t>
            </w:r>
            <w:r>
              <w:rPr>
                <w:rFonts w:ascii="Times New Roman"/>
                <w:sz w:val="18"/>
              </w:rPr>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0.001%</w:t>
            </w:r>
          </w:p>
        </w:tc>
        <w:tc>
          <w:tcPr>
            <w:tcW w:w="10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338" w:hRule="exact"/>
        </w:trPr>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其他情况说明</w:t>
            </w:r>
          </w:p>
        </w:tc>
        <w:tc>
          <w:tcPr>
            <w:tcW w:w="8151" w:type="dxa"/>
            <w:gridSpan w:val="8"/>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香港优博讯自</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年起成为公司全资子公司，为公司境外销售及采购平台；</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日公司第二 届董事会第十四次会议审议通过《关于公司拟受让子公司香港优博讯持有马来西亚优博讯</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股权的 </w:t>
            </w:r>
            <w:r>
              <w:rPr>
                <w:rFonts w:ascii="宋体" w:hAnsi="宋体" w:cs="宋体" w:eastAsia="宋体" w:hint="default"/>
                <w:spacing w:val="-16"/>
                <w:sz w:val="18"/>
                <w:szCs w:val="18"/>
              </w:rPr>
              <w:t>议案》，截至</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5"/>
                <w:sz w:val="18"/>
                <w:szCs w:val="18"/>
              </w:rPr>
              <w:t> </w:t>
            </w:r>
            <w:r>
              <w:rPr>
                <w:rFonts w:ascii="宋体" w:hAnsi="宋体" w:cs="宋体" w:eastAsia="宋体" w:hint="default"/>
                <w:spacing w:val="-1"/>
                <w:sz w:val="18"/>
                <w:szCs w:val="18"/>
              </w:rPr>
              <w:t>日，上述转让已完成，马来西亚优博讯为公司的全资子公司，上述变化不</w:t>
            </w:r>
            <w:r>
              <w:rPr>
                <w:rFonts w:ascii="宋体" w:hAnsi="宋体" w:cs="宋体" w:eastAsia="宋体" w:hint="default"/>
                <w:sz w:val="18"/>
                <w:szCs w:val="18"/>
              </w:rPr>
              <w:t> 影响公司合并报表范围。</w:t>
            </w:r>
          </w:p>
        </w:tc>
      </w:tr>
    </w:tbl>
    <w:p>
      <w:pPr>
        <w:spacing w:line="240" w:lineRule="auto" w:before="2"/>
        <w:rPr>
          <w:rFonts w:ascii="宋体" w:hAnsi="宋体" w:cs="宋体" w:eastAsia="宋体" w:hint="default"/>
          <w:sz w:val="18"/>
          <w:szCs w:val="18"/>
        </w:rPr>
      </w:pPr>
    </w:p>
    <w:p>
      <w:pPr>
        <w:pStyle w:val="Heading2"/>
        <w:spacing w:line="240" w:lineRule="auto" w:before="26"/>
        <w:ind w:right="1134"/>
        <w:jc w:val="left"/>
        <w:rPr>
          <w:b w:val="0"/>
          <w:bCs w:val="0"/>
        </w:rPr>
      </w:pPr>
      <w:bookmarkStart w:name="三、核心竞争力分析" w:id="21"/>
      <w:bookmarkEnd w:id="21"/>
      <w:r>
        <w:rPr>
          <w:b w:val="0"/>
          <w:bCs w:val="0"/>
        </w:rPr>
      </w:r>
      <w:r>
        <w:rPr/>
        <w:t>三、核心竞争力分析</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7692"/>
        <w:jc w:val="left"/>
      </w:pPr>
      <w:r>
        <w:rPr/>
        <w:t>公司是否需要遵守特殊行业的披露要求 否</w:t>
      </w:r>
    </w:p>
    <w:p>
      <w:pPr>
        <w:pStyle w:val="BodyText"/>
        <w:spacing w:line="300" w:lineRule="auto" w:before="28"/>
        <w:ind w:right="0" w:firstLine="361"/>
        <w:jc w:val="left"/>
      </w:pPr>
      <w:r>
        <w:rPr>
          <w:rFonts w:ascii="Times New Roman" w:hAnsi="Times New Roman" w:cs="Times New Roman" w:eastAsia="Times New Roman" w:hint="default"/>
          <w:spacing w:val="-2"/>
        </w:rPr>
        <w:t>2018</w:t>
      </w:r>
      <w:r>
        <w:rPr>
          <w:spacing w:val="-2"/>
        </w:rPr>
        <w:t>年，公司结合行业发展趋势，提升自身能力，积极顺应行业的变化，抓住行业发展机遇，布局智能移动信息化新兴</w:t>
      </w:r>
      <w:r>
        <w:rPr/>
        <w:t> 领域，向战略升级进一步迈进。</w:t>
      </w:r>
    </w:p>
    <w:p>
      <w:pPr>
        <w:pStyle w:val="Heading4"/>
        <w:spacing w:line="240" w:lineRule="auto" w:before="31"/>
        <w:ind w:right="1134"/>
        <w:jc w:val="left"/>
        <w:rPr>
          <w:b w:val="0"/>
          <w:bCs w:val="0"/>
        </w:rPr>
      </w:pPr>
      <w:r>
        <w:rPr>
          <w:rFonts w:ascii="Times New Roman" w:hAnsi="Times New Roman" w:cs="Times New Roman" w:eastAsia="Times New Roman" w:hint="default"/>
        </w:rPr>
        <w:t>1</w:t>
      </w:r>
      <w:r>
        <w:rPr/>
        <w:t>、技术及产品优势</w:t>
      </w:r>
      <w:r>
        <w:rPr>
          <w:b w:val="0"/>
          <w:bCs w:val="0"/>
        </w:rPr>
      </w:r>
    </w:p>
    <w:p>
      <w:pPr>
        <w:pStyle w:val="BodyText"/>
        <w:spacing w:line="300" w:lineRule="auto" w:before="63"/>
        <w:ind w:left="514" w:right="0"/>
        <w:jc w:val="left"/>
      </w:pPr>
      <w:r>
        <w:rPr/>
        <w:t>（</w:t>
      </w:r>
      <w:r>
        <w:rPr>
          <w:rFonts w:ascii="Times New Roman" w:hAnsi="Times New Roman" w:cs="Times New Roman" w:eastAsia="Times New Roman" w:hint="default"/>
        </w:rPr>
        <w:t>1</w:t>
      </w:r>
      <w:r>
        <w:rPr/>
        <w:t>）研发与技术优势 </w:t>
      </w:r>
      <w:r>
        <w:rPr>
          <w:spacing w:val="-2"/>
        </w:rPr>
        <w:t>公司拥有一支结构合理、专业能力较强、具有协作精神的技术研发队伍，共有技术研发人员</w:t>
      </w:r>
      <w:r>
        <w:rPr>
          <w:rFonts w:ascii="Times New Roman" w:hAnsi="Times New Roman" w:cs="Times New Roman" w:eastAsia="Times New Roman" w:hint="default"/>
          <w:spacing w:val="-2"/>
        </w:rPr>
        <w:t>301</w:t>
      </w:r>
      <w:r>
        <w:rPr>
          <w:spacing w:val="-2"/>
        </w:rPr>
        <w:t>人，占总人数的</w:t>
      </w:r>
      <w:r>
        <w:rPr>
          <w:rFonts w:ascii="Times New Roman" w:hAnsi="Times New Roman" w:cs="Times New Roman" w:eastAsia="Times New Roman" w:hint="default"/>
          <w:spacing w:val="-2"/>
        </w:rPr>
        <w:t>46.59%</w:t>
      </w:r>
      <w:r>
        <w:rPr>
          <w:spacing w:val="-2"/>
        </w:rPr>
        <w:t>，</w:t>
      </w:r>
    </w:p>
    <w:p>
      <w:pPr>
        <w:spacing w:after="0" w:line="30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left="514" w:right="0" w:hanging="360"/>
        <w:jc w:val="left"/>
      </w:pPr>
      <w:r>
        <w:rPr/>
        <w:t>为公司持续研发及保持技术领先奠定了坚实的基础。公司关键技术人员稳定，报告期内未发生变化。 </w:t>
      </w:r>
      <w:r>
        <w:rPr>
          <w:spacing w:val="-2"/>
        </w:rPr>
        <w:t>公司自设立以来一直专注于智能移动信息化应用解决方案的技术研究与产品开发，逐步掌握了条码信息软解码技术、无</w:t>
      </w:r>
    </w:p>
    <w:p>
      <w:pPr>
        <w:pStyle w:val="BodyText"/>
        <w:spacing w:line="319" w:lineRule="auto" w:before="19"/>
        <w:ind w:right="1032"/>
        <w:jc w:val="left"/>
      </w:pPr>
      <w:r>
        <w:rPr/>
        <w:t>线传输抗干扰技术、移动应用设备远程升级管理框架技术及移动信息安全体系等多项先进技术，公司先后建成省级、市级、 </w:t>
      </w:r>
      <w:r>
        <w:rPr>
          <w:spacing w:val="-2"/>
        </w:rPr>
        <w:t>区级工程技术研究中心，并先后承担了工信部物联网发展专项、科技部科技型中小企业技术创新基金项目、深圳市新一代信</w:t>
      </w:r>
      <w:r>
        <w:rPr>
          <w:spacing w:val="-66"/>
        </w:rPr>
        <w:t> </w:t>
      </w:r>
      <w:r>
        <w:rPr>
          <w:spacing w:val="-66"/>
        </w:rPr>
      </w:r>
      <w:r>
        <w:rPr/>
        <w:t>息技术及互联网产业发展专项等多个重大科技项目。</w:t>
      </w:r>
    </w:p>
    <w:p>
      <w:pPr>
        <w:pStyle w:val="BodyText"/>
        <w:spacing w:line="300" w:lineRule="auto" w:before="17"/>
        <w:ind w:right="0" w:firstLine="360"/>
        <w:jc w:val="left"/>
      </w:pPr>
      <w:r>
        <w:rPr>
          <w:spacing w:val="-2"/>
        </w:rPr>
        <w:t>至</w:t>
      </w:r>
      <w:r>
        <w:rPr>
          <w:rFonts w:ascii="Times New Roman" w:hAnsi="Times New Roman" w:cs="Times New Roman" w:eastAsia="Times New Roman" w:hint="default"/>
          <w:spacing w:val="-2"/>
        </w:rPr>
        <w:t>2018</w:t>
      </w:r>
      <w:r>
        <w:rPr>
          <w:spacing w:val="-2"/>
        </w:rPr>
        <w:t>年末，公司累计获得专利</w:t>
      </w:r>
      <w:r>
        <w:rPr>
          <w:rFonts w:ascii="Times New Roman" w:hAnsi="Times New Roman" w:cs="Times New Roman" w:eastAsia="Times New Roman" w:hint="default"/>
          <w:spacing w:val="-2"/>
        </w:rPr>
        <w:t>36</w:t>
      </w:r>
      <w:r>
        <w:rPr>
          <w:spacing w:val="-2"/>
        </w:rPr>
        <w:t>项、计算机软件著作权</w:t>
      </w:r>
      <w:r>
        <w:rPr>
          <w:rFonts w:ascii="Times New Roman" w:hAnsi="Times New Roman" w:cs="Times New Roman" w:eastAsia="Times New Roman" w:hint="default"/>
          <w:spacing w:val="-2"/>
        </w:rPr>
        <w:t>114</w:t>
      </w:r>
      <w:r>
        <w:rPr>
          <w:spacing w:val="-2"/>
        </w:rPr>
        <w:t>项，报告期内新增专利</w:t>
      </w:r>
      <w:r>
        <w:rPr>
          <w:rFonts w:ascii="Times New Roman" w:hAnsi="Times New Roman" w:cs="Times New Roman" w:eastAsia="Times New Roman" w:hint="default"/>
          <w:spacing w:val="-2"/>
        </w:rPr>
        <w:t>5</w:t>
      </w:r>
      <w:r>
        <w:rPr>
          <w:spacing w:val="-2"/>
        </w:rPr>
        <w:t>项、新增软件著作权</w:t>
      </w:r>
      <w:r>
        <w:rPr>
          <w:rFonts w:ascii="Times New Roman" w:hAnsi="Times New Roman" w:cs="Times New Roman" w:eastAsia="Times New Roman" w:hint="default"/>
          <w:spacing w:val="-2"/>
        </w:rPr>
        <w:t>25</w:t>
      </w:r>
      <w:r>
        <w:rPr>
          <w:spacing w:val="-2"/>
        </w:rPr>
        <w:t>项。报告期</w:t>
      </w:r>
      <w:r>
        <w:rPr/>
        <w:t> 新增知识产权情况如下：</w:t>
      </w:r>
    </w:p>
    <w:p>
      <w:pPr>
        <w:pStyle w:val="BodyText"/>
        <w:spacing w:line="240" w:lineRule="auto" w:before="31"/>
        <w:ind w:left="514" w:right="1134"/>
        <w:jc w:val="left"/>
      </w:pPr>
      <w:r>
        <w:rPr/>
        <w:t>取得的专利证书具体情况如下：</w:t>
      </w:r>
    </w:p>
    <w:p>
      <w:pPr>
        <w:spacing w:line="240" w:lineRule="auto" w:before="3"/>
        <w:rPr>
          <w:rFonts w:ascii="宋体" w:hAnsi="宋体" w:cs="宋体" w:eastAsia="宋体" w:hint="default"/>
          <w:sz w:val="6"/>
          <w:szCs w:val="6"/>
        </w:rPr>
      </w:pPr>
    </w:p>
    <w:tbl>
      <w:tblPr>
        <w:tblW w:w="0" w:type="auto"/>
        <w:jc w:val="left"/>
        <w:tblInd w:w="153" w:type="dxa"/>
        <w:tblLayout w:type="fixed"/>
        <w:tblCellMar>
          <w:top w:w="0" w:type="dxa"/>
          <w:left w:w="0" w:type="dxa"/>
          <w:bottom w:w="0" w:type="dxa"/>
          <w:right w:w="0" w:type="dxa"/>
        </w:tblCellMar>
        <w:tblLook w:val="01E0"/>
      </w:tblPr>
      <w:tblGrid>
        <w:gridCol w:w="421"/>
        <w:gridCol w:w="4111"/>
        <w:gridCol w:w="1134"/>
        <w:gridCol w:w="1702"/>
        <w:gridCol w:w="1276"/>
        <w:gridCol w:w="1016"/>
      </w:tblGrid>
      <w:tr>
        <w:trPr>
          <w:trHeight w:val="326" w:hRule="exact"/>
        </w:trPr>
        <w:tc>
          <w:tcPr>
            <w:tcW w:w="4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序号</w:t>
            </w:r>
          </w:p>
        </w:tc>
        <w:tc>
          <w:tcPr>
            <w:tcW w:w="411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类型</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0"/>
              <w:jc w:val="center"/>
              <w:rPr>
                <w:rFonts w:ascii="宋体" w:hAnsi="宋体" w:cs="宋体" w:eastAsia="宋体" w:hint="default"/>
                <w:sz w:val="18"/>
                <w:szCs w:val="18"/>
              </w:rPr>
            </w:pPr>
            <w:r>
              <w:rPr>
                <w:rFonts w:ascii="宋体" w:hAnsi="宋体" w:cs="宋体" w:eastAsia="宋体" w:hint="default"/>
                <w:sz w:val="18"/>
                <w:szCs w:val="18"/>
              </w:rPr>
              <w:t>专利号</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授权公告日</w:t>
            </w:r>
          </w:p>
        </w:tc>
        <w:tc>
          <w:tcPr>
            <w:tcW w:w="10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
              <w:ind w:right="1"/>
              <w:jc w:val="center"/>
              <w:rPr>
                <w:rFonts w:ascii="宋体" w:hAnsi="宋体" w:cs="宋体" w:eastAsia="宋体" w:hint="default"/>
                <w:sz w:val="18"/>
                <w:szCs w:val="18"/>
              </w:rPr>
            </w:pPr>
            <w:r>
              <w:rPr>
                <w:rFonts w:ascii="宋体" w:hAnsi="宋体" w:cs="宋体" w:eastAsia="宋体" w:hint="default"/>
                <w:sz w:val="18"/>
                <w:szCs w:val="18"/>
              </w:rPr>
              <w:t>权利人</w:t>
            </w:r>
          </w:p>
        </w:tc>
      </w:tr>
      <w:tr>
        <w:trPr>
          <w:trHeight w:val="342" w:hRule="exact"/>
        </w:trPr>
        <w:tc>
          <w:tcPr>
            <w:tcW w:w="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POS</w:t>
            </w:r>
            <w:r>
              <w:rPr>
                <w:rFonts w:ascii="宋体" w:hAnsi="宋体" w:cs="宋体" w:eastAsia="宋体" w:hint="default"/>
                <w:sz w:val="18"/>
                <w:szCs w:val="18"/>
              </w:rPr>
              <w:t>机及</w:t>
            </w:r>
            <w:r>
              <w:rPr>
                <w:rFonts w:ascii="Times New Roman" w:hAnsi="Times New Roman" w:cs="Times New Roman" w:eastAsia="Times New Roman" w:hint="default"/>
                <w:sz w:val="18"/>
                <w:szCs w:val="18"/>
              </w:rPr>
              <w:t>POS</w:t>
            </w:r>
            <w:r>
              <w:rPr>
                <w:rFonts w:ascii="宋体" w:hAnsi="宋体" w:cs="宋体" w:eastAsia="宋体" w:hint="default"/>
                <w:sz w:val="18"/>
                <w:szCs w:val="18"/>
              </w:rPr>
              <w:t>机安全保护接触点的保护结构</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实用新型</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201720686280.5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9</w:t>
            </w:r>
            <w:r>
              <w:rPr>
                <w:rFonts w:ascii="宋体" w:hAnsi="宋体" w:cs="宋体" w:eastAsia="宋体" w:hint="default"/>
                <w:sz w:val="18"/>
                <w:szCs w:val="18"/>
              </w:rPr>
              <w:t>日</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优博讯</w:t>
            </w:r>
          </w:p>
        </w:tc>
      </w:tr>
      <w:tr>
        <w:trPr>
          <w:trHeight w:val="342" w:hRule="exact"/>
        </w:trPr>
        <w:tc>
          <w:tcPr>
            <w:tcW w:w="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2</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POS</w:t>
            </w:r>
            <w:r>
              <w:rPr>
                <w:rFonts w:ascii="宋体" w:hAnsi="宋体" w:cs="宋体" w:eastAsia="宋体" w:hint="default"/>
                <w:sz w:val="18"/>
                <w:szCs w:val="18"/>
              </w:rPr>
              <w:t>机斑马条的保护结构及</w:t>
            </w:r>
            <w:r>
              <w:rPr>
                <w:rFonts w:ascii="Times New Roman" w:hAnsi="Times New Roman" w:cs="Times New Roman" w:eastAsia="Times New Roman" w:hint="default"/>
                <w:sz w:val="18"/>
                <w:szCs w:val="18"/>
              </w:rPr>
              <w:t>POS</w:t>
            </w:r>
            <w:r>
              <w:rPr>
                <w:rFonts w:ascii="宋体" w:hAnsi="宋体" w:cs="宋体" w:eastAsia="宋体" w:hint="default"/>
                <w:sz w:val="18"/>
                <w:szCs w:val="18"/>
              </w:rPr>
              <w:t>机</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实用新型</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201720703083.X</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9</w:t>
            </w:r>
            <w:r>
              <w:rPr>
                <w:rFonts w:ascii="宋体" w:hAnsi="宋体" w:cs="宋体" w:eastAsia="宋体" w:hint="default"/>
                <w:sz w:val="18"/>
                <w:szCs w:val="18"/>
              </w:rPr>
              <w:t>日</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优博讯</w:t>
            </w:r>
          </w:p>
        </w:tc>
      </w:tr>
      <w:tr>
        <w:trPr>
          <w:trHeight w:val="342" w:hRule="exact"/>
        </w:trPr>
        <w:tc>
          <w:tcPr>
            <w:tcW w:w="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3</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移动</w:t>
            </w:r>
            <w:r>
              <w:rPr>
                <w:rFonts w:ascii="Times New Roman" w:hAnsi="Times New Roman" w:cs="Times New Roman" w:eastAsia="Times New Roman" w:hint="default"/>
                <w:sz w:val="18"/>
                <w:szCs w:val="18"/>
              </w:rPr>
              <w:t>POS</w:t>
            </w:r>
            <w:r>
              <w:rPr>
                <w:rFonts w:ascii="宋体" w:hAnsi="宋体" w:cs="宋体" w:eastAsia="宋体" w:hint="default"/>
                <w:sz w:val="18"/>
                <w:szCs w:val="18"/>
              </w:rPr>
              <w:t>装置</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实用新型</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201720837979.7</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30</w:t>
            </w:r>
            <w:r>
              <w:rPr>
                <w:rFonts w:ascii="宋体" w:hAnsi="宋体" w:cs="宋体" w:eastAsia="宋体" w:hint="default"/>
                <w:sz w:val="18"/>
                <w:szCs w:val="18"/>
              </w:rPr>
              <w:t>日</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优博讯</w:t>
            </w:r>
          </w:p>
        </w:tc>
      </w:tr>
      <w:tr>
        <w:trPr>
          <w:trHeight w:val="342" w:hRule="exact"/>
        </w:trPr>
        <w:tc>
          <w:tcPr>
            <w:tcW w:w="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4</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POS</w:t>
            </w:r>
            <w:r>
              <w:rPr>
                <w:rFonts w:ascii="宋体" w:hAnsi="宋体" w:cs="宋体" w:eastAsia="宋体" w:hint="default"/>
                <w:sz w:val="18"/>
                <w:szCs w:val="18"/>
              </w:rPr>
              <w:t>机的</w:t>
            </w:r>
            <w:r>
              <w:rPr>
                <w:rFonts w:ascii="Times New Roman" w:hAnsi="Times New Roman" w:cs="Times New Roman" w:eastAsia="Times New Roman" w:hint="default"/>
                <w:sz w:val="18"/>
                <w:szCs w:val="18"/>
              </w:rPr>
              <w:t>TP</w:t>
            </w:r>
            <w:r>
              <w:rPr>
                <w:rFonts w:ascii="宋体" w:hAnsi="宋体" w:cs="宋体" w:eastAsia="宋体" w:hint="default"/>
                <w:sz w:val="18"/>
                <w:szCs w:val="18"/>
              </w:rPr>
              <w:t>防揭保护结构及</w:t>
            </w:r>
            <w:r>
              <w:rPr>
                <w:rFonts w:ascii="Times New Roman" w:hAnsi="Times New Roman" w:cs="Times New Roman" w:eastAsia="Times New Roman" w:hint="default"/>
                <w:sz w:val="18"/>
                <w:szCs w:val="18"/>
              </w:rPr>
              <w:t>POS</w:t>
            </w:r>
            <w:r>
              <w:rPr>
                <w:rFonts w:ascii="宋体" w:hAnsi="宋体" w:cs="宋体" w:eastAsia="宋体" w:hint="default"/>
                <w:sz w:val="18"/>
                <w:szCs w:val="18"/>
              </w:rPr>
              <w:t>机</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实用新型</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201720734679.6</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优博讯</w:t>
            </w:r>
          </w:p>
        </w:tc>
      </w:tr>
      <w:tr>
        <w:trPr>
          <w:trHeight w:val="342" w:hRule="exact"/>
        </w:trPr>
        <w:tc>
          <w:tcPr>
            <w:tcW w:w="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5</w:t>
            </w:r>
          </w:p>
        </w:tc>
        <w:tc>
          <w:tcPr>
            <w:tcW w:w="41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4" w:right="0"/>
              <w:jc w:val="left"/>
              <w:rPr>
                <w:rFonts w:ascii="宋体" w:hAnsi="宋体" w:cs="宋体" w:eastAsia="宋体" w:hint="default"/>
                <w:sz w:val="18"/>
                <w:szCs w:val="18"/>
              </w:rPr>
            </w:pPr>
            <w:r>
              <w:rPr>
                <w:rFonts w:ascii="宋体" w:hAnsi="宋体" w:cs="宋体" w:eastAsia="宋体" w:hint="default"/>
                <w:sz w:val="18"/>
                <w:szCs w:val="18"/>
              </w:rPr>
              <w:t>移动车载支付设备的供电电路、移动车载支付设备</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实用新型</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201821162361.6</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7</w:t>
            </w:r>
            <w:r>
              <w:rPr>
                <w:rFonts w:ascii="宋体" w:hAnsi="宋体" w:cs="宋体" w:eastAsia="宋体" w:hint="default"/>
                <w:sz w:val="18"/>
                <w:szCs w:val="18"/>
              </w:rPr>
              <w:t>日</w:t>
            </w:r>
          </w:p>
        </w:tc>
        <w:tc>
          <w:tcPr>
            <w:tcW w:w="10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优博讯</w:t>
            </w:r>
          </w:p>
        </w:tc>
      </w:tr>
    </w:tbl>
    <w:p>
      <w:pPr>
        <w:pStyle w:val="BodyText"/>
        <w:spacing w:line="240" w:lineRule="auto" w:before="10"/>
        <w:ind w:left="514" w:right="1134"/>
        <w:jc w:val="left"/>
      </w:pPr>
      <w:r>
        <w:rPr/>
        <w:t>取得的计算机软件著作权登记证书情况如下：</w:t>
      </w:r>
    </w:p>
    <w:p>
      <w:pPr>
        <w:spacing w:line="240" w:lineRule="auto" w:before="0"/>
        <w:rPr>
          <w:rFonts w:ascii="宋体" w:hAnsi="宋体" w:cs="宋体" w:eastAsia="宋体" w:hint="default"/>
          <w:sz w:val="5"/>
          <w:szCs w:val="5"/>
        </w:rPr>
      </w:pPr>
    </w:p>
    <w:tbl>
      <w:tblPr>
        <w:tblW w:w="0" w:type="auto"/>
        <w:jc w:val="left"/>
        <w:tblInd w:w="151" w:type="dxa"/>
        <w:tblLayout w:type="fixed"/>
        <w:tblCellMar>
          <w:top w:w="0" w:type="dxa"/>
          <w:left w:w="0" w:type="dxa"/>
          <w:bottom w:w="0" w:type="dxa"/>
          <w:right w:w="0" w:type="dxa"/>
        </w:tblCellMar>
        <w:tblLook w:val="01E0"/>
      </w:tblPr>
      <w:tblGrid>
        <w:gridCol w:w="421"/>
        <w:gridCol w:w="4111"/>
        <w:gridCol w:w="2268"/>
        <w:gridCol w:w="1844"/>
        <w:gridCol w:w="992"/>
      </w:tblGrid>
      <w:tr>
        <w:trPr>
          <w:trHeight w:val="347" w:hRule="exact"/>
        </w:trPr>
        <w:tc>
          <w:tcPr>
            <w:tcW w:w="42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序号</w:t>
            </w:r>
          </w:p>
        </w:tc>
        <w:tc>
          <w:tcPr>
            <w:tcW w:w="411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名称</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证书号</w:t>
            </w:r>
          </w:p>
        </w:tc>
        <w:tc>
          <w:tcPr>
            <w:tcW w:w="18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登记日期</w:t>
            </w:r>
          </w:p>
        </w:tc>
        <w:tc>
          <w:tcPr>
            <w:tcW w:w="99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18" w:right="0"/>
              <w:jc w:val="left"/>
              <w:rPr>
                <w:rFonts w:ascii="宋体" w:hAnsi="宋体" w:cs="宋体" w:eastAsia="宋体" w:hint="default"/>
                <w:sz w:val="18"/>
                <w:szCs w:val="18"/>
              </w:rPr>
            </w:pPr>
            <w:r>
              <w:rPr>
                <w:rFonts w:ascii="宋体" w:hAnsi="宋体" w:cs="宋体" w:eastAsia="宋体" w:hint="default"/>
                <w:sz w:val="18"/>
                <w:szCs w:val="18"/>
              </w:rPr>
              <w:t>权利人</w:t>
            </w:r>
          </w:p>
        </w:tc>
      </w:tr>
      <w:tr>
        <w:trPr>
          <w:trHeight w:val="348"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优博讯公交车闪付收费管理软件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2339958</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4</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优博讯</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优博讯物流微信公众平台管理软件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2340625</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4</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优博讯</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3</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优博讯微信企业号管理系统软件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2339404</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4</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优博讯</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4</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优博讯移动医疗操作系统</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2341297</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5</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优博讯</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5</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优博讯短信通知与管理系统软件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软著登记第</w:t>
            </w:r>
            <w:r>
              <w:rPr>
                <w:rFonts w:ascii="Times New Roman" w:hAnsi="Times New Roman" w:cs="Times New Roman" w:eastAsia="Times New Roman" w:hint="default"/>
                <w:sz w:val="18"/>
                <w:szCs w:val="18"/>
              </w:rPr>
              <w:t>2357285</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11</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优博讯</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6</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优博讯连锁零售仓储管理系统软件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2357288</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11</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优博讯</w:t>
            </w:r>
          </w:p>
        </w:tc>
      </w:tr>
      <w:tr>
        <w:trPr>
          <w:trHeight w:val="348"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7</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优博讯物流快递配送管理软件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2357286</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11</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优博讯</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8</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优博讯会员营销管理系统软件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2357283</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11</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优博讯</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9</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优博讯智慧出租车收费管理软件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2367902</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17</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优博讯</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10</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优博讯人脸识别系统软件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2367240</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17</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优博讯</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11</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优金支付智慧保险出单管理系统软件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2367232</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17</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优金支付</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12</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优金支付大型商超移动管理系统软件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2786463</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19</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优金支付</w:t>
            </w:r>
          </w:p>
        </w:tc>
      </w:tr>
      <w:tr>
        <w:trPr>
          <w:trHeight w:val="348"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13</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优金支付连锁零售移动管理系统软件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2787684</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19</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优金支付</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Times New Roman" w:hAnsi="Times New Roman" w:cs="Times New Roman" w:eastAsia="Times New Roman" w:hint="default"/>
                <w:sz w:val="18"/>
                <w:szCs w:val="18"/>
              </w:rPr>
            </w:pPr>
            <w:r>
              <w:rPr>
                <w:rFonts w:ascii="Times New Roman"/>
                <w:sz w:val="18"/>
              </w:rPr>
              <w:t>14</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优金支付占道停车收费管理软件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2787696</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19</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优金支付</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15</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优金支付爱买单管理软件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2784346</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优金支付</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16</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优金支付移动设备生命周期管理软件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3231387</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12</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优金支付</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17</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优金支付移动设备生命周期管理软件</w:t>
            </w:r>
            <w:r>
              <w:rPr>
                <w:rFonts w:ascii="Times New Roman" w:hAnsi="Times New Roman" w:cs="Times New Roman" w:eastAsia="Times New Roman" w:hint="default"/>
                <w:sz w:val="18"/>
                <w:szCs w:val="18"/>
              </w:rPr>
              <w:t>V2.0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3232208</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12</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优金支付</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18</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优博讯智能移动终端支付应用系统软件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2409939</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武汉优软</w:t>
            </w:r>
          </w:p>
        </w:tc>
      </w:tr>
      <w:tr>
        <w:trPr>
          <w:trHeight w:val="348"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19</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优博讯智能移动终端支付应用系统软件</w:t>
            </w:r>
            <w:r>
              <w:rPr>
                <w:rFonts w:ascii="Times New Roman" w:hAnsi="Times New Roman" w:cs="Times New Roman" w:eastAsia="Times New Roman" w:hint="default"/>
                <w:sz w:val="18"/>
                <w:szCs w:val="18"/>
              </w:rPr>
              <w:t>V2.0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2584785</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r>
              <w:rPr>
                <w:rFonts w:ascii="Times New Roman" w:hAnsi="Times New Roman" w:cs="Times New Roman" w:eastAsia="Times New Roman" w:hint="default"/>
                <w:sz w:val="18"/>
                <w:szCs w:val="18"/>
              </w:rPr>
              <w:t>16</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武汉优软</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center"/>
              <w:rPr>
                <w:rFonts w:ascii="Times New Roman" w:hAnsi="Times New Roman" w:cs="Times New Roman" w:eastAsia="Times New Roman" w:hint="default"/>
                <w:sz w:val="18"/>
                <w:szCs w:val="18"/>
              </w:rPr>
            </w:pPr>
            <w:r>
              <w:rPr>
                <w:rFonts w:ascii="Times New Roman"/>
                <w:sz w:val="18"/>
              </w:rPr>
              <w:t>20</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优博讯智能移动终端支付应用系统软件</w:t>
            </w:r>
            <w:r>
              <w:rPr>
                <w:rFonts w:ascii="Times New Roman" w:hAnsi="Times New Roman" w:cs="Times New Roman" w:eastAsia="Times New Roman" w:hint="default"/>
                <w:sz w:val="18"/>
                <w:szCs w:val="18"/>
              </w:rPr>
              <w:t>V3.0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2821547</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27</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武汉优软</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21</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优博讯进出口报关管理软件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2841449</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3</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武汉优软</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22</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优博讯清关进口可视化系统软件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2973266</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13</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武汉优软</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23</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优博讯微信物流客户评价软件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3396047</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25</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武汉优软</w:t>
            </w:r>
          </w:p>
        </w:tc>
      </w:tr>
      <w:tr>
        <w:trPr>
          <w:trHeight w:val="347"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24</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优博讯微信物流自动化软件</w:t>
            </w:r>
            <w:r>
              <w:rPr>
                <w:rFonts w:ascii="Times New Roman" w:hAnsi="Times New Roman" w:cs="Times New Roman" w:eastAsia="Times New Roman" w:hint="default"/>
                <w:sz w:val="18"/>
                <w:szCs w:val="18"/>
              </w:rPr>
              <w:t>V1.0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3394140</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25</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武汉优软</w:t>
            </w:r>
          </w:p>
        </w:tc>
      </w:tr>
      <w:tr>
        <w:trPr>
          <w:trHeight w:val="348" w:hRule="exact"/>
        </w:trPr>
        <w:tc>
          <w:tcPr>
            <w:tcW w:w="4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25</w:t>
            </w:r>
          </w:p>
        </w:tc>
        <w:tc>
          <w:tcPr>
            <w:tcW w:w="411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帕思菲特多媒体智能终端应用软件</w:t>
            </w:r>
            <w:r>
              <w:rPr>
                <w:rFonts w:ascii="Times New Roman" w:hAnsi="Times New Roman" w:cs="Times New Roman" w:eastAsia="Times New Roman" w:hint="default"/>
                <w:sz w:val="18"/>
                <w:szCs w:val="18"/>
              </w:rPr>
              <w:t>V1.0.0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软著登字第</w:t>
            </w:r>
            <w:r>
              <w:rPr>
                <w:rFonts w:ascii="Times New Roman" w:hAnsi="Times New Roman" w:cs="Times New Roman" w:eastAsia="Times New Roman" w:hint="default"/>
                <w:sz w:val="18"/>
                <w:szCs w:val="18"/>
              </w:rPr>
              <w:t>2928837</w:t>
            </w:r>
            <w:r>
              <w:rPr>
                <w:rFonts w:ascii="宋体" w:hAnsi="宋体" w:cs="宋体" w:eastAsia="宋体" w:hint="default"/>
                <w:sz w:val="18"/>
                <w:szCs w:val="18"/>
              </w:rPr>
              <w:t>号</w:t>
            </w:r>
          </w:p>
        </w:tc>
        <w:tc>
          <w:tcPr>
            <w:tcW w:w="18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帕思菲特</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40" w:lineRule="auto" w:before="44"/>
        <w:ind w:left="514" w:right="1032"/>
        <w:jc w:val="left"/>
      </w:pPr>
      <w:r>
        <w:rPr/>
        <w:t>（</w:t>
      </w:r>
      <w:r>
        <w:rPr>
          <w:rFonts w:ascii="Times New Roman" w:hAnsi="Times New Roman" w:cs="Times New Roman" w:eastAsia="Times New Roman" w:hint="default"/>
        </w:rPr>
        <w:t>2</w:t>
      </w:r>
      <w:r>
        <w:rPr/>
        <w:t>）产品优势 公司凭借对行业的深刻理解，已构建起完备的行业智能移动信息化应用软硬件产品体系，已研发出智能移动数据终端、</w:t>
      </w:r>
    </w:p>
    <w:p>
      <w:pPr>
        <w:pStyle w:val="BodyText"/>
        <w:spacing w:line="338" w:lineRule="auto" w:before="1"/>
        <w:ind w:left="514" w:right="1134" w:hanging="360"/>
        <w:jc w:val="left"/>
      </w:pPr>
      <w:r>
        <w:rPr/>
        <w:t>智能移动支付终端、便携式扫码终端、智能移动税控机、智能</w:t>
      </w:r>
      <w:r>
        <w:rPr>
          <w:rFonts w:ascii="Times New Roman" w:hAnsi="Times New Roman" w:cs="Times New Roman" w:eastAsia="Times New Roman" w:hint="default"/>
        </w:rPr>
        <w:t>3D</w:t>
      </w:r>
      <w:r>
        <w:rPr/>
        <w:t>测量仪、智能物流一体机等多个智能终端产品系列。 公司提供的软硬件一体化解决方案聚焦于</w:t>
      </w:r>
      <w:r>
        <w:rPr>
          <w:rFonts w:ascii="Times New Roman" w:hAnsi="Times New Roman" w:cs="Times New Roman" w:eastAsia="Times New Roman" w:hint="default"/>
        </w:rPr>
        <w:t>“</w:t>
      </w:r>
      <w:r>
        <w:rPr/>
        <w:t>物流快递信息管理</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供应链信息管理</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质量安全溯源管理</w:t>
      </w:r>
      <w:r>
        <w:rPr>
          <w:rFonts w:ascii="Times New Roman" w:hAnsi="Times New Roman" w:cs="Times New Roman" w:eastAsia="Times New Roman" w:hint="default"/>
        </w:rPr>
        <w:t>”</w:t>
      </w:r>
      <w:r>
        <w:rPr/>
        <w:t>、</w:t>
      </w:r>
      <w:r>
        <w:rPr>
          <w:rFonts w:ascii="Times New Roman" w:hAnsi="Times New Roman" w:cs="Times New Roman" w:eastAsia="Times New Roman" w:hint="default"/>
        </w:rPr>
        <w:t>“</w:t>
      </w:r>
      <w:r>
        <w:rPr/>
        <w:t>移动销售</w:t>
      </w:r>
    </w:p>
    <w:p>
      <w:pPr>
        <w:pStyle w:val="BodyText"/>
        <w:spacing w:line="231" w:lineRule="exact"/>
        <w:ind w:right="0"/>
        <w:jc w:val="both"/>
      </w:pPr>
      <w:r>
        <w:rPr>
          <w:spacing w:val="-3"/>
        </w:rPr>
        <w:t>管理</w:t>
      </w:r>
      <w:r>
        <w:rPr>
          <w:rFonts w:ascii="Times New Roman" w:hAnsi="Times New Roman" w:cs="Times New Roman" w:eastAsia="Times New Roman" w:hint="default"/>
          <w:spacing w:val="-3"/>
        </w:rPr>
        <w:t>”</w:t>
      </w:r>
      <w:r>
        <w:rPr>
          <w:spacing w:val="-3"/>
        </w:rPr>
        <w:t>、</w:t>
      </w:r>
      <w:r>
        <w:rPr>
          <w:rFonts w:ascii="Times New Roman" w:hAnsi="Times New Roman" w:cs="Times New Roman" w:eastAsia="Times New Roman" w:hint="default"/>
          <w:spacing w:val="-3"/>
        </w:rPr>
        <w:t>“</w:t>
      </w:r>
      <w:r>
        <w:rPr>
          <w:spacing w:val="-3"/>
        </w:rPr>
        <w:t>电子政务管理</w:t>
      </w:r>
      <w:r>
        <w:rPr>
          <w:rFonts w:ascii="Times New Roman" w:hAnsi="Times New Roman" w:cs="Times New Roman" w:eastAsia="Times New Roman" w:hint="default"/>
          <w:spacing w:val="-3"/>
        </w:rPr>
        <w:t>”  </w:t>
      </w:r>
      <w:r>
        <w:rPr/>
        <w:t>、</w:t>
      </w:r>
      <w:r>
        <w:rPr>
          <w:spacing w:val="-19"/>
        </w:rPr>
        <w:t> </w:t>
      </w:r>
      <w:r>
        <w:rPr>
          <w:rFonts w:ascii="Times New Roman" w:hAnsi="Times New Roman" w:cs="Times New Roman" w:eastAsia="Times New Roman" w:hint="default"/>
          <w:spacing w:val="-3"/>
        </w:rPr>
        <w:t>“</w:t>
      </w:r>
      <w:r>
        <w:rPr>
          <w:spacing w:val="-3"/>
        </w:rPr>
        <w:t>固定资产管理</w:t>
      </w:r>
      <w:r>
        <w:rPr>
          <w:rFonts w:ascii="Times New Roman" w:hAnsi="Times New Roman" w:cs="Times New Roman" w:eastAsia="Times New Roman" w:hint="default"/>
          <w:spacing w:val="-3"/>
        </w:rPr>
        <w:t>”</w:t>
      </w:r>
      <w:r>
        <w:rPr>
          <w:spacing w:val="-3"/>
        </w:rPr>
        <w:t>、</w:t>
      </w:r>
      <w:r>
        <w:rPr>
          <w:rFonts w:ascii="Times New Roman" w:hAnsi="Times New Roman" w:cs="Times New Roman" w:eastAsia="Times New Roman" w:hint="default"/>
          <w:spacing w:val="-3"/>
        </w:rPr>
        <w:t>“</w:t>
      </w:r>
      <w:r>
        <w:rPr>
          <w:spacing w:val="-3"/>
        </w:rPr>
        <w:t>智能移动支付</w:t>
      </w:r>
      <w:r>
        <w:rPr>
          <w:rFonts w:ascii="Times New Roman" w:hAnsi="Times New Roman" w:cs="Times New Roman" w:eastAsia="Times New Roman" w:hint="default"/>
          <w:spacing w:val="-3"/>
        </w:rPr>
        <w:t>”</w:t>
      </w:r>
      <w:r>
        <w:rPr>
          <w:spacing w:val="-3"/>
        </w:rPr>
        <w:t>等七个核心功能领域，广泛应用于物流快递、电子商务、零售、</w:t>
      </w:r>
    </w:p>
    <w:p>
      <w:pPr>
        <w:pStyle w:val="BodyText"/>
        <w:spacing w:line="319" w:lineRule="auto" w:before="63"/>
        <w:ind w:right="1130"/>
        <w:jc w:val="both"/>
      </w:pPr>
      <w:r>
        <w:rPr>
          <w:spacing w:val="-2"/>
        </w:rPr>
        <w:t>生产制造、金融、食品医药和行政执法等多个行业领域。同时，公司产品采用模块化设计，具有较强的可扩展性，并提供开</w:t>
      </w:r>
      <w:r>
        <w:rPr>
          <w:spacing w:val="-68"/>
        </w:rPr>
        <w:t> </w:t>
      </w:r>
      <w:r>
        <w:rPr>
          <w:spacing w:val="-68"/>
        </w:rPr>
      </w:r>
      <w:r>
        <w:rPr/>
        <w:t>发包，供用户做进一步的功能扩展。</w:t>
      </w:r>
    </w:p>
    <w:p>
      <w:pPr>
        <w:pStyle w:val="BodyText"/>
        <w:spacing w:line="300" w:lineRule="auto" w:before="55"/>
        <w:ind w:left="514" w:right="1032"/>
        <w:jc w:val="left"/>
      </w:pPr>
      <w:r>
        <w:rPr/>
        <w:t>（</w:t>
      </w:r>
      <w:r>
        <w:rPr>
          <w:rFonts w:ascii="Times New Roman" w:hAnsi="Times New Roman" w:cs="Times New Roman" w:eastAsia="Times New Roman" w:hint="default"/>
        </w:rPr>
        <w:t>3</w:t>
      </w:r>
      <w:r>
        <w:rPr/>
        <w:t>）定制化优势 公司非常注重满足客户的个性化需求，拥有为客户提供定制化解决方案的能力。公司的技术研发团队根据客户的需求，</w:t>
      </w:r>
    </w:p>
    <w:p>
      <w:pPr>
        <w:pStyle w:val="BodyText"/>
        <w:spacing w:line="316" w:lineRule="auto" w:before="31"/>
        <w:ind w:right="1132"/>
        <w:jc w:val="both"/>
      </w:pPr>
      <w:r>
        <w:rPr>
          <w:spacing w:val="-2"/>
        </w:rPr>
        <w:t>设计和开发出个性化的系统解决方案及软硬件产品，与标准化产品相比，定制化产品和服务不仅更贴近客户的业务流程，令</w:t>
      </w:r>
      <w:r>
        <w:rPr>
          <w:spacing w:val="-66"/>
        </w:rPr>
        <w:t> </w:t>
      </w:r>
      <w:r>
        <w:rPr>
          <w:spacing w:val="-66"/>
        </w:rPr>
      </w:r>
      <w:r>
        <w:rPr/>
        <w:t>其更具市场竞争优势，而且加强了公司与客户合作的深度和广度，有利于建立长期稳定的客户关系。</w:t>
      </w:r>
    </w:p>
    <w:p>
      <w:pPr>
        <w:pStyle w:val="Heading4"/>
        <w:spacing w:line="240" w:lineRule="auto" w:before="19"/>
        <w:ind w:right="1134"/>
        <w:jc w:val="left"/>
        <w:rPr>
          <w:b w:val="0"/>
          <w:bCs w:val="0"/>
        </w:rPr>
      </w:pPr>
      <w:r>
        <w:rPr>
          <w:rFonts w:ascii="Times New Roman" w:hAnsi="Times New Roman" w:cs="Times New Roman" w:eastAsia="Times New Roman" w:hint="default"/>
        </w:rPr>
        <w:t>2</w:t>
      </w:r>
      <w:r>
        <w:rPr/>
        <w:t>、市场优势</w:t>
      </w:r>
      <w:r>
        <w:rPr>
          <w:b w:val="0"/>
          <w:bCs w:val="0"/>
        </w:rPr>
      </w:r>
    </w:p>
    <w:p>
      <w:pPr>
        <w:pStyle w:val="BodyText"/>
        <w:spacing w:line="300" w:lineRule="auto" w:before="63"/>
        <w:ind w:left="514" w:right="0"/>
        <w:jc w:val="left"/>
      </w:pPr>
      <w:r>
        <w:rPr/>
        <w:t>（</w:t>
      </w:r>
      <w:r>
        <w:rPr>
          <w:rFonts w:ascii="Times New Roman" w:hAnsi="Times New Roman" w:cs="Times New Roman" w:eastAsia="Times New Roman" w:hint="default"/>
        </w:rPr>
        <w:t>1</w:t>
      </w:r>
      <w:r>
        <w:rPr/>
        <w:t>）行业先发优势 </w:t>
      </w:r>
      <w:r>
        <w:rPr>
          <w:spacing w:val="-2"/>
        </w:rPr>
        <w:t>公司是国内行业智能移动信息化应用领域的先行者。公司成立之初即服务于物流快递企业，是国内最早提供行业智能移</w:t>
      </w:r>
    </w:p>
    <w:p>
      <w:pPr>
        <w:pStyle w:val="BodyText"/>
        <w:spacing w:line="316" w:lineRule="auto" w:before="31"/>
        <w:ind w:right="1129"/>
        <w:jc w:val="both"/>
      </w:pPr>
      <w:r>
        <w:rPr>
          <w:spacing w:val="-2"/>
        </w:rPr>
        <w:t>动信息化应用解决方案的企业之一，经过多年的市场培育，积累了丰富的行业经验和客户资源，与下游客户建立了稳定的合</w:t>
      </w:r>
      <w:r>
        <w:rPr>
          <w:spacing w:val="-66"/>
        </w:rPr>
        <w:t> </w:t>
      </w:r>
      <w:r>
        <w:rPr>
          <w:spacing w:val="-66"/>
        </w:rPr>
      </w:r>
      <w:r>
        <w:rPr>
          <w:spacing w:val="-2"/>
        </w:rPr>
        <w:t>作关系。报告期内，公司继续强化在物流快递和电商行业智能移动信息化方面的优势，同时，在新零售、智能制造、智慧城</w:t>
      </w:r>
      <w:r>
        <w:rPr>
          <w:spacing w:val="-67"/>
        </w:rPr>
        <w:t> </w:t>
      </w:r>
      <w:r>
        <w:rPr>
          <w:spacing w:val="-67"/>
        </w:rPr>
      </w:r>
      <w:r>
        <w:rPr/>
        <w:t>市等领域的推广也取得了新的进展，形成了多个具有行业标杆意义的典型案例。</w:t>
      </w:r>
    </w:p>
    <w:p>
      <w:pPr>
        <w:pStyle w:val="BodyText"/>
        <w:spacing w:line="300" w:lineRule="auto" w:before="19"/>
        <w:ind w:left="514" w:right="0"/>
        <w:jc w:val="left"/>
      </w:pPr>
      <w:r>
        <w:rPr/>
        <w:t>（</w:t>
      </w:r>
      <w:r>
        <w:rPr>
          <w:rFonts w:ascii="Times New Roman" w:hAnsi="Times New Roman" w:cs="Times New Roman" w:eastAsia="Times New Roman" w:hint="default"/>
        </w:rPr>
        <w:t>2</w:t>
      </w:r>
      <w:r>
        <w:rPr/>
        <w:t>）营销模式优势 </w:t>
      </w:r>
      <w:r>
        <w:rPr>
          <w:spacing w:val="-2"/>
        </w:rPr>
        <w:t>公司的产品及服务应用市场广阔。为扩大公司市场影响力和覆盖面、提高营销服务效率和质量，公司建立了以客户为中</w:t>
      </w:r>
    </w:p>
    <w:p>
      <w:pPr>
        <w:pStyle w:val="BodyText"/>
        <w:spacing w:line="319" w:lineRule="auto" w:before="31"/>
        <w:ind w:right="1130"/>
        <w:jc w:val="both"/>
      </w:pPr>
      <w:r>
        <w:rPr>
          <w:spacing w:val="-2"/>
        </w:rPr>
        <w:t>心的矩阵式营销网络。营销服务网络的横向层级架构注重技术研发与行业应用的深入结合，设置了以市场营销人员、行业专</w:t>
      </w:r>
      <w:r>
        <w:rPr>
          <w:spacing w:val="-66"/>
        </w:rPr>
        <w:t> </w:t>
      </w:r>
      <w:r>
        <w:rPr>
          <w:spacing w:val="-66"/>
        </w:rPr>
      </w:r>
      <w:r>
        <w:rPr>
          <w:spacing w:val="-2"/>
        </w:rPr>
        <w:t>家、研发人员及技术人员为核心的销售架构；纵向层级架构注重对客户的深入服务，在华南、华东、华北、西南、香港等地</w:t>
      </w:r>
      <w:r>
        <w:rPr>
          <w:spacing w:val="-72"/>
        </w:rPr>
        <w:t> </w:t>
      </w:r>
      <w:r>
        <w:rPr>
          <w:spacing w:val="-72"/>
        </w:rPr>
      </w:r>
      <w:r>
        <w:rPr>
          <w:spacing w:val="-2"/>
        </w:rPr>
        <w:t>建立了多个营销服务中心和售后网点，覆盖了公司业务的主要区域，确保了对客户需求的及时响应。同时，公司设立了海外</w:t>
      </w:r>
      <w:r>
        <w:rPr>
          <w:spacing w:val="-65"/>
        </w:rPr>
        <w:t> </w:t>
      </w:r>
      <w:r>
        <w:rPr>
          <w:spacing w:val="-65"/>
        </w:rPr>
      </w:r>
      <w:r>
        <w:rPr/>
        <w:t>事业部，负责海外市场的营销及售后服务。纵横布局的营销模式为公司维护客户资源、开发新市场提供了良好的基础。</w:t>
      </w:r>
    </w:p>
    <w:p>
      <w:pPr>
        <w:pStyle w:val="BodyText"/>
        <w:spacing w:line="300" w:lineRule="auto" w:before="17"/>
        <w:ind w:left="514" w:right="1032"/>
        <w:jc w:val="left"/>
      </w:pPr>
      <w:r>
        <w:rPr/>
        <w:t>（</w:t>
      </w:r>
      <w:r>
        <w:rPr>
          <w:rFonts w:ascii="Times New Roman" w:hAnsi="Times New Roman" w:cs="Times New Roman" w:eastAsia="Times New Roman" w:hint="default"/>
        </w:rPr>
        <w:t>3</w:t>
      </w:r>
      <w:r>
        <w:rPr/>
        <w:t>）整体服务优势 公司拥有整体化的服务能力，能为客户提供专业的软硬件一体化解决方案。公司的解决方案包括需求分析、方案设计、</w:t>
      </w:r>
    </w:p>
    <w:p>
      <w:pPr>
        <w:pStyle w:val="BodyText"/>
        <w:spacing w:line="316" w:lineRule="auto" w:before="31"/>
        <w:ind w:right="1133"/>
        <w:jc w:val="both"/>
      </w:pPr>
      <w:r>
        <w:rPr>
          <w:spacing w:val="-2"/>
        </w:rPr>
        <w:t>系统设计、硬件销售、软件开发、安装调试、客户培训、售后维护、方案优化到升级扩容等内容。一体化的服务能力增强了</w:t>
      </w:r>
      <w:r>
        <w:rPr>
          <w:spacing w:val="-72"/>
        </w:rPr>
        <w:t> </w:t>
      </w:r>
      <w:r>
        <w:rPr>
          <w:spacing w:val="-72"/>
        </w:rPr>
      </w:r>
      <w:r>
        <w:rPr/>
        <w:t>软硬件的协同性，可以更好的满足客户需求。</w:t>
      </w:r>
    </w:p>
    <w:p>
      <w:pPr>
        <w:pStyle w:val="BodyText"/>
        <w:spacing w:line="300" w:lineRule="auto" w:before="19"/>
        <w:ind w:left="514" w:right="0"/>
        <w:jc w:val="left"/>
      </w:pPr>
      <w:r>
        <w:rPr>
          <w:rFonts w:ascii="Times New Roman" w:hAnsi="Times New Roman" w:cs="Times New Roman" w:eastAsia="Times New Roman" w:hint="default"/>
          <w:b/>
          <w:bCs/>
        </w:rPr>
        <w:t>3</w:t>
      </w:r>
      <w:r>
        <w:rPr>
          <w:rFonts w:ascii="宋体" w:hAnsi="宋体" w:cs="宋体" w:eastAsia="宋体" w:hint="default"/>
          <w:b/>
          <w:bCs/>
        </w:rPr>
        <w:t>、管理团队优势</w:t>
      </w:r>
      <w:r>
        <w:rPr>
          <w:rFonts w:ascii="宋体" w:hAnsi="宋体" w:cs="宋体" w:eastAsia="宋体" w:hint="default"/>
          <w:b/>
          <w:bCs/>
          <w:w w:val="99"/>
        </w:rPr>
        <w:t> </w:t>
      </w:r>
      <w:r>
        <w:rPr>
          <w:spacing w:val="-2"/>
        </w:rPr>
        <w:t>公司管理团队拥有丰富的技术资源、行业资源及客户资源，对于研发、生产、销售等各业务环节较为熟悉，对智能移动</w:t>
      </w:r>
    </w:p>
    <w:p>
      <w:pPr>
        <w:pStyle w:val="BodyText"/>
        <w:spacing w:line="316" w:lineRule="auto" w:before="31"/>
        <w:ind w:right="1133"/>
        <w:jc w:val="both"/>
      </w:pPr>
      <w:r>
        <w:rPr>
          <w:spacing w:val="-2"/>
        </w:rPr>
        <w:t>信息化的技术发展及行业趋势有深刻的理解，有效保证了公司在技术路线选择、产品规划、行业布局等战略决策方面的前瞻</w:t>
      </w:r>
      <w:r>
        <w:rPr>
          <w:spacing w:val="-66"/>
        </w:rPr>
        <w:t> </w:t>
      </w:r>
      <w:r>
        <w:rPr>
          <w:spacing w:val="-66"/>
        </w:rPr>
      </w:r>
      <w:r>
        <w:rPr/>
        <w:t>性。</w:t>
      </w:r>
    </w:p>
    <w:p>
      <w:pPr>
        <w:pStyle w:val="BodyText"/>
        <w:spacing w:line="340" w:lineRule="auto" w:before="19"/>
        <w:ind w:left="514" w:right="0"/>
        <w:jc w:val="left"/>
      </w:pPr>
      <w:r>
        <w:rPr>
          <w:rFonts w:ascii="Times New Roman" w:hAnsi="Times New Roman" w:cs="Times New Roman" w:eastAsia="Times New Roman" w:hint="default"/>
          <w:b/>
          <w:bCs/>
        </w:rPr>
        <w:t>4</w:t>
      </w:r>
      <w:r>
        <w:rPr>
          <w:rFonts w:ascii="宋体" w:hAnsi="宋体" w:cs="宋体" w:eastAsia="宋体" w:hint="default"/>
          <w:b/>
          <w:bCs/>
        </w:rPr>
        <w:t>、资本市场优势</w:t>
      </w:r>
      <w:r>
        <w:rPr>
          <w:rFonts w:ascii="宋体" w:hAnsi="宋体" w:cs="宋体" w:eastAsia="宋体" w:hint="default"/>
          <w:b/>
          <w:bCs/>
          <w:w w:val="99"/>
        </w:rPr>
        <w:t> </w:t>
      </w:r>
      <w:r>
        <w:rPr>
          <w:spacing w:val="-1"/>
        </w:rPr>
        <w:t>公司在创业板成功上市后，目前仍是国内同行中少数拥有资本市场支持的公司之一，国内资本市场的改革，尤其是</w:t>
      </w:r>
      <w:r>
        <w:rPr>
          <w:rFonts w:ascii="Times New Roman" w:hAnsi="Times New Roman" w:cs="Times New Roman" w:eastAsia="Times New Roman" w:hint="default"/>
          <w:spacing w:val="-1"/>
        </w:rPr>
        <w:t>A</w:t>
      </w:r>
      <w:r>
        <w:rPr>
          <w:spacing w:val="-1"/>
        </w:rPr>
        <w:t>股</w:t>
      </w:r>
    </w:p>
    <w:p>
      <w:pPr>
        <w:pStyle w:val="BodyText"/>
        <w:spacing w:line="213" w:lineRule="exact"/>
        <w:ind w:right="0"/>
        <w:jc w:val="both"/>
      </w:pPr>
      <w:r>
        <w:rPr/>
        <w:t>上市公司再融资制度的不断完善，能够为公司未来的业务发展和战略实施提供资金保障。公司将围绕未来战略发展规划，充</w:t>
      </w:r>
    </w:p>
    <w:p>
      <w:pPr>
        <w:pStyle w:val="BodyText"/>
        <w:spacing w:line="319" w:lineRule="auto" w:before="76"/>
        <w:ind w:right="1131"/>
        <w:jc w:val="both"/>
      </w:pPr>
      <w:r>
        <w:rPr>
          <w:spacing w:val="-2"/>
        </w:rPr>
        <w:t>分发挥公司资本市场优势，以市值促进产业发展、以产业发展夯实市值基础的方式，将公司推入一个产融结合、快速扩张的</w:t>
      </w:r>
      <w:r>
        <w:rPr>
          <w:spacing w:val="-66"/>
        </w:rPr>
        <w:t> </w:t>
      </w:r>
      <w:r>
        <w:rPr>
          <w:spacing w:val="-66"/>
        </w:rPr>
      </w:r>
      <w:r>
        <w:rPr/>
        <w:t>良性发展通道。</w:t>
      </w:r>
    </w:p>
    <w:p>
      <w:pPr>
        <w:spacing w:after="0" w:line="319" w:lineRule="auto"/>
        <w:jc w:val="both"/>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3"/>
          <w:szCs w:val="23"/>
        </w:rPr>
      </w:pPr>
    </w:p>
    <w:p>
      <w:pPr>
        <w:pStyle w:val="Heading1"/>
        <w:spacing w:line="240" w:lineRule="auto"/>
        <w:ind w:left="2966" w:right="1134"/>
        <w:jc w:val="left"/>
        <w:rPr>
          <w:b w:val="0"/>
          <w:bCs w:val="0"/>
        </w:rPr>
      </w:pPr>
      <w:bookmarkStart w:name="第四节 经营情况讨论与分析" w:id="22"/>
      <w:bookmarkEnd w:id="22"/>
      <w:r>
        <w:rPr>
          <w:b w:val="0"/>
          <w:bCs w:val="0"/>
        </w:rPr>
      </w:r>
      <w:bookmarkStart w:name="_bookmark3" w:id="23"/>
      <w:bookmarkEnd w:id="23"/>
      <w:r>
        <w:rPr>
          <w:b w:val="0"/>
          <w:bCs w:val="0"/>
        </w:rPr>
      </w:r>
      <w:r>
        <w:rPr/>
        <w:t>第四节</w:t>
      </w:r>
      <w:r>
        <w:rPr>
          <w:spacing w:val="-10"/>
        </w:rPr>
        <w:t> </w:t>
      </w:r>
      <w:r>
        <w:rPr/>
        <w:t>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both"/>
        <w:rPr>
          <w:b w:val="0"/>
          <w:bCs w:val="0"/>
        </w:rPr>
      </w:pPr>
      <w:bookmarkStart w:name="一、概述" w:id="24"/>
      <w:bookmarkEnd w:id="24"/>
      <w:r>
        <w:rPr>
          <w:b w:val="0"/>
          <w:bCs w:val="0"/>
        </w:rPr>
      </w:r>
      <w:r>
        <w:rPr/>
        <w:t>一、概述</w:t>
      </w:r>
      <w:r>
        <w:rPr>
          <w:b w:val="0"/>
          <w:bCs w:val="0"/>
        </w:rPr>
      </w:r>
    </w:p>
    <w:p>
      <w:pPr>
        <w:spacing w:line="240" w:lineRule="auto" w:before="7"/>
        <w:rPr>
          <w:rFonts w:ascii="宋体" w:hAnsi="宋体" w:cs="宋体" w:eastAsia="宋体" w:hint="default"/>
          <w:b/>
          <w:bCs/>
          <w:sz w:val="26"/>
          <w:szCs w:val="26"/>
        </w:rPr>
      </w:pPr>
    </w:p>
    <w:p>
      <w:pPr>
        <w:pStyle w:val="BodyText"/>
        <w:spacing w:line="304" w:lineRule="auto"/>
        <w:ind w:right="1032" w:firstLine="360"/>
        <w:jc w:val="left"/>
      </w:pPr>
      <w:r>
        <w:rPr>
          <w:rFonts w:ascii="Times New Roman" w:hAnsi="Times New Roman" w:cs="Times New Roman" w:eastAsia="Times New Roman" w:hint="default"/>
        </w:rPr>
        <w:t>2018</w:t>
      </w:r>
      <w:r>
        <w:rPr/>
        <w:t>年，公司坚持以客户为中心、以技术创新为驱动的发展理念，进一步加大技术创新、产品升级和新产品开发力度， </w:t>
      </w:r>
      <w:r>
        <w:rPr>
          <w:spacing w:val="-2"/>
        </w:rPr>
        <w:t>产品在新零售、公共交通等新兴行业领域的应用规模稳步增长，智能移动支付终端销售规模快速增长，海外市场的拓展成效</w:t>
      </w:r>
      <w:r>
        <w:rPr>
          <w:spacing w:val="-66"/>
        </w:rPr>
        <w:t> </w:t>
      </w:r>
      <w:r>
        <w:rPr>
          <w:spacing w:val="-66"/>
        </w:rPr>
      </w:r>
      <w:r>
        <w:rPr/>
        <w:t>显著。报告期内，公司实现营业总收入</w:t>
      </w:r>
      <w:r>
        <w:rPr>
          <w:rFonts w:ascii="Times New Roman" w:hAnsi="Times New Roman" w:cs="Times New Roman" w:eastAsia="Times New Roman" w:hint="default"/>
        </w:rPr>
        <w:t>951,939,425.66</w:t>
      </w:r>
      <w:r>
        <w:rPr/>
        <w:t>元，较上年同期增长</w:t>
      </w:r>
      <w:r>
        <w:rPr>
          <w:rFonts w:ascii="Times New Roman" w:hAnsi="Times New Roman" w:cs="Times New Roman" w:eastAsia="Times New Roman" w:hint="default"/>
        </w:rPr>
        <w:t>114.78%</w:t>
      </w:r>
      <w:r>
        <w:rPr/>
        <w:t>；实现营业利润</w:t>
      </w:r>
      <w:r>
        <w:rPr>
          <w:rFonts w:ascii="Times New Roman" w:hAnsi="Times New Roman" w:cs="Times New Roman" w:eastAsia="Times New Roman" w:hint="default"/>
        </w:rPr>
        <w:t>152,418,304.99</w:t>
      </w:r>
      <w:r>
        <w:rPr/>
        <w:t>元，较上</w:t>
      </w:r>
      <w:r>
        <w:rPr>
          <w:spacing w:val="-19"/>
        </w:rPr>
        <w:t> </w:t>
      </w:r>
      <w:r>
        <w:rPr>
          <w:spacing w:val="-19"/>
        </w:rPr>
      </w:r>
      <w:r>
        <w:rPr>
          <w:spacing w:val="14"/>
        </w:rPr>
        <w:t>年同期增长</w:t>
      </w:r>
      <w:r>
        <w:rPr>
          <w:spacing w:val="-71"/>
        </w:rPr>
        <w:t> </w:t>
      </w:r>
      <w:r>
        <w:rPr>
          <w:rFonts w:ascii="Times New Roman" w:hAnsi="Times New Roman" w:cs="Times New Roman" w:eastAsia="Times New Roman" w:hint="default"/>
        </w:rPr>
        <w:t>157.20%</w:t>
      </w:r>
      <w:r>
        <w:rPr/>
        <w:t>；</w:t>
      </w:r>
      <w:r>
        <w:rPr>
          <w:spacing w:val="-72"/>
        </w:rPr>
        <w:t> </w:t>
      </w:r>
      <w:r>
        <w:rPr>
          <w:spacing w:val="13"/>
        </w:rPr>
        <w:t>实现净利润</w:t>
      </w:r>
      <w:r>
        <w:rPr>
          <w:spacing w:val="-70"/>
        </w:rPr>
        <w:t> </w:t>
      </w:r>
      <w:r>
        <w:rPr>
          <w:rFonts w:ascii="Times New Roman" w:hAnsi="Times New Roman" w:cs="Times New Roman" w:eastAsia="Times New Roman" w:hint="default"/>
        </w:rPr>
        <w:t>130,522,436.45</w:t>
      </w:r>
      <w:r>
        <w:rPr>
          <w:rFonts w:ascii="Times New Roman" w:hAnsi="Times New Roman" w:cs="Times New Roman" w:eastAsia="Times New Roman" w:hint="default"/>
          <w:spacing w:val="8"/>
        </w:rPr>
        <w:t> </w:t>
      </w:r>
      <w:r>
        <w:rPr>
          <w:spacing w:val="8"/>
        </w:rPr>
        <w:t>元，</w:t>
      </w:r>
      <w:r>
        <w:rPr>
          <w:spacing w:val="-73"/>
        </w:rPr>
        <w:t> </w:t>
      </w:r>
      <w:r>
        <w:rPr>
          <w:spacing w:val="14"/>
        </w:rPr>
        <w:t>较上年同期增长</w:t>
      </w:r>
      <w:r>
        <w:rPr>
          <w:spacing w:val="-71"/>
        </w:rPr>
        <w:t> </w:t>
      </w:r>
      <w:r>
        <w:rPr>
          <w:rFonts w:ascii="Times New Roman" w:hAnsi="Times New Roman" w:cs="Times New Roman" w:eastAsia="Times New Roman" w:hint="default"/>
          <w:spacing w:val="2"/>
        </w:rPr>
        <w:t>135.96%</w:t>
      </w:r>
      <w:r>
        <w:rPr>
          <w:spacing w:val="2"/>
        </w:rPr>
        <w:t>；</w:t>
      </w:r>
      <w:r>
        <w:rPr>
          <w:spacing w:val="-72"/>
        </w:rPr>
        <w:t> </w:t>
      </w:r>
      <w:r>
        <w:rPr>
          <w:spacing w:val="15"/>
        </w:rPr>
        <w:t>实现归属于上市公司股东的净利润</w:t>
      </w:r>
      <w:r>
        <w:rPr>
          <w:spacing w:val="-80"/>
        </w:rPr>
        <w:t> </w:t>
      </w:r>
      <w:r>
        <w:rPr>
          <w:spacing w:val="-80"/>
        </w:rPr>
      </w:r>
      <w:r>
        <w:rPr>
          <w:rFonts w:ascii="Times New Roman" w:hAnsi="Times New Roman" w:cs="Times New Roman" w:eastAsia="Times New Roman" w:hint="default"/>
        </w:rPr>
        <w:t>117,250,420.08</w:t>
      </w:r>
      <w:r>
        <w:rPr>
          <w:rFonts w:ascii="Times New Roman" w:hAnsi="Times New Roman" w:cs="Times New Roman" w:eastAsia="Times New Roman" w:hint="default"/>
          <w:spacing w:val="23"/>
        </w:rPr>
        <w:t> </w:t>
      </w:r>
      <w:r>
        <w:rPr/>
        <w:t>元，较上年同期增长</w:t>
      </w:r>
      <w:r>
        <w:rPr>
          <w:rFonts w:ascii="Times New Roman" w:hAnsi="Times New Roman" w:cs="Times New Roman" w:eastAsia="Times New Roman" w:hint="default"/>
        </w:rPr>
        <w:t>141.19%</w:t>
      </w:r>
      <w:r>
        <w:rPr/>
        <w:t>；公司基本每股收益为</w:t>
      </w:r>
      <w:r>
        <w:rPr>
          <w:rFonts w:ascii="Times New Roman" w:hAnsi="Times New Roman" w:cs="Times New Roman" w:eastAsia="Times New Roman" w:hint="default"/>
        </w:rPr>
        <w:t>0.42</w:t>
      </w:r>
      <w:r>
        <w:rPr/>
        <w:t>元，较上年同期增长</w:t>
      </w:r>
      <w:r>
        <w:rPr>
          <w:rFonts w:ascii="Times New Roman" w:hAnsi="Times New Roman" w:cs="Times New Roman" w:eastAsia="Times New Roman" w:hint="default"/>
        </w:rPr>
        <w:t>147.06%</w:t>
      </w:r>
      <w:r>
        <w:rPr/>
        <w:t>。</w:t>
      </w:r>
    </w:p>
    <w:p>
      <w:pPr>
        <w:pStyle w:val="BodyText"/>
        <w:spacing w:line="240" w:lineRule="auto" w:before="48"/>
        <w:ind w:left="514" w:right="1134"/>
        <w:jc w:val="left"/>
      </w:pPr>
      <w:r>
        <w:rPr/>
        <w:t>报告期内主要经营工作情况如下：</w:t>
      </w:r>
    </w:p>
    <w:p>
      <w:pPr>
        <w:spacing w:line="357" w:lineRule="auto" w:before="116"/>
        <w:ind w:left="514" w:right="1134" w:firstLine="1"/>
        <w:jc w:val="left"/>
        <w:rPr>
          <w:rFonts w:ascii="宋体" w:hAnsi="宋体" w:cs="宋体" w:eastAsia="宋体" w:hint="default"/>
          <w:sz w:val="18"/>
          <w:szCs w:val="18"/>
        </w:rPr>
      </w:pPr>
      <w:r>
        <w:rPr>
          <w:rFonts w:ascii="宋体" w:hAnsi="宋体" w:cs="宋体" w:eastAsia="宋体" w:hint="default"/>
          <w:b/>
          <w:bCs/>
          <w:sz w:val="18"/>
          <w:szCs w:val="18"/>
        </w:rPr>
        <w:t>（一）技术和产品加速迭代创新，不断完善产品质量体系建设</w:t>
      </w:r>
      <w:r>
        <w:rPr>
          <w:rFonts w:ascii="宋体" w:hAnsi="宋体" w:cs="宋体" w:eastAsia="宋体" w:hint="default"/>
          <w:b/>
          <w:bCs/>
          <w:w w:val="99"/>
          <w:sz w:val="18"/>
          <w:szCs w:val="18"/>
        </w:rPr>
        <w:t> </w:t>
      </w:r>
      <w:r>
        <w:rPr>
          <w:rFonts w:ascii="宋体" w:hAnsi="宋体" w:cs="宋体" w:eastAsia="宋体" w:hint="default"/>
          <w:sz w:val="18"/>
          <w:szCs w:val="18"/>
        </w:rPr>
        <w:t>报告期内，公司基于原有的智能移动应用软硬件核心技术，进一步深化了对人工智能、</w:t>
      </w:r>
      <w:r>
        <w:rPr>
          <w:rFonts w:ascii="Times New Roman" w:hAnsi="Times New Roman" w:cs="Times New Roman" w:eastAsia="Times New Roman" w:hint="default"/>
          <w:sz w:val="18"/>
          <w:szCs w:val="18"/>
        </w:rPr>
        <w:t>RFID</w:t>
      </w:r>
      <w:r>
        <w:rPr>
          <w:rFonts w:ascii="宋体" w:hAnsi="宋体" w:cs="宋体" w:eastAsia="宋体" w:hint="default"/>
          <w:sz w:val="18"/>
          <w:szCs w:val="18"/>
        </w:rPr>
        <w:t>、数字认证、生物识别、</w:t>
      </w:r>
    </w:p>
    <w:p>
      <w:pPr>
        <w:pStyle w:val="BodyText"/>
        <w:spacing w:line="201" w:lineRule="exact"/>
        <w:ind w:right="0"/>
        <w:jc w:val="both"/>
      </w:pPr>
      <w:r>
        <w:rPr/>
        <w:t>机器视觉、大数据及云计算、移动信息安全等行业智能应用新技术的研究，并着力于物流信息化、智能支付、智能仓储等相</w:t>
      </w:r>
    </w:p>
    <w:p>
      <w:pPr>
        <w:pStyle w:val="BodyText"/>
        <w:spacing w:line="309" w:lineRule="auto" w:before="76"/>
        <w:ind w:right="1127"/>
        <w:jc w:val="both"/>
      </w:pPr>
      <w:r>
        <w:rPr>
          <w:spacing w:val="-2"/>
        </w:rPr>
        <w:t>关技术研究和产品开发，继续巩固在物流快递、新零售行业的优势，积极向智能仓储、智慧交通、智能制造、产品溯源、行</w:t>
      </w:r>
      <w:r>
        <w:rPr>
          <w:spacing w:val="-71"/>
        </w:rPr>
        <w:t> </w:t>
      </w:r>
      <w:r>
        <w:rPr>
          <w:spacing w:val="-71"/>
        </w:rPr>
      </w:r>
      <w:r>
        <w:rPr/>
        <w:t>政执法等新兴领域拓展。报告期内，公司自主研发的智能移动支付终端</w:t>
      </w:r>
      <w:r>
        <w:rPr>
          <w:rFonts w:ascii="Times New Roman" w:hAnsi="Times New Roman" w:cs="Times New Roman" w:eastAsia="Times New Roman" w:hint="default"/>
        </w:rPr>
        <w:t>i9000S</w:t>
      </w:r>
      <w:r>
        <w:rPr/>
        <w:t>获得了中国物联网产业应用联盟评选的</w:t>
      </w:r>
      <w:r>
        <w:rPr>
          <w:rFonts w:ascii="Times New Roman" w:hAnsi="Times New Roman" w:cs="Times New Roman" w:eastAsia="Times New Roman" w:hint="default"/>
        </w:rPr>
        <w:t>“</w:t>
      </w:r>
      <w:r>
        <w:rPr/>
        <w:t>最有</w:t>
      </w:r>
      <w:r>
        <w:rPr>
          <w:spacing w:val="-42"/>
        </w:rPr>
        <w:t> </w:t>
      </w:r>
      <w:r>
        <w:rPr/>
        <w:t>影响力手持终端创新产品奖</w:t>
      </w:r>
      <w:r>
        <w:rPr>
          <w:rFonts w:ascii="Times New Roman" w:hAnsi="Times New Roman" w:cs="Times New Roman" w:eastAsia="Times New Roman" w:hint="default"/>
        </w:rPr>
        <w:t>”</w:t>
      </w:r>
      <w:r>
        <w:rPr/>
        <w:t>，智能仓储机器人已应用于深圳市公安局项目中。</w:t>
      </w:r>
    </w:p>
    <w:p>
      <w:pPr>
        <w:pStyle w:val="BodyText"/>
        <w:spacing w:line="309" w:lineRule="auto" w:before="43"/>
        <w:ind w:right="1032" w:firstLine="360"/>
        <w:jc w:val="left"/>
      </w:pPr>
      <w:r>
        <w:rPr/>
        <w:t>报告期内，随着产销量快速增长，公司新建一条自动化生产线，产能大幅提升。与此同时，公司通过构建由来料管控、 </w:t>
      </w:r>
      <w:r>
        <w:rPr>
          <w:spacing w:val="-2"/>
        </w:rPr>
        <w:t>制程管控、研发管控、认证资质体系以及实验室检测和售后六大部分组成的整体质量管控体系，实现从来料到产品交付的全</w:t>
      </w:r>
      <w:r>
        <w:rPr>
          <w:spacing w:val="-65"/>
        </w:rPr>
        <w:t> </w:t>
      </w:r>
      <w:r>
        <w:rPr>
          <w:spacing w:val="-65"/>
        </w:rPr>
      </w:r>
      <w:r>
        <w:rPr/>
        <w:t>程品质保证。通过推行</w:t>
      </w:r>
      <w:r>
        <w:rPr>
          <w:rFonts w:ascii="Times New Roman" w:hAnsi="Times New Roman" w:cs="Times New Roman" w:eastAsia="Times New Roman" w:hint="default"/>
        </w:rPr>
        <w:t>“</w:t>
      </w:r>
      <w:r>
        <w:rPr/>
        <w:t>品质活动月</w:t>
      </w:r>
      <w:r>
        <w:rPr>
          <w:rFonts w:ascii="Times New Roman" w:hAnsi="Times New Roman" w:cs="Times New Roman" w:eastAsia="Times New Roman" w:hint="default"/>
        </w:rPr>
        <w:t>”</w:t>
      </w:r>
      <w:r>
        <w:rPr/>
        <w:t>活动，在全公司强化质量文化，通过长期展示和定期组织学习</w:t>
      </w:r>
      <w:r>
        <w:rPr>
          <w:rFonts w:ascii="Times New Roman" w:hAnsi="Times New Roman" w:cs="Times New Roman" w:eastAsia="Times New Roman" w:hint="default"/>
        </w:rPr>
        <w:t>“</w:t>
      </w:r>
      <w:r>
        <w:rPr/>
        <w:t>改良改善</w:t>
      </w:r>
      <w:r>
        <w:rPr>
          <w:rFonts w:ascii="Times New Roman" w:hAnsi="Times New Roman" w:cs="Times New Roman" w:eastAsia="Times New Roman" w:hint="default"/>
        </w:rPr>
        <w:t>”</w:t>
      </w:r>
      <w:r>
        <w:rPr/>
        <w:t>专题公示、</w:t>
      </w:r>
      <w:r>
        <w:rPr>
          <w:rFonts w:ascii="Times New Roman" w:hAnsi="Times New Roman" w:cs="Times New Roman" w:eastAsia="Times New Roman" w:hint="default"/>
        </w:rPr>
        <w:t>5S</w:t>
      </w:r>
      <w:r>
        <w:rPr>
          <w:rFonts w:ascii="Times New Roman" w:hAnsi="Times New Roman" w:cs="Times New Roman" w:eastAsia="Times New Roman" w:hint="default"/>
          <w:w w:val="99"/>
        </w:rPr>
        <w:t> </w:t>
      </w:r>
      <w:r>
        <w:rPr/>
        <w:t>巡查记录管理公示、生产和品质管理公示、</w:t>
      </w:r>
      <w:r>
        <w:rPr>
          <w:rFonts w:ascii="Times New Roman" w:hAnsi="Times New Roman" w:cs="Times New Roman" w:eastAsia="Times New Roman" w:hint="default"/>
        </w:rPr>
        <w:t>ISO</w:t>
      </w:r>
      <w:r>
        <w:rPr/>
        <w:t>宣传公示的方式，以及实行</w:t>
      </w:r>
      <w:r>
        <w:rPr>
          <w:rFonts w:ascii="Times New Roman" w:hAnsi="Times New Roman" w:cs="Times New Roman" w:eastAsia="Times New Roman" w:hint="default"/>
        </w:rPr>
        <w:t>“</w:t>
      </w:r>
      <w:r>
        <w:rPr/>
        <w:t>品质</w:t>
      </w:r>
      <w:r>
        <w:rPr>
          <w:rFonts w:ascii="Times New Roman" w:hAnsi="Times New Roman" w:cs="Times New Roman" w:eastAsia="Times New Roman" w:hint="default"/>
        </w:rPr>
        <w:t>PDCA</w:t>
      </w:r>
      <w:r>
        <w:rPr/>
        <w:t>管理循环八步骤</w:t>
      </w:r>
      <w:r>
        <w:rPr>
          <w:rFonts w:ascii="Times New Roman" w:hAnsi="Times New Roman" w:cs="Times New Roman" w:eastAsia="Times New Roman" w:hint="default"/>
        </w:rPr>
        <w:t>”</w:t>
      </w:r>
      <w:r>
        <w:rPr/>
        <w:t>的管理办法，来落</w:t>
      </w:r>
      <w:r>
        <w:rPr>
          <w:spacing w:val="-30"/>
        </w:rPr>
        <w:t> </w:t>
      </w:r>
      <w:r>
        <w:rPr/>
        <w:t>实</w:t>
      </w:r>
      <w:r>
        <w:rPr>
          <w:rFonts w:ascii="Times New Roman" w:hAnsi="Times New Roman" w:cs="Times New Roman" w:eastAsia="Times New Roman" w:hint="default"/>
        </w:rPr>
        <w:t>“</w:t>
      </w:r>
      <w:r>
        <w:rPr/>
        <w:t>全员参与、提升品质、顾客满意、持续发展</w:t>
      </w:r>
      <w:r>
        <w:rPr>
          <w:rFonts w:ascii="Times New Roman" w:hAnsi="Times New Roman" w:cs="Times New Roman" w:eastAsia="Times New Roman" w:hint="default"/>
        </w:rPr>
        <w:t>”</w:t>
      </w:r>
      <w:r>
        <w:rPr/>
        <w:t>的质量方针。</w:t>
      </w:r>
    </w:p>
    <w:p>
      <w:pPr>
        <w:spacing w:line="357" w:lineRule="auto" w:before="44"/>
        <w:ind w:left="514" w:right="0" w:firstLine="1"/>
        <w:jc w:val="left"/>
        <w:rPr>
          <w:rFonts w:ascii="宋体" w:hAnsi="宋体" w:cs="宋体" w:eastAsia="宋体" w:hint="default"/>
          <w:sz w:val="18"/>
          <w:szCs w:val="18"/>
        </w:rPr>
      </w:pPr>
      <w:r>
        <w:rPr>
          <w:rFonts w:ascii="宋体" w:hAnsi="宋体" w:cs="宋体" w:eastAsia="宋体" w:hint="default"/>
          <w:b/>
          <w:bCs/>
          <w:sz w:val="18"/>
          <w:szCs w:val="18"/>
        </w:rPr>
        <w:t>（二）持续完善市场营销和服务网络，海外市场销量保持快速增长</w:t>
      </w:r>
      <w:r>
        <w:rPr>
          <w:rFonts w:ascii="宋体" w:hAnsi="宋体" w:cs="宋体" w:eastAsia="宋体" w:hint="default"/>
          <w:b/>
          <w:bCs/>
          <w:w w:val="99"/>
          <w:sz w:val="18"/>
          <w:szCs w:val="18"/>
        </w:rPr>
        <w:t> </w:t>
      </w:r>
      <w:r>
        <w:rPr>
          <w:rFonts w:ascii="宋体" w:hAnsi="宋体" w:cs="宋体" w:eastAsia="宋体" w:hint="default"/>
          <w:spacing w:val="-2"/>
          <w:sz w:val="18"/>
          <w:szCs w:val="18"/>
        </w:rPr>
        <w:t>报告期内，公司继续完善国内外营销和服务网络布局，提升服务水平和服务效率，进一步加强渠道管理，推进渠道销售</w:t>
      </w:r>
    </w:p>
    <w:p>
      <w:pPr>
        <w:pStyle w:val="BodyText"/>
        <w:spacing w:line="224" w:lineRule="exact"/>
        <w:ind w:right="0"/>
        <w:jc w:val="both"/>
      </w:pPr>
      <w:r>
        <w:rPr/>
        <w:t>的规范化、标准化。报告期内，公司参加了美国零售业联盟展、中国医院协会信息网络大会、第十届国际物联网博览会、全</w:t>
      </w:r>
    </w:p>
    <w:p>
      <w:pPr>
        <w:pStyle w:val="BodyText"/>
        <w:spacing w:line="300" w:lineRule="auto" w:before="76"/>
        <w:ind w:right="1130"/>
        <w:jc w:val="both"/>
      </w:pPr>
      <w:r>
        <w:rPr/>
        <w:t>球供应链大会（</w:t>
      </w:r>
      <w:r>
        <w:rPr>
          <w:rFonts w:ascii="Times New Roman" w:hAnsi="Times New Roman" w:cs="Times New Roman" w:eastAsia="Times New Roman" w:hint="default"/>
        </w:rPr>
        <w:t>GLSC</w:t>
      </w:r>
      <w:r>
        <w:rPr/>
        <w:t>）、中东迪拜国际通讯及消费电子信息展</w:t>
      </w:r>
      <w:r>
        <w:rPr>
          <w:rFonts w:ascii="Times New Roman" w:hAnsi="Times New Roman" w:cs="Times New Roman" w:eastAsia="Times New Roman" w:hint="default"/>
        </w:rPr>
        <w:t>(GITEX)</w:t>
      </w:r>
      <w:r>
        <w:rPr/>
        <w:t>、第二十届中国零售业博览会、第</w:t>
      </w:r>
      <w:r>
        <w:rPr>
          <w:rFonts w:ascii="Times New Roman" w:hAnsi="Times New Roman" w:cs="Times New Roman" w:eastAsia="Times New Roman" w:hint="default"/>
        </w:rPr>
        <w:t>33</w:t>
      </w:r>
      <w:r>
        <w:rPr/>
        <w:t>届法国智能卡</w:t>
      </w:r>
      <w:r>
        <w:rPr>
          <w:spacing w:val="-43"/>
        </w:rPr>
        <w:t> </w:t>
      </w:r>
      <w:r>
        <w:rPr>
          <w:spacing w:val="-1"/>
        </w:rPr>
        <w:t>展暨法国支付及识别技术展（</w:t>
      </w:r>
      <w:r>
        <w:rPr>
          <w:rFonts w:ascii="Times New Roman" w:hAnsi="Times New Roman" w:cs="Times New Roman" w:eastAsia="Times New Roman" w:hint="default"/>
          <w:spacing w:val="-1"/>
        </w:rPr>
        <w:t>Trusttech</w:t>
      </w:r>
      <w:r>
        <w:rPr>
          <w:spacing w:val="-1"/>
        </w:rPr>
        <w:t>）、</w:t>
      </w:r>
      <w:r>
        <w:rPr>
          <w:rFonts w:ascii="Times New Roman" w:hAnsi="Times New Roman" w:cs="Times New Roman" w:eastAsia="Times New Roman" w:hint="default"/>
          <w:spacing w:val="-1"/>
        </w:rPr>
        <w:t>2018</w:t>
      </w:r>
      <w:r>
        <w:rPr>
          <w:spacing w:val="-1"/>
        </w:rPr>
        <w:t>亿邦未来零售大会、第八届中国电子商务与物流企业家年会等国内外大型展</w:t>
      </w:r>
      <w:r>
        <w:rPr>
          <w:spacing w:val="-74"/>
        </w:rPr>
        <w:t> </w:t>
      </w:r>
      <w:r>
        <w:rPr>
          <w:spacing w:val="-74"/>
        </w:rPr>
      </w:r>
      <w:r>
        <w:rPr/>
        <w:t>会，获得了国内外参会者的瞩目。</w:t>
      </w:r>
    </w:p>
    <w:p>
      <w:pPr>
        <w:pStyle w:val="BodyText"/>
        <w:spacing w:line="300" w:lineRule="auto" w:before="70"/>
        <w:ind w:right="1130" w:firstLine="360"/>
        <w:jc w:val="both"/>
      </w:pPr>
      <w:r>
        <w:rPr>
          <w:spacing w:val="-1"/>
        </w:rPr>
        <w:t>经过前期的市场拓展和渠道建设，公司智能移动支付终端在报告期内销售额较上年同期增长</w:t>
      </w:r>
      <w:r>
        <w:rPr>
          <w:rFonts w:ascii="Times New Roman" w:hAnsi="Times New Roman" w:cs="Times New Roman" w:eastAsia="Times New Roman" w:hint="default"/>
          <w:spacing w:val="-1"/>
        </w:rPr>
        <w:t>183.98%</w:t>
      </w:r>
      <w:r>
        <w:rPr>
          <w:spacing w:val="-1"/>
        </w:rPr>
        <w:t>，在移动支付领域</w:t>
      </w:r>
      <w:r>
        <w:rPr/>
        <w:t> 的市场竞争优势逐渐显现，承担了</w:t>
      </w:r>
      <w:r>
        <w:rPr>
          <w:rFonts w:ascii="Times New Roman" w:hAnsi="Times New Roman" w:cs="Times New Roman" w:eastAsia="Times New Roman" w:hint="default"/>
        </w:rPr>
        <w:t>“</w:t>
      </w:r>
      <w:r>
        <w:rPr/>
        <w:t>建设银行</w:t>
      </w:r>
      <w:r>
        <w:rPr>
          <w:rFonts w:ascii="Times New Roman" w:hAnsi="Times New Roman" w:cs="Times New Roman" w:eastAsia="Times New Roman" w:hint="default"/>
        </w:rPr>
        <w:t>2018-2019</w:t>
      </w:r>
      <w:r>
        <w:rPr/>
        <w:t>年度全行智能</w:t>
      </w:r>
      <w:r>
        <w:rPr>
          <w:rFonts w:ascii="Times New Roman" w:hAnsi="Times New Roman" w:cs="Times New Roman" w:eastAsia="Times New Roman" w:hint="default"/>
        </w:rPr>
        <w:t>POS</w:t>
      </w:r>
      <w:r>
        <w:rPr/>
        <w:t>设备（手持式）采购项目</w:t>
      </w:r>
      <w:r>
        <w:rPr>
          <w:rFonts w:ascii="Times New Roman" w:hAnsi="Times New Roman" w:cs="Times New Roman" w:eastAsia="Times New Roman" w:hint="default"/>
        </w:rPr>
        <w:t>”</w:t>
      </w:r>
      <w:r>
        <w:rPr/>
        <w:t>，中标</w:t>
      </w:r>
      <w:r>
        <w:rPr>
          <w:rFonts w:ascii="Times New Roman" w:hAnsi="Times New Roman" w:cs="Times New Roman" w:eastAsia="Times New Roman" w:hint="default"/>
        </w:rPr>
        <w:t>“</w:t>
      </w:r>
      <w:r>
        <w:rPr/>
        <w:t>中国银联</w:t>
      </w:r>
      <w:r>
        <w:rPr>
          <w:rFonts w:ascii="Times New Roman" w:hAnsi="Times New Roman" w:cs="Times New Roman" w:eastAsia="Times New Roman" w:hint="default"/>
        </w:rPr>
        <w:t>2018</w:t>
      </w:r>
      <w:r>
        <w:rPr/>
        <w:t>年</w:t>
      </w:r>
      <w:r>
        <w:rPr>
          <w:spacing w:val="-86"/>
        </w:rPr>
        <w:t> </w:t>
      </w:r>
      <w:r>
        <w:rPr/>
        <w:t>基于</w:t>
      </w:r>
      <w:r>
        <w:rPr>
          <w:rFonts w:ascii="Times New Roman" w:hAnsi="Times New Roman" w:cs="Times New Roman" w:eastAsia="Times New Roman" w:hint="default"/>
        </w:rPr>
        <w:t>TEE</w:t>
      </w:r>
      <w:r>
        <w:rPr/>
        <w:t>手机</w:t>
      </w:r>
      <w:r>
        <w:rPr>
          <w:rFonts w:ascii="Times New Roman" w:hAnsi="Times New Roman" w:cs="Times New Roman" w:eastAsia="Times New Roman" w:hint="default"/>
        </w:rPr>
        <w:t>POS</w:t>
      </w:r>
      <w:r>
        <w:rPr/>
        <w:t>系统开发服务采购项目</w:t>
      </w:r>
      <w:r>
        <w:rPr>
          <w:rFonts w:ascii="Times New Roman" w:hAnsi="Times New Roman" w:cs="Times New Roman" w:eastAsia="Times New Roman" w:hint="default"/>
        </w:rPr>
        <w:t>”</w:t>
      </w:r>
      <w:r>
        <w:rPr/>
        <w:t>，为中国银联手机</w:t>
      </w:r>
      <w:r>
        <w:rPr>
          <w:rFonts w:ascii="Times New Roman" w:hAnsi="Times New Roman" w:cs="Times New Roman" w:eastAsia="Times New Roman" w:hint="default"/>
        </w:rPr>
        <w:t>POS</w:t>
      </w:r>
      <w:r>
        <w:rPr/>
        <w:t>平台提供技术服务。</w:t>
      </w:r>
    </w:p>
    <w:p>
      <w:pPr>
        <w:pStyle w:val="BodyText"/>
        <w:spacing w:line="319" w:lineRule="auto" w:before="51"/>
        <w:ind w:right="1131" w:firstLine="360"/>
        <w:jc w:val="both"/>
      </w:pPr>
      <w:r>
        <w:rPr>
          <w:spacing w:val="-2"/>
        </w:rPr>
        <w:t>面向海外市场，公司加大新产品研发、市场拓展和技术支持及维护方面的投入，品牌知名度和认可度快速提升。报告期</w:t>
      </w:r>
      <w:r>
        <w:rPr/>
        <w:t> </w:t>
      </w:r>
      <w:r>
        <w:rPr>
          <w:spacing w:val="-2"/>
        </w:rPr>
        <w:t>内，在国际环境不确定性风险持续上升的情况下，公司通过采取有针对性的市场策略，实现了海外市场销售额高速增长，较</w:t>
      </w:r>
      <w:r>
        <w:rPr>
          <w:spacing w:val="-66"/>
        </w:rPr>
        <w:t> </w:t>
      </w:r>
      <w:r>
        <w:rPr>
          <w:spacing w:val="-66"/>
        </w:rPr>
      </w:r>
      <w:r>
        <w:rPr/>
        <w:t>上年同期增长</w:t>
      </w:r>
      <w:r>
        <w:rPr>
          <w:rFonts w:ascii="Times New Roman" w:hAnsi="Times New Roman" w:cs="Times New Roman" w:eastAsia="Times New Roman" w:hint="default"/>
        </w:rPr>
        <w:t>361.33%</w:t>
      </w:r>
      <w:r>
        <w:rPr/>
        <w:t>，主要销售市场集中在印度、东南亚、欧洲、俄罗斯及南美洲。</w:t>
      </w:r>
    </w:p>
    <w:p>
      <w:pPr>
        <w:spacing w:line="357" w:lineRule="auto" w:before="38"/>
        <w:ind w:left="514" w:right="1032" w:firstLine="1"/>
        <w:jc w:val="left"/>
        <w:rPr>
          <w:rFonts w:ascii="宋体" w:hAnsi="宋体" w:cs="宋体" w:eastAsia="宋体" w:hint="default"/>
          <w:sz w:val="18"/>
          <w:szCs w:val="18"/>
        </w:rPr>
      </w:pPr>
      <w:r>
        <w:rPr>
          <w:rFonts w:ascii="宋体" w:hAnsi="宋体" w:cs="宋体" w:eastAsia="宋体" w:hint="default"/>
          <w:b/>
          <w:bCs/>
          <w:sz w:val="18"/>
          <w:szCs w:val="18"/>
        </w:rPr>
        <w:t>（三）建立绩效考核机制，加强人才培养</w:t>
      </w:r>
      <w:r>
        <w:rPr>
          <w:rFonts w:ascii="宋体" w:hAnsi="宋体" w:cs="宋体" w:eastAsia="宋体" w:hint="default"/>
          <w:b/>
          <w:bCs/>
          <w:w w:val="99"/>
          <w:sz w:val="18"/>
          <w:szCs w:val="18"/>
        </w:rPr>
        <w:t> </w:t>
      </w:r>
      <w:r>
        <w:rPr>
          <w:rFonts w:ascii="宋体" w:hAnsi="宋体" w:cs="宋体" w:eastAsia="宋体" w:hint="default"/>
          <w:sz w:val="18"/>
          <w:szCs w:val="18"/>
        </w:rPr>
        <w:t>报告期内，公司结合自身实际情况，正式开始实施全员绩效考核机制。绩效考核体系的建立有助于公司强化岗位责任，</w:t>
      </w:r>
    </w:p>
    <w:p>
      <w:pPr>
        <w:pStyle w:val="BodyText"/>
        <w:spacing w:line="357" w:lineRule="auto"/>
        <w:ind w:left="514" w:right="0" w:hanging="360"/>
        <w:jc w:val="left"/>
      </w:pPr>
      <w:r>
        <w:rPr>
          <w:spacing w:val="-4"/>
        </w:rPr>
        <w:t>发挥个人主观能动性，打造企业价值与员工行为方向一致的高凝聚力文化内核，最大化实现员工个人价值与企业价值的统一。</w:t>
      </w:r>
      <w:r>
        <w:rPr>
          <w:spacing w:val="-44"/>
        </w:rPr>
        <w:t> </w:t>
      </w:r>
      <w:r>
        <w:rPr>
          <w:spacing w:val="-44"/>
        </w:rPr>
      </w:r>
      <w:r>
        <w:rPr>
          <w:spacing w:val="-2"/>
        </w:rPr>
        <w:t>同时，公司继续积极推行培训计划，有效地提升了员工职业技能与素养，加强了内部人才梯队建设与培养。公司高度重</w:t>
      </w:r>
    </w:p>
    <w:p>
      <w:pPr>
        <w:pStyle w:val="BodyText"/>
        <w:spacing w:line="224" w:lineRule="exact"/>
        <w:ind w:right="0"/>
        <w:jc w:val="both"/>
      </w:pPr>
      <w:r>
        <w:rPr/>
        <w:t>视研发和创新体系的建设，自主培养了较多业务和技术骨干，并适时引入了解下游行业客户应用需求的技术人员，增强公司</w:t>
      </w:r>
    </w:p>
    <w:p>
      <w:pPr>
        <w:pStyle w:val="BodyText"/>
        <w:spacing w:line="316" w:lineRule="auto" w:before="76"/>
        <w:ind w:right="1133"/>
        <w:jc w:val="both"/>
      </w:pPr>
      <w:r>
        <w:rPr>
          <w:spacing w:val="-2"/>
        </w:rPr>
        <w:t>的研发力量。为确保研发团队的稳定性，公司在研发项目管理、员工职业生涯规划及奖励激励方面实施了多项行之有效的措</w:t>
      </w:r>
      <w:r>
        <w:rPr>
          <w:spacing w:val="-66"/>
        </w:rPr>
        <w:t> </w:t>
      </w:r>
      <w:r>
        <w:rPr>
          <w:spacing w:val="-66"/>
        </w:rPr>
      </w:r>
      <w:r>
        <w:rPr/>
        <w:t>施。</w:t>
      </w:r>
    </w:p>
    <w:p>
      <w:pPr>
        <w:spacing w:after="0" w:line="316" w:lineRule="auto"/>
        <w:jc w:val="both"/>
        <w:sectPr>
          <w:pgSz w:w="11910" w:h="16840"/>
          <w:pgMar w:header="747" w:footer="979" w:top="1060" w:bottom="1160" w:left="980" w:right="0"/>
        </w:sectPr>
      </w:pPr>
    </w:p>
    <w:p>
      <w:pPr>
        <w:spacing w:line="240" w:lineRule="auto" w:before="9"/>
        <w:rPr>
          <w:rFonts w:ascii="宋体" w:hAnsi="宋体" w:cs="宋体" w:eastAsia="宋体" w:hint="default"/>
          <w:sz w:val="23"/>
          <w:szCs w:val="23"/>
        </w:rPr>
      </w:pPr>
    </w:p>
    <w:p>
      <w:pPr>
        <w:pStyle w:val="Heading2"/>
        <w:spacing w:line="240" w:lineRule="auto" w:before="26"/>
        <w:ind w:right="1134"/>
        <w:jc w:val="left"/>
        <w:rPr>
          <w:b w:val="0"/>
          <w:bCs w:val="0"/>
        </w:rPr>
      </w:pPr>
      <w:bookmarkStart w:name="二、主营业务分析" w:id="25"/>
      <w:bookmarkEnd w:id="25"/>
      <w:r>
        <w:rPr>
          <w:b w:val="0"/>
          <w:bCs w:val="0"/>
        </w:rPr>
      </w:r>
      <w:r>
        <w:rPr/>
        <w:t>二、主营业务分析</w:t>
      </w:r>
      <w:r>
        <w:rPr>
          <w:b w:val="0"/>
          <w:bCs w:val="0"/>
        </w:rPr>
      </w:r>
    </w:p>
    <w:p>
      <w:pPr>
        <w:spacing w:line="240" w:lineRule="auto" w:before="8"/>
        <w:rPr>
          <w:rFonts w:ascii="宋体" w:hAnsi="宋体" w:cs="宋体" w:eastAsia="宋体" w:hint="default"/>
          <w:b/>
          <w:bCs/>
          <w:sz w:val="24"/>
          <w:szCs w:val="24"/>
        </w:rPr>
      </w:pPr>
    </w:p>
    <w:p>
      <w:pPr>
        <w:spacing w:line="544" w:lineRule="auto" w:before="0"/>
        <w:ind w:left="154" w:right="6472" w:firstLine="0"/>
        <w:jc w:val="left"/>
        <w:rPr>
          <w:rFonts w:ascii="宋体" w:hAnsi="宋体" w:cs="宋体" w:eastAsia="宋体" w:hint="default"/>
          <w:sz w:val="21"/>
          <w:szCs w:val="21"/>
        </w:rPr>
      </w:pPr>
      <w:bookmarkStart w:name="1、概述" w:id="26"/>
      <w:bookmarkEnd w:id="26"/>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、概述</w:t>
      </w:r>
      <w:r>
        <w:rPr>
          <w:rFonts w:ascii="宋体" w:hAnsi="宋体" w:cs="宋体" w:eastAsia="宋体" w:hint="default"/>
          <w:b/>
          <w:bCs/>
          <w:spacing w:val="1"/>
          <w:w w:val="99"/>
          <w:sz w:val="21"/>
          <w:szCs w:val="21"/>
        </w:rPr>
        <w:t> </w:t>
      </w:r>
      <w:r>
        <w:rPr>
          <w:rFonts w:ascii="宋体" w:hAnsi="宋体" w:cs="宋体" w:eastAsia="宋体" w:hint="default"/>
          <w:sz w:val="18"/>
          <w:szCs w:val="18"/>
        </w:rPr>
        <w:t>参见</w:t>
      </w:r>
      <w:r>
        <w:rPr>
          <w:rFonts w:ascii="Times New Roman" w:hAnsi="Times New Roman" w:cs="Times New Roman" w:eastAsia="Times New Roman" w:hint="default"/>
          <w:sz w:val="18"/>
          <w:szCs w:val="18"/>
        </w:rPr>
        <w:t>“</w:t>
      </w:r>
      <w:r>
        <w:rPr>
          <w:rFonts w:ascii="宋体" w:hAnsi="宋体" w:cs="宋体" w:eastAsia="宋体" w:hint="default"/>
          <w:sz w:val="18"/>
          <w:szCs w:val="18"/>
        </w:rPr>
        <w:t>经营情况讨论与分析</w:t>
      </w:r>
      <w:r>
        <w:rPr>
          <w:rFonts w:ascii="Times New Roman" w:hAnsi="Times New Roman" w:cs="Times New Roman" w:eastAsia="Times New Roman" w:hint="default"/>
          <w:sz w:val="18"/>
          <w:szCs w:val="18"/>
        </w:rPr>
        <w:t>”</w:t>
      </w:r>
      <w:r>
        <w:rPr>
          <w:rFonts w:ascii="宋体" w:hAnsi="宋体" w:cs="宋体" w:eastAsia="宋体" w:hint="default"/>
          <w:sz w:val="18"/>
          <w:szCs w:val="18"/>
        </w:rPr>
        <w:t>中的</w:t>
      </w:r>
      <w:r>
        <w:rPr>
          <w:rFonts w:ascii="Times New Roman" w:hAnsi="Times New Roman" w:cs="Times New Roman" w:eastAsia="Times New Roman" w:hint="default"/>
          <w:sz w:val="18"/>
          <w:szCs w:val="18"/>
        </w:rPr>
        <w:t>“</w:t>
      </w:r>
      <w:r>
        <w:rPr>
          <w:rFonts w:ascii="宋体" w:hAnsi="宋体" w:cs="宋体" w:eastAsia="宋体" w:hint="default"/>
          <w:sz w:val="18"/>
          <w:szCs w:val="18"/>
        </w:rPr>
        <w:t>一、概述</w:t>
      </w:r>
      <w:r>
        <w:rPr>
          <w:rFonts w:ascii="Times New Roman" w:hAnsi="Times New Roman" w:cs="Times New Roman" w:eastAsia="Times New Roman" w:hint="default"/>
          <w:sz w:val="18"/>
          <w:szCs w:val="18"/>
        </w:rPr>
        <w:t>”</w:t>
      </w:r>
      <w:r>
        <w:rPr>
          <w:rFonts w:ascii="宋体" w:hAnsi="宋体" w:cs="宋体" w:eastAsia="宋体" w:hint="default"/>
          <w:sz w:val="18"/>
          <w:szCs w:val="18"/>
        </w:rPr>
        <w:t>相关内容。 </w:t>
      </w:r>
      <w:bookmarkStart w:name="2、收入与成本" w:id="27"/>
      <w:bookmarkEnd w:id="27"/>
      <w:r>
        <w:rPr>
          <w:rFonts w:ascii="宋体" w:hAnsi="宋体" w:cs="宋体" w:eastAsia="宋体" w:hint="default"/>
          <w:sz w:val="18"/>
          <w:szCs w:val="18"/>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、收入与成本</w:t>
      </w:r>
      <w:r>
        <w:rPr>
          <w:rFonts w:ascii="宋体" w:hAnsi="宋体" w:cs="宋体" w:eastAsia="宋体" w:hint="default"/>
          <w:sz w:val="21"/>
          <w:szCs w:val="21"/>
        </w:rPr>
      </w:r>
    </w:p>
    <w:p>
      <w:pPr>
        <w:pStyle w:val="Heading3"/>
        <w:spacing w:line="240" w:lineRule="auto" w:before="28"/>
        <w:ind w:right="1134"/>
        <w:jc w:val="left"/>
        <w:rPr>
          <w:b w:val="0"/>
          <w:bCs w:val="0"/>
        </w:rPr>
      </w:pPr>
      <w:bookmarkStart w:name="（1）营业收入构成" w:id="28"/>
      <w:bookmarkEnd w:id="28"/>
      <w:r>
        <w:rPr>
          <w:b w:val="0"/>
          <w:bCs w:val="0"/>
        </w:rPr>
      </w:r>
      <w:r>
        <w:rPr/>
        <w:t>（</w:t>
      </w:r>
      <w:r>
        <w:rPr>
          <w:rFonts w:ascii="Times New Roman" w:hAnsi="Times New Roman" w:cs="Times New Roman" w:eastAsia="Times New Roman" w:hint="default"/>
        </w:rPr>
        <w:t>1</w:t>
      </w:r>
      <w:r>
        <w:rPr/>
        <w:t>）营业收入构成</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right="6972"/>
        <w:jc w:val="left"/>
      </w:pPr>
      <w:r>
        <w:rPr/>
        <w:t>公司是否需要遵守光伏产业链相关业的披露要求 否</w:t>
      </w:r>
    </w:p>
    <w:p>
      <w:pPr>
        <w:pStyle w:val="BodyText"/>
        <w:spacing w:line="338" w:lineRule="auto" w:before="26"/>
        <w:ind w:right="1393"/>
        <w:jc w:val="left"/>
      </w:pPr>
      <w:r>
        <w:rPr/>
        <w:t>公司是否需遵守《深圳证券交易所创业板行业信息披露指引第</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上市公司从事广播电影电视业务》的披露要求： 否</w:t>
      </w:r>
    </w:p>
    <w:p>
      <w:pPr>
        <w:pStyle w:val="BodyText"/>
        <w:spacing w:line="338" w:lineRule="auto" w:before="43"/>
        <w:ind w:right="1573"/>
        <w:jc w:val="left"/>
      </w:pPr>
      <w:r>
        <w:rPr/>
        <w:t>公司是否需遵守《深圳证券交易所创业板行业信息披露指引第</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上市公司从事互联网游戏业务》的披露要求： 否</w:t>
      </w:r>
    </w:p>
    <w:p>
      <w:pPr>
        <w:pStyle w:val="BodyText"/>
        <w:spacing w:line="340" w:lineRule="auto" w:before="42"/>
        <w:ind w:right="1135"/>
        <w:jc w:val="left"/>
      </w:pPr>
      <w:r>
        <w:rPr/>
        <w:t>公司是否需遵守《深圳证券交易所创业板行业信息披露指引第</w:t>
      </w:r>
      <w:r>
        <w:rPr>
          <w:spacing w:val="-45"/>
        </w:rPr>
        <w:t> </w:t>
      </w:r>
      <w:r>
        <w:rPr>
          <w:rFonts w:ascii="Times New Roman" w:hAnsi="Times New Roman" w:cs="Times New Roman" w:eastAsia="Times New Roman" w:hint="default"/>
        </w:rPr>
        <w:t>9</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w:t>
      </w:r>
      <w:r>
        <w:rPr>
          <w:spacing w:val="-46"/>
        </w:rPr>
        <w:t> </w:t>
      </w:r>
      <w:r>
        <w:rPr>
          <w:rFonts w:ascii="Times New Roman" w:hAnsi="Times New Roman" w:cs="Times New Roman" w:eastAsia="Times New Roman" w:hint="default"/>
        </w:rPr>
        <w:t>LED</w:t>
      </w:r>
      <w:r>
        <w:rPr>
          <w:rFonts w:ascii="Times New Roman" w:hAnsi="Times New Roman" w:cs="Times New Roman" w:eastAsia="Times New Roman" w:hint="default"/>
          <w:spacing w:val="-1"/>
        </w:rPr>
        <w:t> </w:t>
      </w:r>
      <w:r>
        <w:rPr/>
        <w:t>产业链相关业务》的披露要求： 否</w:t>
      </w:r>
    </w:p>
    <w:p>
      <w:pPr>
        <w:pStyle w:val="BodyText"/>
        <w:spacing w:line="338" w:lineRule="auto" w:before="40"/>
        <w:ind w:right="1664"/>
        <w:jc w:val="left"/>
      </w:pPr>
      <w:r>
        <w:rPr/>
        <w:t>公司是否需遵守《深圳证券交易所创业板行业信息披露指引第</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上市公司从事医疗器械业务》的披露要求： 否</w:t>
      </w:r>
    </w:p>
    <w:p>
      <w:pPr>
        <w:pStyle w:val="BodyText"/>
        <w:spacing w:line="338" w:lineRule="auto" w:before="43"/>
        <w:ind w:right="1663"/>
        <w:jc w:val="left"/>
      </w:pPr>
      <w:r>
        <w:rPr/>
        <w:t>公司是否需遵守《深圳证券交易所行业信息披露指引第</w:t>
      </w:r>
      <w:r>
        <w:rPr>
          <w:spacing w:val="-45"/>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上市公司从软件与信息技术服务业务》的披露要求 否</w:t>
      </w:r>
    </w:p>
    <w:p>
      <w:pPr>
        <w:pStyle w:val="BodyText"/>
        <w:spacing w:line="240" w:lineRule="auto" w:before="42"/>
        <w:ind w:right="1134"/>
        <w:jc w:val="left"/>
      </w:pPr>
      <w:r>
        <w:rPr/>
        <w:t>营业收入整体情况</w:t>
      </w:r>
    </w:p>
    <w:p>
      <w:pPr>
        <w:pStyle w:val="BodyText"/>
        <w:spacing w:line="240" w:lineRule="auto" w:before="117"/>
        <w:ind w:left="5856" w:right="1130"/>
        <w:jc w:val="right"/>
      </w:pPr>
      <w:r>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600"/>
        <w:gridCol w:w="1594"/>
        <w:gridCol w:w="1591"/>
        <w:gridCol w:w="1598"/>
        <w:gridCol w:w="1586"/>
        <w:gridCol w:w="1599"/>
      </w:tblGrid>
      <w:tr>
        <w:trPr>
          <w:trHeight w:val="206" w:hRule="exact"/>
        </w:trPr>
        <w:tc>
          <w:tcPr>
            <w:tcW w:w="1600" w:type="dxa"/>
            <w:tcBorders>
              <w:top w:val="single" w:sz="4" w:space="0" w:color="000000"/>
              <w:left w:val="single" w:sz="4" w:space="0" w:color="000000"/>
              <w:bottom w:val="nil" w:sz="6" w:space="0" w:color="auto"/>
              <w:right w:val="single" w:sz="4" w:space="0" w:color="000000"/>
            </w:tcBorders>
            <w:shd w:val="clear" w:color="auto" w:fill="D2D2D2"/>
          </w:tcPr>
          <w:p>
            <w:pPr/>
          </w:p>
        </w:tc>
        <w:tc>
          <w:tcPr>
            <w:tcW w:w="318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8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1" w:hRule="exact"/>
        </w:trPr>
        <w:tc>
          <w:tcPr>
            <w:tcW w:w="1600" w:type="dxa"/>
            <w:vMerge w:val="restart"/>
            <w:tcBorders>
              <w:top w:val="nil" w:sz="6" w:space="0" w:color="auto"/>
              <w:left w:val="single" w:sz="4" w:space="0" w:color="000000"/>
              <w:right w:val="single" w:sz="4" w:space="0" w:color="000000"/>
            </w:tcBorders>
            <w:shd w:val="clear" w:color="auto" w:fill="D2D2D2"/>
          </w:tcPr>
          <w:p>
            <w:pPr/>
          </w:p>
        </w:tc>
        <w:tc>
          <w:tcPr>
            <w:tcW w:w="3185" w:type="dxa"/>
            <w:gridSpan w:val="2"/>
            <w:vMerge/>
            <w:tcBorders>
              <w:left w:val="single" w:sz="4" w:space="0" w:color="000000"/>
              <w:bottom w:val="single" w:sz="4" w:space="0" w:color="000000"/>
              <w:right w:val="single" w:sz="4" w:space="0" w:color="000000"/>
            </w:tcBorders>
            <w:shd w:val="clear" w:color="auto" w:fill="D2D2D2"/>
          </w:tcPr>
          <w:p>
            <w:pPr/>
          </w:p>
        </w:tc>
        <w:tc>
          <w:tcPr>
            <w:tcW w:w="3184" w:type="dxa"/>
            <w:gridSpan w:val="2"/>
            <w:vMerge/>
            <w:tcBorders>
              <w:left w:val="single" w:sz="4" w:space="0" w:color="000000"/>
              <w:bottom w:val="single" w:sz="4" w:space="0" w:color="000000"/>
              <w:right w:val="single" w:sz="4" w:space="0" w:color="000000"/>
            </w:tcBorders>
            <w:shd w:val="clear" w:color="auto" w:fill="D2D2D2"/>
          </w:tcPr>
          <w:p>
            <w:pPr/>
          </w:p>
        </w:tc>
        <w:tc>
          <w:tcPr>
            <w:tcW w:w="159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436"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200" w:hRule="exact"/>
        </w:trPr>
        <w:tc>
          <w:tcPr>
            <w:tcW w:w="1600" w:type="dxa"/>
            <w:vMerge/>
            <w:tcBorders>
              <w:left w:val="single" w:sz="4" w:space="0" w:color="000000"/>
              <w:bottom w:val="nil" w:sz="6" w:space="0" w:color="auto"/>
              <w:right w:val="single" w:sz="4" w:space="0" w:color="000000"/>
            </w:tcBorders>
            <w:shd w:val="clear" w:color="auto" w:fill="D2D2D2"/>
          </w:tcPr>
          <w:p>
            <w:pP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5"/>
              <w:jc w:val="center"/>
              <w:rPr>
                <w:rFonts w:ascii="宋体" w:hAnsi="宋体" w:cs="宋体" w:eastAsia="宋体" w:hint="default"/>
                <w:sz w:val="18"/>
                <w:szCs w:val="18"/>
              </w:rPr>
            </w:pPr>
            <w:r>
              <w:rPr>
                <w:rFonts w:ascii="宋体" w:hAnsi="宋体" w:cs="宋体" w:eastAsia="宋体" w:hint="default"/>
                <w:sz w:val="18"/>
                <w:szCs w:val="18"/>
              </w:rPr>
              <w:t>金额</w:t>
            </w:r>
          </w:p>
        </w:tc>
        <w:tc>
          <w:tcPr>
            <w:tcW w:w="15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59"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58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58"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9" w:type="dxa"/>
            <w:vMerge/>
            <w:tcBorders>
              <w:left w:val="single" w:sz="4" w:space="0" w:color="000000"/>
              <w:bottom w:val="nil" w:sz="6" w:space="0" w:color="auto"/>
              <w:right w:val="single" w:sz="4" w:space="0" w:color="000000"/>
            </w:tcBorders>
            <w:shd w:val="clear" w:color="auto" w:fill="D2D2D2"/>
          </w:tcPr>
          <w:p>
            <w:pPr/>
          </w:p>
        </w:tc>
      </w:tr>
      <w:tr>
        <w:trPr>
          <w:trHeight w:val="206" w:hRule="exact"/>
        </w:trPr>
        <w:tc>
          <w:tcPr>
            <w:tcW w:w="1600" w:type="dxa"/>
            <w:tcBorders>
              <w:top w:val="nil" w:sz="6" w:space="0" w:color="auto"/>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1" w:type="dxa"/>
            <w:vMerge/>
            <w:tcBorders>
              <w:left w:val="single" w:sz="4" w:space="0" w:color="000000"/>
              <w:bottom w:val="single" w:sz="4" w:space="0" w:color="000000"/>
              <w:right w:val="single" w:sz="4" w:space="0" w:color="000000"/>
            </w:tcBorders>
            <w:shd w:val="clear" w:color="auto" w:fill="D2D2D2"/>
          </w:tcPr>
          <w:p>
            <w:pPr/>
          </w:p>
        </w:tc>
        <w:tc>
          <w:tcPr>
            <w:tcW w:w="1598" w:type="dxa"/>
            <w:vMerge/>
            <w:tcBorders>
              <w:left w:val="single" w:sz="4" w:space="0" w:color="000000"/>
              <w:bottom w:val="single" w:sz="4" w:space="0" w:color="000000"/>
              <w:right w:val="single" w:sz="4" w:space="0" w:color="000000"/>
            </w:tcBorders>
            <w:shd w:val="clear" w:color="auto" w:fill="D2D2D2"/>
          </w:tcPr>
          <w:p>
            <w:pPr/>
          </w:p>
        </w:tc>
        <w:tc>
          <w:tcPr>
            <w:tcW w:w="1586" w:type="dxa"/>
            <w:vMerge/>
            <w:tcBorders>
              <w:left w:val="single" w:sz="4" w:space="0" w:color="000000"/>
              <w:bottom w:val="single" w:sz="4" w:space="0" w:color="000000"/>
              <w:right w:val="single" w:sz="4" w:space="0" w:color="000000"/>
            </w:tcBorders>
            <w:shd w:val="clear" w:color="auto" w:fill="D2D2D2"/>
          </w:tcPr>
          <w:p>
            <w:pPr/>
          </w:p>
        </w:tc>
        <w:tc>
          <w:tcPr>
            <w:tcW w:w="159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7" w:hRule="exact"/>
        </w:trPr>
        <w:tc>
          <w:tcPr>
            <w:tcW w:w="1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4" w:space="0" w:color="000000"/>
              <w:left w:val="single" w:sz="13" w:space="0" w:color="D2D2D2"/>
              <w:bottom w:val="single" w:sz="4" w:space="0" w:color="000000"/>
              <w:right w:val="single" w:sz="10" w:space="0" w:color="D2D2D2"/>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951,939,425.66</w:t>
            </w:r>
          </w:p>
        </w:tc>
        <w:tc>
          <w:tcPr>
            <w:tcW w:w="15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8" w:type="dxa"/>
            <w:tcBorders>
              <w:top w:val="single" w:sz="4" w:space="0" w:color="000000"/>
              <w:left w:val="single" w:sz="13" w:space="0" w:color="D2D2D2"/>
              <w:bottom w:val="single" w:sz="4" w:space="0" w:color="000000"/>
              <w:right w:val="single" w:sz="9" w:space="0" w:color="D2D2D2"/>
            </w:tcBorders>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spacing w:val="-1"/>
                <w:sz w:val="18"/>
              </w:rPr>
              <w:t>443,219,977.40</w:t>
            </w:r>
          </w:p>
        </w:tc>
        <w:tc>
          <w:tcPr>
            <w:tcW w:w="15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7"/>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114.78%</w:t>
            </w:r>
          </w:p>
        </w:tc>
      </w:tr>
      <w:tr>
        <w:trPr>
          <w:trHeight w:val="397"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智能移动终端</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883,827,895.38</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92.84%</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410,420,684.22</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92.60%</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115.35%</w:t>
            </w:r>
          </w:p>
        </w:tc>
      </w:tr>
      <w:tr>
        <w:trPr>
          <w:trHeight w:val="402"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软件及服务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23,542,173.88</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2.47%</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10,614,525.04</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2.39%</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121.79%</w:t>
            </w:r>
          </w:p>
        </w:tc>
      </w:tr>
      <w:tr>
        <w:trPr>
          <w:trHeight w:val="402"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配件及贸易商品</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43,651,124.76</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4.59%</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21,801,370.71</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4.92%</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100.22%</w:t>
            </w:r>
          </w:p>
        </w:tc>
      </w:tr>
      <w:tr>
        <w:trPr>
          <w:trHeight w:val="402"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POS</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机具租赁</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z w:val="18"/>
              </w:rPr>
              <w:t>918,231.64</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383,397.43</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0.09%</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139.50%</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智能移动数据终端</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478,321,497.56</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50.25%</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267,626,453.82</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60.38%</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78.73%</w:t>
            </w:r>
          </w:p>
        </w:tc>
      </w:tr>
      <w:tr>
        <w:trPr>
          <w:trHeight w:val="402"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智能移动支付终端</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405,506,397.82</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42.60%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142,794,230.40</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32.22%</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183.98%</w:t>
            </w:r>
          </w:p>
        </w:tc>
      </w:tr>
      <w:tr>
        <w:trPr>
          <w:trHeight w:val="402"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开发及服务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23,542,173.88</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2.47%</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10,550,422.47</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2.38%</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123.14%</w:t>
            </w:r>
          </w:p>
        </w:tc>
      </w:tr>
      <w:tr>
        <w:trPr>
          <w:trHeight w:val="402"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软件销售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0.00</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64,102.57</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0.01%</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r>
      <w:tr>
        <w:trPr>
          <w:trHeight w:val="402" w:hRule="exact"/>
        </w:trPr>
        <w:tc>
          <w:tcPr>
            <w:tcW w:w="1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配件销售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27,138,250.33</w:t>
            </w:r>
          </w:p>
        </w:tc>
        <w:tc>
          <w:tcPr>
            <w:tcW w:w="15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2.85%</w:t>
            </w:r>
          </w:p>
        </w:tc>
        <w:tc>
          <w:tcPr>
            <w:tcW w:w="15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4"/>
              <w:jc w:val="right"/>
              <w:rPr>
                <w:rFonts w:ascii="Times New Roman" w:hAnsi="Times New Roman" w:cs="Times New Roman" w:eastAsia="Times New Roman" w:hint="default"/>
                <w:sz w:val="18"/>
                <w:szCs w:val="18"/>
              </w:rPr>
            </w:pPr>
            <w:r>
              <w:rPr>
                <w:rFonts w:ascii="Times New Roman"/>
                <w:spacing w:val="-1"/>
                <w:sz w:val="18"/>
              </w:rPr>
              <w:t>12,912,303.64</w:t>
            </w:r>
          </w:p>
        </w:tc>
        <w:tc>
          <w:tcPr>
            <w:tcW w:w="1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z w:val="18"/>
              </w:rPr>
              <w:t>2.91%</w:t>
            </w:r>
          </w:p>
        </w:tc>
        <w:tc>
          <w:tcPr>
            <w:tcW w:w="15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110.17%</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贸易商品</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16,512,874.43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8,889,067.07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85.77%</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POS</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机具租赁</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918,231.64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383,397.43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139.50%</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199,640,355.46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186,070,891.97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41.98%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7.29%</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华东</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408,449,003.65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42.91%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168,509,737.39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38.02%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142.39%</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境内其他地区</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116,605,718.31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12.25%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39,380,957.49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8.89%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196.10%</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227,244,348.24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23.87%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49,258,390.55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3"/>
                <w:sz w:val="18"/>
              </w:rPr>
              <w:t>11.11%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361.33%</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占公司营业收入或营业利润10%以上的行业、产品或地区情况" w:id="29"/>
      <w:bookmarkEnd w:id="29"/>
      <w:r>
        <w:rPr>
          <w:b w:val="0"/>
          <w:bCs w:val="0"/>
        </w:rPr>
      </w:r>
      <w:r>
        <w:rPr/>
        <w:t>（</w:t>
      </w:r>
      <w:r>
        <w:rPr>
          <w:rFonts w:ascii="Times New Roman" w:hAnsi="Times New Roman" w:cs="Times New Roman" w:eastAsia="Times New Roman" w:hint="default"/>
        </w:rPr>
        <w:t>2</w:t>
      </w:r>
      <w:r>
        <w:rPr/>
        <w:t>）占公司营业收入或营业利润</w:t>
      </w:r>
      <w:r>
        <w:rPr>
          <w:spacing w:val="-59"/>
        </w:rPr>
        <w:t> </w:t>
      </w:r>
      <w:r>
        <w:rPr>
          <w:rFonts w:ascii="Times New Roman" w:hAnsi="Times New Roman" w:cs="Times New Roman" w:eastAsia="Times New Roman" w:hint="default"/>
        </w:rPr>
        <w:t>10%</w:t>
      </w:r>
      <w:r>
        <w:rPr/>
        <w:t>以上的行业、产品或地区情况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pStyle w:val="BodyText"/>
        <w:spacing w:line="348" w:lineRule="auto" w:before="44"/>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公司是否需要遵守特殊行业的披露要求 否</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8"/>
        <w:ind w:left="153" w:right="0"/>
        <w:jc w:val="left"/>
      </w:pPr>
      <w:r>
        <w:rPr/>
        <w:t>单位：元</w:t>
      </w:r>
    </w:p>
    <w:p>
      <w:pPr>
        <w:spacing w:after="0" w:line="240" w:lineRule="auto"/>
        <w:jc w:val="left"/>
        <w:sectPr>
          <w:type w:val="continuous"/>
          <w:pgSz w:w="11910" w:h="16840"/>
          <w:pgMar w:top="1060" w:bottom="1160" w:left="980" w:right="0"/>
          <w:cols w:num="2" w:equalWidth="0">
            <w:col w:w="3215" w:space="5705"/>
            <w:col w:w="201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60"/>
        <w:gridCol w:w="1559"/>
        <w:gridCol w:w="1418"/>
        <w:gridCol w:w="930"/>
        <w:gridCol w:w="1367"/>
        <w:gridCol w:w="1367"/>
        <w:gridCol w:w="1372"/>
      </w:tblGrid>
      <w:tr>
        <w:trPr>
          <w:trHeight w:val="714"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9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17" w:right="47" w:hanging="270"/>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18" w:right="47" w:hanging="271"/>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11"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智能移动终端</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0" w:right="0"/>
              <w:jc w:val="left"/>
              <w:rPr>
                <w:rFonts w:ascii="Times New Roman" w:hAnsi="Times New Roman" w:cs="Times New Roman" w:eastAsia="Times New Roman" w:hint="default"/>
                <w:sz w:val="18"/>
                <w:szCs w:val="18"/>
              </w:rPr>
            </w:pPr>
            <w:r>
              <w:rPr>
                <w:rFonts w:ascii="Times New Roman"/>
                <w:sz w:val="18"/>
              </w:rPr>
              <w:t>883,827,895.38</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600,693,405.98</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115.35%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126.23%</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-3.26%</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智能移动数据终端</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0" w:right="0"/>
              <w:jc w:val="left"/>
              <w:rPr>
                <w:rFonts w:ascii="Times New Roman" w:hAnsi="Times New Roman" w:cs="Times New Roman" w:eastAsia="Times New Roman" w:hint="default"/>
                <w:sz w:val="18"/>
                <w:szCs w:val="18"/>
              </w:rPr>
            </w:pPr>
            <w:r>
              <w:rPr>
                <w:rFonts w:ascii="Times New Roman"/>
                <w:sz w:val="18"/>
              </w:rPr>
              <w:t>478,321,497.56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324,896,883.46</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78.73%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93.30%</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-5.12%</w:t>
            </w: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智能移动支付终端</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0" w:right="0"/>
              <w:jc w:val="left"/>
              <w:rPr>
                <w:rFonts w:ascii="Times New Roman" w:hAnsi="Times New Roman" w:cs="Times New Roman" w:eastAsia="Times New Roman" w:hint="default"/>
                <w:sz w:val="18"/>
                <w:szCs w:val="18"/>
              </w:rPr>
            </w:pPr>
            <w:r>
              <w:rPr>
                <w:rFonts w:ascii="Times New Roman"/>
                <w:sz w:val="18"/>
              </w:rPr>
              <w:t>405,506,397.82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275,796,522.52</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31.99%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183.98%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183.04%</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0.23%</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华南</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0" w:right="0"/>
              <w:jc w:val="left"/>
              <w:rPr>
                <w:rFonts w:ascii="Times New Roman" w:hAnsi="Times New Roman" w:cs="Times New Roman" w:eastAsia="Times New Roman" w:hint="default"/>
                <w:sz w:val="18"/>
                <w:szCs w:val="18"/>
              </w:rPr>
            </w:pPr>
            <w:r>
              <w:rPr>
                <w:rFonts w:ascii="Times New Roman"/>
                <w:sz w:val="18"/>
              </w:rPr>
              <w:t>199,640,355.46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125,630,946.11</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37.07%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22.21%</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-7.68%</w:t>
            </w: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华东</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0" w:right="0"/>
              <w:jc w:val="left"/>
              <w:rPr>
                <w:rFonts w:ascii="Times New Roman" w:hAnsi="Times New Roman" w:cs="Times New Roman" w:eastAsia="Times New Roman" w:hint="default"/>
                <w:sz w:val="18"/>
                <w:szCs w:val="18"/>
              </w:rPr>
            </w:pPr>
            <w:r>
              <w:rPr>
                <w:rFonts w:ascii="Times New Roman"/>
                <w:sz w:val="18"/>
              </w:rPr>
              <w:t>408,449,003.65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266,449,101.96</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34.77%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142.39%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118.04%</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7.29%</w:t>
            </w: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境内其他地区</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6" w:right="0"/>
              <w:jc w:val="left"/>
              <w:rPr>
                <w:rFonts w:ascii="Times New Roman" w:hAnsi="Times New Roman" w:cs="Times New Roman" w:eastAsia="Times New Roman" w:hint="default"/>
                <w:sz w:val="18"/>
                <w:szCs w:val="18"/>
              </w:rPr>
            </w:pPr>
            <w:r>
              <w:rPr>
                <w:rFonts w:ascii="Times New Roman"/>
                <w:sz w:val="18"/>
              </w:rPr>
              <w:t>116,605,718.31</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77,878,775.99</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33.21%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196.10%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208.54%</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-2.70%</w:t>
            </w: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境外</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0" w:right="0"/>
              <w:jc w:val="left"/>
              <w:rPr>
                <w:rFonts w:ascii="Times New Roman" w:hAnsi="Times New Roman" w:cs="Times New Roman" w:eastAsia="Times New Roman" w:hint="default"/>
                <w:sz w:val="18"/>
                <w:szCs w:val="18"/>
              </w:rPr>
            </w:pPr>
            <w:r>
              <w:rPr>
                <w:rFonts w:ascii="Times New Roman"/>
                <w:sz w:val="18"/>
              </w:rPr>
              <w:t>227,244,348.24</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164,969,997.25</w:t>
            </w:r>
          </w:p>
        </w:tc>
        <w:tc>
          <w:tcPr>
            <w:tcW w:w="9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27.40%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361.33%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512.43%</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-17.91%</w:t>
            </w:r>
          </w:p>
        </w:tc>
      </w:tr>
    </w:tbl>
    <w:p>
      <w:pPr>
        <w:pStyle w:val="BodyText"/>
        <w:spacing w:line="240" w:lineRule="auto" w:before="51"/>
        <w:ind w:right="1134"/>
        <w:jc w:val="left"/>
      </w:pPr>
      <w:r>
        <w:rPr/>
        <w:t>公司主营业务数据统计口径在报告期发生调整的情况下，公司最近</w:t>
      </w:r>
      <w:r>
        <w:rPr>
          <w:spacing w:val="-45"/>
        </w:rPr>
        <w:t> </w:t>
      </w:r>
      <w:r>
        <w:rPr>
          <w:rFonts w:ascii="Times New Roman" w:hAnsi="Times New Roman" w:cs="Times New Roman" w:eastAsia="Times New Roman" w:hint="default"/>
        </w:rPr>
        <w:t>1 </w:t>
      </w:r>
      <w:r>
        <w:rPr/>
        <w:t>年按报告期末口径调整后的主营业务数据</w:t>
      </w:r>
    </w:p>
    <w:p>
      <w:pPr>
        <w:pStyle w:val="BodyText"/>
        <w:spacing w:line="240" w:lineRule="auto" w:before="103"/>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right="1134"/>
        <w:jc w:val="left"/>
        <w:rPr>
          <w:b w:val="0"/>
          <w:bCs w:val="0"/>
        </w:rPr>
      </w:pPr>
      <w:bookmarkStart w:name="（3）公司实物销售收入是否大于劳务收入" w:id="30"/>
      <w:bookmarkEnd w:id="30"/>
      <w:r>
        <w:rPr>
          <w:b w:val="0"/>
          <w:bCs w:val="0"/>
        </w:rPr>
      </w:r>
      <w:r>
        <w:rPr/>
        <w:t>（</w:t>
      </w:r>
      <w:r>
        <w:rPr>
          <w:rFonts w:ascii="Times New Roman" w:hAnsi="Times New Roman" w:cs="Times New Roman" w:eastAsia="Times New Roman" w:hint="default"/>
        </w:rPr>
        <w:t>3</w:t>
      </w:r>
      <w:r>
        <w:rPr/>
        <w:t>）公司实物销售收入是否大于劳务收入</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tbl>
      <w:tblPr>
        <w:tblW w:w="0" w:type="auto"/>
        <w:jc w:val="left"/>
        <w:tblInd w:w="149" w:type="dxa"/>
        <w:tblLayout w:type="fixed"/>
        <w:tblCellMar>
          <w:top w:w="0" w:type="dxa"/>
          <w:left w:w="0" w:type="dxa"/>
          <w:bottom w:w="0" w:type="dxa"/>
          <w:right w:w="0" w:type="dxa"/>
        </w:tblCellMar>
        <w:tblLook w:val="01E0"/>
      </w:tblPr>
      <w:tblGrid>
        <w:gridCol w:w="1608"/>
        <w:gridCol w:w="1571"/>
        <w:gridCol w:w="1607"/>
        <w:gridCol w:w="1594"/>
        <w:gridCol w:w="1594"/>
        <w:gridCol w:w="1595"/>
      </w:tblGrid>
      <w:tr>
        <w:trPr>
          <w:trHeight w:val="402" w:hRule="exact"/>
        </w:trPr>
        <w:tc>
          <w:tcPr>
            <w:tcW w:w="16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行业分类</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单位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1608" w:type="dxa"/>
            <w:vMerge w:val="restart"/>
            <w:tcBorders>
              <w:top w:val="single" w:sz="4" w:space="0" w:color="000000"/>
              <w:left w:val="single" w:sz="4" w:space="0" w:color="000000"/>
              <w:right w:val="single" w:sz="13"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智能移动终端</w:t>
            </w: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销售量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712,651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308,657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130.89%</w:t>
            </w:r>
          </w:p>
        </w:tc>
      </w:tr>
      <w:tr>
        <w:trPr>
          <w:trHeight w:val="402" w:hRule="exact"/>
        </w:trPr>
        <w:tc>
          <w:tcPr>
            <w:tcW w:w="1608" w:type="dxa"/>
            <w:vMerge/>
            <w:tcBorders>
              <w:left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生产量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733,971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322,247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127.77%</w:t>
            </w:r>
          </w:p>
        </w:tc>
      </w:tr>
      <w:tr>
        <w:trPr>
          <w:trHeight w:val="403" w:hRule="exact"/>
        </w:trPr>
        <w:tc>
          <w:tcPr>
            <w:tcW w:w="1608" w:type="dxa"/>
            <w:vMerge/>
            <w:tcBorders>
              <w:left w:val="single" w:sz="4" w:space="0" w:color="000000"/>
              <w:bottom w:val="single" w:sz="4" w:space="0" w:color="000000"/>
              <w:right w:val="single" w:sz="13" w:space="0" w:color="D2D2D2"/>
            </w:tcBorders>
          </w:tcPr>
          <w:p>
            <w:pPr/>
          </w:p>
        </w:tc>
        <w:tc>
          <w:tcPr>
            <w:tcW w:w="15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库存量</w:t>
            </w:r>
          </w:p>
        </w:tc>
        <w:tc>
          <w:tcPr>
            <w:tcW w:w="160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76,460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55,140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38.67%</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1134"/>
        <w:jc w:val="left"/>
      </w:pPr>
      <w:r>
        <w:rPr/>
        <w:t>相关数据同比发生变动</w:t>
      </w:r>
      <w:r>
        <w:rPr>
          <w:spacing w:val="-46"/>
        </w:rPr>
        <w:t> </w:t>
      </w:r>
      <w:r>
        <w:rPr>
          <w:rFonts w:ascii="Times New Roman" w:hAnsi="Times New Roman" w:cs="Times New Roman" w:eastAsia="Times New Roman" w:hint="default"/>
        </w:rPr>
        <w:t>30%</w:t>
      </w:r>
      <w:r>
        <w:rPr/>
        <w:t>以上的原因说明</w:t>
      </w:r>
    </w:p>
    <w:p>
      <w:pPr>
        <w:pStyle w:val="BodyText"/>
        <w:spacing w:line="338" w:lineRule="auto" w:before="102"/>
        <w:ind w:right="157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由于报告期内公司销售规模扩大，导致产销量均大幅增加，同时，公司为满足交货需求，增加备货导致库存量增加。</w:t>
      </w:r>
    </w:p>
    <w:p>
      <w:pPr>
        <w:spacing w:line="240" w:lineRule="auto" w:before="4"/>
        <w:rPr>
          <w:rFonts w:ascii="宋体" w:hAnsi="宋体" w:cs="宋体" w:eastAsia="宋体" w:hint="default"/>
          <w:sz w:val="21"/>
          <w:szCs w:val="21"/>
        </w:rPr>
      </w:pPr>
    </w:p>
    <w:p>
      <w:pPr>
        <w:pStyle w:val="Heading3"/>
        <w:spacing w:line="240" w:lineRule="auto"/>
        <w:ind w:right="1134"/>
        <w:jc w:val="left"/>
        <w:rPr>
          <w:b w:val="0"/>
          <w:bCs w:val="0"/>
        </w:rPr>
      </w:pPr>
      <w:bookmarkStart w:name="（4）公司已签订的重大销售合同截至本报告期的履行情况" w:id="31"/>
      <w:bookmarkEnd w:id="31"/>
      <w:r>
        <w:rPr>
          <w:b w:val="0"/>
          <w:bCs w:val="0"/>
        </w:rPr>
      </w:r>
      <w:r>
        <w:rPr/>
        <w:t>（</w:t>
      </w:r>
      <w:r>
        <w:rPr>
          <w:rFonts w:ascii="Times New Roman" w:hAnsi="Times New Roman" w:cs="Times New Roman" w:eastAsia="Times New Roman" w:hint="default"/>
        </w:rPr>
        <w:t>4</w:t>
      </w:r>
      <w:r>
        <w:rPr/>
        <w:t>）公司已签订的重大销售合同截至本报告期的履行情况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right="1134"/>
        <w:jc w:val="left"/>
        <w:rPr>
          <w:b w:val="0"/>
          <w:bCs w:val="0"/>
        </w:rPr>
      </w:pPr>
      <w:bookmarkStart w:name="（5）营业成本构成" w:id="32"/>
      <w:bookmarkEnd w:id="32"/>
      <w:r>
        <w:rPr>
          <w:b w:val="0"/>
          <w:bCs w:val="0"/>
        </w:rPr>
      </w:r>
      <w:r>
        <w:rPr/>
        <w:t>（</w:t>
      </w:r>
      <w:r>
        <w:rPr>
          <w:rFonts w:ascii="Times New Roman" w:hAnsi="Times New Roman" w:cs="Times New Roman" w:eastAsia="Times New Roman" w:hint="default"/>
        </w:rPr>
        <w:t>5</w:t>
      </w:r>
      <w:r>
        <w:rPr/>
        <w:t>）营业成本构成</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1134"/>
        <w:jc w:val="left"/>
      </w:pPr>
      <w:r>
        <w:rPr/>
        <w:t>产品分类</w:t>
      </w:r>
    </w:p>
    <w:p>
      <w:pPr>
        <w:pStyle w:val="BodyText"/>
        <w:spacing w:line="240" w:lineRule="auto" w:before="116"/>
        <w:ind w:left="5856" w:right="1130"/>
        <w:jc w:val="right"/>
      </w:pPr>
      <w:r>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60"/>
        <w:gridCol w:w="1176"/>
        <w:gridCol w:w="1367"/>
        <w:gridCol w:w="1367"/>
        <w:gridCol w:w="1368"/>
        <w:gridCol w:w="1367"/>
        <w:gridCol w:w="1367"/>
      </w:tblGrid>
      <w:tr>
        <w:trPr>
          <w:trHeight w:val="402" w:hRule="exact"/>
        </w:trPr>
        <w:tc>
          <w:tcPr>
            <w:tcW w:w="15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14"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1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1560" w:type="dxa"/>
            <w:vMerge/>
            <w:tcBorders>
              <w:left w:val="single" w:sz="4" w:space="0" w:color="000000"/>
              <w:bottom w:val="single" w:sz="4" w:space="0" w:color="000000"/>
              <w:right w:val="single" w:sz="4" w:space="0" w:color="000000"/>
            </w:tcBorders>
            <w:shd w:val="clear" w:color="auto" w:fill="D2D2D2"/>
          </w:tcPr>
          <w:p>
            <w:pPr/>
          </w:p>
        </w:tc>
        <w:tc>
          <w:tcPr>
            <w:tcW w:w="1176"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7"/>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智能移动数据终端</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324,896,883.46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51.17%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168,082,384.02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60.64%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93.30%</w:t>
            </w: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智能移动支付终端</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275,796,522.52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43.44%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97,439,508.63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35.15%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183.04%</w:t>
            </w: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开发及服务</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2,829,666.74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0.45%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412,757.73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585.55%</w:t>
            </w: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软件销售</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配件销售</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19,360,722.65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3.05%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5,761,555.05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236.03%</w:t>
            </w:r>
          </w:p>
        </w:tc>
      </w:tr>
      <w:tr>
        <w:trPr>
          <w:trHeight w:val="402"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贸易商品</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11,710,876.43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1.84%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5,376,891.47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2"/>
                <w:sz w:val="18"/>
              </w:rPr>
              <w:t>117.80%</w:t>
            </w:r>
          </w:p>
        </w:tc>
      </w:tr>
      <w:tr>
        <w:trPr>
          <w:trHeight w:val="40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POS</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机具租赁</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334,149.50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110,670.92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0.04%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201.93%</w:t>
            </w:r>
          </w:p>
        </w:tc>
      </w:tr>
    </w:tbl>
    <w:p>
      <w:pPr>
        <w:pStyle w:val="BodyText"/>
        <w:spacing w:line="240" w:lineRule="auto" w:before="51"/>
        <w:ind w:right="1134"/>
        <w:jc w:val="left"/>
      </w:pPr>
      <w:r>
        <w:rPr/>
        <w:t>说明：无</w:t>
      </w:r>
    </w:p>
    <w:p>
      <w:pPr>
        <w:spacing w:line="240" w:lineRule="auto" w:before="10"/>
        <w:rPr>
          <w:rFonts w:ascii="宋体" w:hAnsi="宋体" w:cs="宋体" w:eastAsia="宋体" w:hint="default"/>
          <w:sz w:val="26"/>
          <w:szCs w:val="26"/>
        </w:rPr>
      </w:pPr>
    </w:p>
    <w:p>
      <w:pPr>
        <w:pStyle w:val="Heading3"/>
        <w:spacing w:line="240" w:lineRule="auto"/>
        <w:ind w:right="1134"/>
        <w:jc w:val="left"/>
        <w:rPr>
          <w:b w:val="0"/>
          <w:bCs w:val="0"/>
        </w:rPr>
      </w:pPr>
      <w:bookmarkStart w:name="（6）报告期内合并范围是否发生变动" w:id="33"/>
      <w:bookmarkEnd w:id="33"/>
      <w:r>
        <w:rPr>
          <w:b w:val="0"/>
          <w:bCs w:val="0"/>
        </w:rPr>
      </w:r>
      <w:r>
        <w:rPr/>
        <w:t>（</w:t>
      </w:r>
      <w:r>
        <w:rPr>
          <w:rFonts w:ascii="Times New Roman" w:hAnsi="Times New Roman" w:cs="Times New Roman" w:eastAsia="Times New Roman" w:hint="default"/>
        </w:rPr>
        <w:t>6</w:t>
      </w:r>
      <w:r>
        <w:rPr/>
        <w:t>）报告期内合并范围是否发生变动</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pStyle w:val="BodyText"/>
        <w:spacing w:line="304" w:lineRule="auto" w:before="102"/>
        <w:ind w:right="1034" w:firstLine="360"/>
        <w:jc w:val="left"/>
      </w:pPr>
      <w:r>
        <w:rPr/>
        <w:t>本期纳入合并财务报表范围的主体较上期相比，增加</w:t>
      </w:r>
      <w:r>
        <w:rPr>
          <w:rFonts w:ascii="Times New Roman" w:hAnsi="Times New Roman" w:cs="Times New Roman" w:eastAsia="Times New Roman" w:hint="default"/>
        </w:rPr>
        <w:t>1</w:t>
      </w:r>
      <w:r>
        <w:rPr/>
        <w:t>户：瑞柏泰在香港投资设立全资子公司</w:t>
      </w:r>
      <w:r>
        <w:rPr>
          <w:rFonts w:ascii="Times New Roman" w:hAnsi="Times New Roman" w:cs="Times New Roman" w:eastAsia="Times New Roman" w:hint="default"/>
        </w:rPr>
        <w:t>Easy Go</w:t>
      </w:r>
      <w:r>
        <w:rPr>
          <w:rFonts w:ascii="Times New Roman" w:hAnsi="Times New Roman" w:cs="Times New Roman" w:eastAsia="Times New Roman" w:hint="default"/>
          <w:spacing w:val="-1"/>
        </w:rPr>
        <w:t> </w:t>
      </w:r>
      <w:r>
        <w:rPr>
          <w:rFonts w:ascii="Times New Roman" w:hAnsi="Times New Roman" w:cs="Times New Roman" w:eastAsia="Times New Roman" w:hint="default"/>
        </w:rPr>
        <w:t>Payment</w:t>
      </w:r>
      <w:r>
        <w:rPr>
          <w:rFonts w:ascii="Times New Roman" w:hAnsi="Times New Roman" w:cs="Times New Roman" w:eastAsia="Times New Roman" w:hint="default"/>
        </w:rPr>
        <w:t> </w:t>
      </w:r>
      <w:r>
        <w:rPr>
          <w:rFonts w:ascii="Times New Roman" w:hAnsi="Times New Roman" w:cs="Times New Roman" w:eastAsia="Times New Roman" w:hint="default"/>
          <w:spacing w:val="-1"/>
        </w:rPr>
        <w:t>Technologies</w:t>
      </w:r>
      <w:r>
        <w:rPr>
          <w:rFonts w:ascii="Times New Roman" w:hAnsi="Times New Roman" w:cs="Times New Roman" w:eastAsia="Times New Roman" w:hint="default"/>
        </w:rPr>
        <w:t> </w:t>
      </w:r>
      <w:r>
        <w:rPr>
          <w:rFonts w:ascii="Times New Roman" w:hAnsi="Times New Roman" w:cs="Times New Roman" w:eastAsia="Times New Roman" w:hint="default"/>
          <w:spacing w:val="-2"/>
        </w:rPr>
        <w:t>Limited</w:t>
      </w:r>
      <w:r>
        <w:rPr>
          <w:spacing w:val="-2"/>
        </w:rPr>
        <w:t>（以下简称</w:t>
      </w:r>
      <w:r>
        <w:rPr>
          <w:rFonts w:ascii="Times New Roman" w:hAnsi="Times New Roman" w:cs="Times New Roman" w:eastAsia="Times New Roman" w:hint="default"/>
          <w:spacing w:val="-2"/>
        </w:rPr>
        <w:t>“</w:t>
      </w:r>
      <w:r>
        <w:rPr>
          <w:spacing w:val="-2"/>
        </w:rPr>
        <w:t>香港乐乐高</w:t>
      </w:r>
      <w:r>
        <w:rPr>
          <w:rFonts w:ascii="Times New Roman" w:hAnsi="Times New Roman" w:cs="Times New Roman" w:eastAsia="Times New Roman" w:hint="default"/>
          <w:spacing w:val="-2"/>
        </w:rPr>
        <w:t>”</w:t>
      </w:r>
      <w:r>
        <w:rPr>
          <w:spacing w:val="-2"/>
        </w:rPr>
        <w:t>），并于</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4</w:t>
      </w:r>
      <w:r>
        <w:rPr>
          <w:spacing w:val="-2"/>
        </w:rPr>
        <w:t>日取得香港特别行政区公司注册处签发的公司注册证明书。</w:t>
      </w:r>
      <w:r>
        <w:rPr>
          <w:spacing w:val="-84"/>
        </w:rPr>
        <w:t> </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w:t>
      </w:r>
      <w:r>
        <w:rPr/>
        <w:t>日，取得深圳市经济贸易和信息化委员会颁发的编号境外投资证第</w:t>
      </w:r>
      <w:r>
        <w:rPr>
          <w:rFonts w:ascii="Times New Roman" w:hAnsi="Times New Roman" w:cs="Times New Roman" w:eastAsia="Times New Roman" w:hint="default"/>
        </w:rPr>
        <w:t>N4403201800410</w:t>
      </w:r>
      <w:r>
        <w:rPr/>
        <w:t>号的企业境外投资证书。公 </w:t>
      </w:r>
      <w:r>
        <w:rPr>
          <w:spacing w:val="-4"/>
        </w:rPr>
        <w:t>司经营范围：金融支付产品设计研发和销售；售后服务；计算机软硬件及其配套设备的设计和技术开发；自助终端产品设计、</w:t>
      </w:r>
      <w:r>
        <w:rPr>
          <w:spacing w:val="-46"/>
        </w:rPr>
        <w:t> </w:t>
      </w:r>
      <w:r>
        <w:rPr>
          <w:spacing w:val="-46"/>
        </w:rPr>
      </w:r>
      <w:r>
        <w:rPr/>
        <w:t>研发和销售。截止至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日，投资款尚未支付。</w:t>
      </w:r>
    </w:p>
    <w:tbl>
      <w:tblPr>
        <w:tblW w:w="0" w:type="auto"/>
        <w:jc w:val="left"/>
        <w:tblInd w:w="146" w:type="dxa"/>
        <w:tblLayout w:type="fixed"/>
        <w:tblCellMar>
          <w:top w:w="0" w:type="dxa"/>
          <w:left w:w="0" w:type="dxa"/>
          <w:bottom w:w="0" w:type="dxa"/>
          <w:right w:w="0" w:type="dxa"/>
        </w:tblCellMar>
        <w:tblLook w:val="01E0"/>
      </w:tblPr>
      <w:tblGrid>
        <w:gridCol w:w="3778"/>
        <w:gridCol w:w="5784"/>
      </w:tblGrid>
      <w:tr>
        <w:trPr>
          <w:trHeight w:val="341" w:hRule="exact"/>
        </w:trPr>
        <w:tc>
          <w:tcPr>
            <w:tcW w:w="377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578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变更原因</w:t>
            </w:r>
          </w:p>
        </w:tc>
      </w:tr>
      <w:tr>
        <w:trPr>
          <w:trHeight w:val="352" w:hRule="exact"/>
        </w:trPr>
        <w:tc>
          <w:tcPr>
            <w:tcW w:w="3778"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香港乐乐高</w:t>
            </w:r>
          </w:p>
        </w:tc>
        <w:tc>
          <w:tcPr>
            <w:tcW w:w="5784"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新设</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pStyle w:val="Heading3"/>
        <w:spacing w:line="240" w:lineRule="auto" w:before="35"/>
        <w:ind w:right="1134"/>
        <w:jc w:val="left"/>
        <w:rPr>
          <w:b w:val="0"/>
          <w:bCs w:val="0"/>
        </w:rPr>
      </w:pPr>
      <w:bookmarkStart w:name="（7）公司报告期内业务、产品或服务发生重大变化或调整有关情况" w:id="34"/>
      <w:bookmarkEnd w:id="34"/>
      <w:r>
        <w:rPr>
          <w:b w:val="0"/>
          <w:bCs w:val="0"/>
        </w:rPr>
      </w:r>
      <w:r>
        <w:rPr/>
        <w:t>（</w:t>
      </w:r>
      <w:r>
        <w:rPr>
          <w:rFonts w:ascii="Times New Roman" w:hAnsi="Times New Roman" w:cs="Times New Roman" w:eastAsia="Times New Roman" w:hint="default"/>
        </w:rPr>
        <w:t>7</w:t>
      </w:r>
      <w:r>
        <w:rPr/>
        <w:t>）公司报告期内业务、产品或服务发生重大变化或调整有关情况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3"/>
        <w:spacing w:line="240" w:lineRule="auto" w:before="35"/>
        <w:ind w:right="1134"/>
        <w:jc w:val="left"/>
        <w:rPr>
          <w:b w:val="0"/>
          <w:bCs w:val="0"/>
        </w:rPr>
      </w:pPr>
      <w:bookmarkStart w:name="（8）主要销售客户和主要供应商情况" w:id="35"/>
      <w:bookmarkEnd w:id="35"/>
      <w:r>
        <w:rPr>
          <w:b w:val="0"/>
          <w:bCs w:val="0"/>
        </w:rPr>
      </w:r>
      <w:r>
        <w:rPr/>
        <w:t>（</w:t>
      </w:r>
      <w:r>
        <w:rPr>
          <w:rFonts w:ascii="Times New Roman" w:hAnsi="Times New Roman" w:cs="Times New Roman" w:eastAsia="Times New Roman" w:hint="default"/>
        </w:rPr>
        <w:t>8</w:t>
      </w:r>
      <w:r>
        <w:rPr/>
        <w:t>）主要销售客户和主要供应商情况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1134"/>
        <w:jc w:val="left"/>
      </w:pPr>
      <w:r>
        <w:rPr/>
        <w:t>公司主要销售客户情况</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678"/>
        <w:gridCol w:w="4890"/>
      </w:tblGrid>
      <w:tr>
        <w:trPr>
          <w:trHeight w:val="403" w:hRule="exact"/>
        </w:trPr>
        <w:tc>
          <w:tcPr>
            <w:tcW w:w="46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4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545,140,115.25</w:t>
            </w:r>
          </w:p>
        </w:tc>
      </w:tr>
      <w:tr>
        <w:trPr>
          <w:trHeight w:val="402" w:hRule="exact"/>
        </w:trPr>
        <w:tc>
          <w:tcPr>
            <w:tcW w:w="46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4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57.26%</w:t>
            </w:r>
          </w:p>
        </w:tc>
      </w:tr>
      <w:tr>
        <w:trPr>
          <w:trHeight w:val="403" w:hRule="exact"/>
        </w:trPr>
        <w:tc>
          <w:tcPr>
            <w:tcW w:w="46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前五名客户销售额中关联方销售额占年度销售总额比例</w:t>
            </w:r>
          </w:p>
        </w:tc>
        <w:tc>
          <w:tcPr>
            <w:tcW w:w="4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right="1134"/>
        <w:jc w:val="left"/>
      </w:pPr>
      <w:r>
        <w:rPr/>
        <w:t>公司前</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大客户资料</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791"/>
        <w:gridCol w:w="3888"/>
        <w:gridCol w:w="2446"/>
        <w:gridCol w:w="2444"/>
      </w:tblGrid>
      <w:tr>
        <w:trPr>
          <w:trHeight w:val="401"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5"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8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4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78"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24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06"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w:t>
            </w:r>
          </w:p>
        </w:tc>
        <w:tc>
          <w:tcPr>
            <w:tcW w:w="38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客户一</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185,770,756.62</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19.51%</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2</w:t>
            </w:r>
          </w:p>
        </w:tc>
        <w:tc>
          <w:tcPr>
            <w:tcW w:w="38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客户二</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143,748,120.89</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15.10%</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3</w:t>
            </w:r>
          </w:p>
        </w:tc>
        <w:tc>
          <w:tcPr>
            <w:tcW w:w="38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客户三</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85,371,132.76</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8.97%</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4</w:t>
            </w:r>
          </w:p>
        </w:tc>
        <w:tc>
          <w:tcPr>
            <w:tcW w:w="38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客户四</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68,537,880.86</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7.20%</w:t>
            </w:r>
          </w:p>
        </w:tc>
      </w:tr>
      <w:tr>
        <w:trPr>
          <w:trHeight w:val="402"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w:t>
            </w:r>
          </w:p>
        </w:tc>
        <w:tc>
          <w:tcPr>
            <w:tcW w:w="38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客户五</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61,712,224.12</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6.48%</w:t>
            </w:r>
          </w:p>
        </w:tc>
      </w:tr>
      <w:tr>
        <w:trPr>
          <w:trHeight w:val="403" w:hRule="exact"/>
        </w:trPr>
        <w:tc>
          <w:tcPr>
            <w:tcW w:w="7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8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1" w:right="0"/>
              <w:jc w:val="center"/>
              <w:rPr>
                <w:rFonts w:ascii="Times New Roman" w:hAnsi="Times New Roman" w:cs="Times New Roman" w:eastAsia="Times New Roman" w:hint="default"/>
                <w:sz w:val="18"/>
                <w:szCs w:val="18"/>
              </w:rPr>
            </w:pPr>
            <w:r>
              <w:rPr>
                <w:rFonts w:ascii="Times New Roman"/>
                <w:sz w:val="18"/>
              </w:rPr>
              <w:t>--</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545,140,115.25</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57.26%</w:t>
            </w:r>
          </w:p>
        </w:tc>
      </w:tr>
    </w:tbl>
    <w:p>
      <w:pPr>
        <w:pStyle w:val="BodyText"/>
        <w:spacing w:line="240" w:lineRule="auto" w:before="51"/>
        <w:ind w:right="1134"/>
        <w:jc w:val="left"/>
      </w:pPr>
      <w:r>
        <w:rPr/>
        <w:t>主要客户其他情况说明</w:t>
      </w:r>
    </w:p>
    <w:p>
      <w:pPr>
        <w:pStyle w:val="BodyText"/>
        <w:spacing w:line="340" w:lineRule="auto" w:before="116"/>
        <w:ind w:right="91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公司主要供应商情况</w:t>
      </w:r>
    </w:p>
    <w:p>
      <w:pPr>
        <w:spacing w:line="240" w:lineRule="auto" w:before="3"/>
        <w:rPr>
          <w:rFonts w:ascii="宋体" w:hAnsi="宋体" w:cs="宋体" w:eastAsia="宋体" w:hint="default"/>
          <w:sz w:val="2"/>
          <w:szCs w:val="2"/>
        </w:rPr>
      </w:pPr>
    </w:p>
    <w:tbl>
      <w:tblPr>
        <w:tblW w:w="0" w:type="auto"/>
        <w:jc w:val="left"/>
        <w:tblInd w:w="149" w:type="dxa"/>
        <w:tblLayout w:type="fixed"/>
        <w:tblCellMar>
          <w:top w:w="0" w:type="dxa"/>
          <w:left w:w="0" w:type="dxa"/>
          <w:bottom w:w="0" w:type="dxa"/>
          <w:right w:w="0" w:type="dxa"/>
        </w:tblCellMar>
        <w:tblLook w:val="01E0"/>
      </w:tblPr>
      <w:tblGrid>
        <w:gridCol w:w="4678"/>
        <w:gridCol w:w="4890"/>
      </w:tblGrid>
      <w:tr>
        <w:trPr>
          <w:trHeight w:val="402" w:hRule="exact"/>
        </w:trPr>
        <w:tc>
          <w:tcPr>
            <w:tcW w:w="46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4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319,661,872.65</w:t>
            </w:r>
          </w:p>
        </w:tc>
      </w:tr>
      <w:tr>
        <w:trPr>
          <w:trHeight w:val="402" w:hRule="exact"/>
        </w:trPr>
        <w:tc>
          <w:tcPr>
            <w:tcW w:w="46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4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43.77%</w:t>
            </w:r>
          </w:p>
        </w:tc>
      </w:tr>
      <w:tr>
        <w:trPr>
          <w:trHeight w:val="402" w:hRule="exact"/>
        </w:trPr>
        <w:tc>
          <w:tcPr>
            <w:tcW w:w="46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前五名供应商采购额中关联方采购额占年度采购总额比例</w:t>
            </w:r>
          </w:p>
        </w:tc>
        <w:tc>
          <w:tcPr>
            <w:tcW w:w="48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right="1134"/>
        <w:jc w:val="left"/>
      </w:pPr>
      <w:r>
        <w:rPr/>
        <w:t>公司前</w:t>
      </w:r>
      <w:r>
        <w:rPr>
          <w:spacing w:val="-46"/>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名供应商资料</w:t>
      </w:r>
    </w:p>
    <w:p>
      <w:pPr>
        <w:spacing w:line="240" w:lineRule="auto" w:before="0"/>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912"/>
        <w:gridCol w:w="3755"/>
        <w:gridCol w:w="2446"/>
        <w:gridCol w:w="2444"/>
      </w:tblGrid>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70"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7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4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78"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24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06"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1</w:t>
            </w:r>
          </w:p>
        </w:tc>
        <w:tc>
          <w:tcPr>
            <w:tcW w:w="37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供应商一</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138,308,016.25</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18.94%</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2</w:t>
            </w:r>
          </w:p>
        </w:tc>
        <w:tc>
          <w:tcPr>
            <w:tcW w:w="37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供应商二</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72,820,882.23</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9.97%</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3</w:t>
            </w:r>
          </w:p>
        </w:tc>
        <w:tc>
          <w:tcPr>
            <w:tcW w:w="37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供应商三</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53,224,058.16</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7.29%</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4</w:t>
            </w:r>
          </w:p>
        </w:tc>
        <w:tc>
          <w:tcPr>
            <w:tcW w:w="37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供应商四</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28,101,022.55</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3.85%</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1" w:right="0"/>
              <w:jc w:val="left"/>
              <w:rPr>
                <w:rFonts w:ascii="Times New Roman" w:hAnsi="Times New Roman" w:cs="Times New Roman" w:eastAsia="Times New Roman" w:hint="default"/>
                <w:sz w:val="18"/>
                <w:szCs w:val="18"/>
              </w:rPr>
            </w:pPr>
            <w:r>
              <w:rPr>
                <w:rFonts w:ascii="Times New Roman"/>
                <w:sz w:val="18"/>
              </w:rPr>
              <w:t>5</w:t>
            </w:r>
          </w:p>
        </w:tc>
        <w:tc>
          <w:tcPr>
            <w:tcW w:w="375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供应商五</w:t>
            </w:r>
          </w:p>
        </w:tc>
        <w:tc>
          <w:tcPr>
            <w:tcW w:w="24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27,207,893.46</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3.73%</w:t>
            </w:r>
          </w:p>
        </w:tc>
      </w:tr>
      <w:tr>
        <w:trPr>
          <w:trHeight w:val="402" w:hRule="exact"/>
        </w:trPr>
        <w:tc>
          <w:tcPr>
            <w:tcW w:w="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7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w:t>
            </w:r>
          </w:p>
        </w:tc>
        <w:tc>
          <w:tcPr>
            <w:tcW w:w="244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319,661,872.65</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43.77%</w:t>
            </w:r>
          </w:p>
        </w:tc>
      </w:tr>
    </w:tbl>
    <w:p>
      <w:pPr>
        <w:pStyle w:val="BodyText"/>
        <w:spacing w:line="240" w:lineRule="auto" w:before="51"/>
        <w:ind w:right="1134"/>
        <w:jc w:val="left"/>
      </w:pPr>
      <w:r>
        <w:rPr/>
        <w:t>主要供应商其他情况说明</w:t>
      </w:r>
    </w:p>
    <w:p>
      <w:pPr>
        <w:pStyle w:val="BodyText"/>
        <w:spacing w:line="240" w:lineRule="auto" w:before="117"/>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right="1134"/>
        <w:jc w:val="left"/>
        <w:rPr>
          <w:b w:val="0"/>
          <w:bCs w:val="0"/>
        </w:rPr>
      </w:pPr>
      <w:bookmarkStart w:name="3、费用" w:id="36"/>
      <w:bookmarkEnd w:id="36"/>
      <w:r>
        <w:rPr>
          <w:b w:val="0"/>
          <w:bCs w:val="0"/>
        </w:rPr>
      </w:r>
      <w:r>
        <w:rPr>
          <w:rFonts w:ascii="Times New Roman" w:hAnsi="Times New Roman" w:cs="Times New Roman" w:eastAsia="Times New Roman" w:hint="default"/>
        </w:rPr>
        <w:t>3</w:t>
      </w:r>
      <w:r>
        <w:rPr/>
        <w:t>、费用</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5856"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971"/>
        <w:gridCol w:w="1428"/>
        <w:gridCol w:w="1419"/>
        <w:gridCol w:w="1134"/>
        <w:gridCol w:w="4606"/>
      </w:tblGrid>
      <w:tr>
        <w:trPr>
          <w:trHeight w:val="402" w:hRule="exact"/>
        </w:trPr>
        <w:tc>
          <w:tcPr>
            <w:tcW w:w="97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01"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46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3" w:hRule="exact"/>
        </w:trPr>
        <w:tc>
          <w:tcPr>
            <w:tcW w:w="9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349" w:right="0"/>
              <w:jc w:val="left"/>
              <w:rPr>
                <w:rFonts w:ascii="Times New Roman" w:hAnsi="Times New Roman" w:cs="Times New Roman" w:eastAsia="Times New Roman" w:hint="default"/>
                <w:sz w:val="18"/>
                <w:szCs w:val="18"/>
              </w:rPr>
            </w:pPr>
            <w:r>
              <w:rPr>
                <w:rFonts w:ascii="Times New Roman"/>
                <w:sz w:val="18"/>
              </w:rPr>
              <w:t>59,889,042.57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51" w:right="0"/>
              <w:jc w:val="left"/>
              <w:rPr>
                <w:rFonts w:ascii="Times New Roman" w:hAnsi="Times New Roman" w:cs="Times New Roman" w:eastAsia="Times New Roman" w:hint="default"/>
                <w:sz w:val="18"/>
                <w:szCs w:val="18"/>
              </w:rPr>
            </w:pPr>
            <w:r>
              <w:rPr>
                <w:rFonts w:ascii="Times New Roman"/>
                <w:sz w:val="18"/>
              </w:rPr>
              <w:t>36,475,097.53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46" w:right="0"/>
              <w:jc w:val="left"/>
              <w:rPr>
                <w:rFonts w:ascii="Times New Roman" w:hAnsi="Times New Roman" w:cs="Times New Roman" w:eastAsia="Times New Roman" w:hint="default"/>
                <w:sz w:val="18"/>
                <w:szCs w:val="18"/>
              </w:rPr>
            </w:pPr>
            <w:r>
              <w:rPr>
                <w:rFonts w:ascii="Times New Roman"/>
                <w:sz w:val="18"/>
              </w:rPr>
              <w:t>64.19%</w:t>
            </w:r>
          </w:p>
        </w:tc>
        <w:tc>
          <w:tcPr>
            <w:tcW w:w="4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本报告期加大市场推广力度所致</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993"/>
        <w:gridCol w:w="1417"/>
        <w:gridCol w:w="1419"/>
        <w:gridCol w:w="1134"/>
        <w:gridCol w:w="4606"/>
      </w:tblGrid>
      <w:tr>
        <w:trPr>
          <w:trHeight w:val="402" w:hRule="exact"/>
        </w:trPr>
        <w:tc>
          <w:tcPr>
            <w:tcW w:w="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36,043,044.77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21,784,757.62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65.45%</w:t>
            </w:r>
          </w:p>
        </w:tc>
        <w:tc>
          <w:tcPr>
            <w:tcW w:w="4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主要系组织机构及人员薪酬增加、存货报废增加所致</w:t>
            </w:r>
          </w:p>
        </w:tc>
      </w:tr>
      <w:tr>
        <w:trPr>
          <w:trHeight w:val="402" w:hRule="exact"/>
        </w:trPr>
        <w:tc>
          <w:tcPr>
            <w:tcW w:w="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-1,218,783.68</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699,866.21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-274.15%</w:t>
            </w:r>
            <w:r>
              <w:rPr>
                <w:rFonts w:ascii="Times New Roman"/>
                <w:sz w:val="18"/>
              </w:rPr>
            </w:r>
          </w:p>
        </w:tc>
        <w:tc>
          <w:tcPr>
            <w:tcW w:w="4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本报告期利息费用增加以及汇率变动所致</w:t>
            </w:r>
          </w:p>
        </w:tc>
      </w:tr>
      <w:tr>
        <w:trPr>
          <w:trHeight w:val="402" w:hRule="exact"/>
        </w:trPr>
        <w:tc>
          <w:tcPr>
            <w:tcW w:w="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72,231,425.05</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55,869,895.81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29.29%</w:t>
            </w:r>
          </w:p>
        </w:tc>
        <w:tc>
          <w:tcPr>
            <w:tcW w:w="46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公司加大研发力量投入所致</w:t>
            </w:r>
          </w:p>
        </w:tc>
      </w:tr>
    </w:tbl>
    <w:p>
      <w:pPr>
        <w:spacing w:line="240" w:lineRule="auto" w:before="3"/>
        <w:rPr>
          <w:rFonts w:ascii="宋体" w:hAnsi="宋体" w:cs="宋体" w:eastAsia="宋体" w:hint="default"/>
          <w:sz w:val="19"/>
          <w:szCs w:val="19"/>
        </w:rPr>
      </w:pPr>
    </w:p>
    <w:p>
      <w:pPr>
        <w:pStyle w:val="Heading3"/>
        <w:spacing w:line="240" w:lineRule="auto" w:before="35"/>
        <w:ind w:right="1134"/>
        <w:jc w:val="left"/>
        <w:rPr>
          <w:b w:val="0"/>
          <w:bCs w:val="0"/>
        </w:rPr>
      </w:pPr>
      <w:bookmarkStart w:name="4、研发投入" w:id="37"/>
      <w:bookmarkEnd w:id="37"/>
      <w:r>
        <w:rPr>
          <w:b w:val="0"/>
          <w:bCs w:val="0"/>
        </w:rPr>
      </w:r>
      <w:r>
        <w:rPr>
          <w:rFonts w:ascii="Times New Roman" w:hAnsi="Times New Roman" w:cs="Times New Roman" w:eastAsia="Times New Roman" w:hint="default"/>
        </w:rPr>
        <w:t>4</w:t>
      </w:r>
      <w:r>
        <w:rPr/>
        <w:t>、研发投入</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787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报告期内，公司主要研发项目如下：</w:t>
      </w:r>
    </w:p>
    <w:p>
      <w:pPr>
        <w:spacing w:line="240" w:lineRule="auto" w:before="3"/>
        <w:rPr>
          <w:rFonts w:ascii="宋体" w:hAnsi="宋体" w:cs="宋体" w:eastAsia="宋体" w:hint="default"/>
          <w:sz w:val="2"/>
          <w:szCs w:val="2"/>
        </w:rPr>
      </w:pPr>
    </w:p>
    <w:tbl>
      <w:tblPr>
        <w:tblW w:w="0" w:type="auto"/>
        <w:jc w:val="left"/>
        <w:tblInd w:w="146" w:type="dxa"/>
        <w:tblLayout w:type="fixed"/>
        <w:tblCellMar>
          <w:top w:w="0" w:type="dxa"/>
          <w:left w:w="0" w:type="dxa"/>
          <w:bottom w:w="0" w:type="dxa"/>
          <w:right w:w="0" w:type="dxa"/>
        </w:tblCellMar>
        <w:tblLook w:val="01E0"/>
      </w:tblPr>
      <w:tblGrid>
        <w:gridCol w:w="568"/>
        <w:gridCol w:w="1021"/>
        <w:gridCol w:w="4932"/>
        <w:gridCol w:w="851"/>
        <w:gridCol w:w="2126"/>
      </w:tblGrid>
      <w:tr>
        <w:trPr>
          <w:trHeight w:val="347" w:hRule="exact"/>
        </w:trPr>
        <w:tc>
          <w:tcPr>
            <w:tcW w:w="56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序号</w:t>
            </w:r>
          </w:p>
        </w:tc>
        <w:tc>
          <w:tcPr>
            <w:tcW w:w="102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40"/>
              <w:jc w:val="right"/>
              <w:rPr>
                <w:rFonts w:ascii="宋体" w:hAnsi="宋体" w:cs="宋体" w:eastAsia="宋体" w:hint="default"/>
                <w:sz w:val="18"/>
                <w:szCs w:val="18"/>
              </w:rPr>
            </w:pPr>
            <w:r>
              <w:rPr>
                <w:rFonts w:ascii="宋体" w:hAnsi="宋体" w:cs="宋体" w:eastAsia="宋体" w:hint="default"/>
                <w:sz w:val="18"/>
                <w:szCs w:val="18"/>
              </w:rPr>
              <w:t>项目名称</w:t>
            </w:r>
          </w:p>
        </w:tc>
        <w:tc>
          <w:tcPr>
            <w:tcW w:w="493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研发目的及目标</w:t>
            </w:r>
          </w:p>
        </w:tc>
        <w:tc>
          <w:tcPr>
            <w:tcW w:w="85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58" w:right="0"/>
              <w:jc w:val="left"/>
              <w:rPr>
                <w:rFonts w:ascii="宋体" w:hAnsi="宋体" w:cs="宋体" w:eastAsia="宋体" w:hint="default"/>
                <w:sz w:val="18"/>
                <w:szCs w:val="18"/>
              </w:rPr>
            </w:pPr>
            <w:r>
              <w:rPr>
                <w:rFonts w:ascii="宋体" w:hAnsi="宋体" w:cs="宋体" w:eastAsia="宋体" w:hint="default"/>
                <w:sz w:val="18"/>
                <w:szCs w:val="18"/>
              </w:rPr>
              <w:t>进展情况</w:t>
            </w:r>
          </w:p>
        </w:tc>
        <w:tc>
          <w:tcPr>
            <w:tcW w:w="212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155" w:right="0"/>
              <w:jc w:val="left"/>
              <w:rPr>
                <w:rFonts w:ascii="宋体" w:hAnsi="宋体" w:cs="宋体" w:eastAsia="宋体" w:hint="default"/>
                <w:sz w:val="18"/>
                <w:szCs w:val="18"/>
              </w:rPr>
            </w:pPr>
            <w:r>
              <w:rPr>
                <w:rFonts w:ascii="宋体" w:hAnsi="宋体" w:cs="宋体" w:eastAsia="宋体" w:hint="default"/>
                <w:sz w:val="18"/>
                <w:szCs w:val="18"/>
              </w:rPr>
              <w:t>对公司未来发展的影响</w:t>
            </w:r>
          </w:p>
        </w:tc>
      </w:tr>
      <w:tr>
        <w:trPr>
          <w:trHeight w:val="1283"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01"/>
              <w:jc w:val="left"/>
              <w:rPr>
                <w:rFonts w:ascii="宋体" w:hAnsi="宋体" w:cs="宋体" w:eastAsia="宋体" w:hint="default"/>
                <w:sz w:val="18"/>
                <w:szCs w:val="18"/>
              </w:rPr>
            </w:pPr>
            <w:r>
              <w:rPr>
                <w:rFonts w:ascii="宋体" w:hAnsi="宋体" w:cs="宋体" w:eastAsia="宋体" w:hint="default"/>
                <w:sz w:val="18"/>
                <w:szCs w:val="18"/>
              </w:rPr>
              <w:t>高端企业智 能终端</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07" w:lineRule="auto" w:before="21"/>
              <w:ind w:left="2" w:right="27"/>
              <w:jc w:val="both"/>
              <w:rPr>
                <w:rFonts w:ascii="宋体" w:hAnsi="宋体" w:cs="宋体" w:eastAsia="宋体" w:hint="default"/>
                <w:sz w:val="18"/>
                <w:szCs w:val="18"/>
              </w:rPr>
            </w:pPr>
            <w:r>
              <w:rPr>
                <w:rFonts w:ascii="宋体" w:hAnsi="宋体" w:cs="宋体" w:eastAsia="宋体" w:hint="default"/>
                <w:sz w:val="18"/>
                <w:szCs w:val="18"/>
              </w:rPr>
              <w:t>该设备采用高性能的高通</w:t>
            </w:r>
            <w:r>
              <w:rPr>
                <w:rFonts w:ascii="Times New Roman" w:hAnsi="Times New Roman" w:cs="Times New Roman" w:eastAsia="Times New Roman" w:hint="default"/>
                <w:sz w:val="18"/>
                <w:szCs w:val="18"/>
              </w:rPr>
              <w:t>660</w:t>
            </w:r>
            <w:r>
              <w:rPr>
                <w:rFonts w:ascii="宋体" w:hAnsi="宋体" w:cs="宋体" w:eastAsia="宋体" w:hint="default"/>
                <w:sz w:val="18"/>
                <w:szCs w:val="18"/>
              </w:rPr>
              <w:t>平台、</w:t>
            </w:r>
            <w:r>
              <w:rPr>
                <w:rFonts w:ascii="Times New Roman" w:hAnsi="Times New Roman" w:cs="Times New Roman" w:eastAsia="Times New Roman" w:hint="default"/>
                <w:sz w:val="18"/>
                <w:szCs w:val="18"/>
              </w:rPr>
              <w:t>Android</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操作系统、</w:t>
            </w:r>
            <w:r>
              <w:rPr>
                <w:rFonts w:ascii="Times New Roman" w:hAnsi="Times New Roman" w:cs="Times New Roman" w:eastAsia="Times New Roman" w:hint="default"/>
                <w:sz w:val="18"/>
                <w:szCs w:val="18"/>
              </w:rPr>
              <w:t>FHD+</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全面屏，具备专业的数据采集、数据传输及高性能通讯功能， 工业防护等级</w:t>
            </w:r>
            <w:r>
              <w:rPr>
                <w:rFonts w:ascii="Times New Roman" w:hAnsi="Times New Roman" w:cs="Times New Roman" w:eastAsia="Times New Roman" w:hint="default"/>
                <w:sz w:val="18"/>
                <w:szCs w:val="18"/>
              </w:rPr>
              <w:t>IP67</w:t>
            </w:r>
            <w:r>
              <w:rPr>
                <w:rFonts w:ascii="宋体" w:hAnsi="宋体" w:cs="宋体" w:eastAsia="宋体" w:hint="default"/>
                <w:sz w:val="18"/>
                <w:szCs w:val="18"/>
              </w:rPr>
              <w:t>，并提供丰富的配件以满足不同行业的应用 需求</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11"/>
              <w:jc w:val="left"/>
              <w:rPr>
                <w:rFonts w:ascii="宋体" w:hAnsi="宋体" w:cs="宋体" w:eastAsia="宋体" w:hint="default"/>
                <w:sz w:val="18"/>
                <w:szCs w:val="18"/>
              </w:rPr>
            </w:pPr>
            <w:r>
              <w:rPr>
                <w:rFonts w:ascii="宋体" w:hAnsi="宋体" w:cs="宋体" w:eastAsia="宋体" w:hint="default"/>
                <w:sz w:val="18"/>
                <w:szCs w:val="18"/>
              </w:rPr>
              <w:t>设计验证 阶段</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2"/>
              <w:jc w:val="left"/>
              <w:rPr>
                <w:rFonts w:ascii="宋体" w:hAnsi="宋体" w:cs="宋体" w:eastAsia="宋体" w:hint="default"/>
                <w:sz w:val="18"/>
                <w:szCs w:val="18"/>
              </w:rPr>
            </w:pPr>
            <w:r>
              <w:rPr>
                <w:rFonts w:ascii="宋体" w:hAnsi="宋体" w:cs="宋体" w:eastAsia="宋体" w:hint="default"/>
                <w:spacing w:val="10"/>
                <w:sz w:val="18"/>
                <w:szCs w:val="18"/>
              </w:rPr>
              <w:t>提升公司在行业移动智能</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应用领域的市场竞争力</w:t>
            </w:r>
          </w:p>
        </w:tc>
      </w:tr>
      <w:tr>
        <w:trPr>
          <w:trHeight w:val="1596"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2</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01"/>
              <w:jc w:val="left"/>
              <w:rPr>
                <w:rFonts w:ascii="宋体" w:hAnsi="宋体" w:cs="宋体" w:eastAsia="宋体" w:hint="default"/>
                <w:sz w:val="18"/>
                <w:szCs w:val="18"/>
              </w:rPr>
            </w:pPr>
            <w:r>
              <w:rPr>
                <w:rFonts w:ascii="宋体" w:hAnsi="宋体" w:cs="宋体" w:eastAsia="宋体" w:hint="default"/>
                <w:sz w:val="18"/>
                <w:szCs w:val="18"/>
              </w:rPr>
              <w:t>企业级安全 智能终端</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21"/>
              <w:ind w:left="2" w:right="1"/>
              <w:jc w:val="left"/>
              <w:rPr>
                <w:rFonts w:ascii="宋体" w:hAnsi="宋体" w:cs="宋体" w:eastAsia="宋体" w:hint="default"/>
                <w:sz w:val="18"/>
                <w:szCs w:val="18"/>
              </w:rPr>
            </w:pPr>
            <w:r>
              <w:rPr>
                <w:rFonts w:ascii="宋体" w:hAnsi="宋体" w:cs="宋体" w:eastAsia="宋体" w:hint="default"/>
                <w:sz w:val="18"/>
                <w:szCs w:val="18"/>
              </w:rPr>
              <w:t>该设备采用</w:t>
            </w:r>
            <w:r>
              <w:rPr>
                <w:rFonts w:ascii="Times New Roman" w:hAnsi="Times New Roman" w:cs="Times New Roman" w:eastAsia="Times New Roman" w:hint="default"/>
                <w:sz w:val="18"/>
                <w:szCs w:val="18"/>
              </w:rPr>
              <w:t>Android</w:t>
            </w:r>
            <w:r>
              <w:rPr>
                <w:rFonts w:ascii="Times New Roman" w:hAnsi="Times New Roman" w:cs="Times New Roman" w:eastAsia="Times New Roman" w:hint="default"/>
                <w:spacing w:val="-9"/>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操作系统</w:t>
            </w:r>
            <w:r>
              <w:rPr>
                <w:rFonts w:ascii="Times New Roman" w:hAnsi="Times New Roman" w:cs="Times New Roman" w:eastAsia="Times New Roman" w:hint="default"/>
                <w:sz w:val="18"/>
                <w:szCs w:val="18"/>
              </w:rPr>
              <w:t>,</w:t>
            </w:r>
            <w:r>
              <w:rPr>
                <w:rFonts w:ascii="宋体" w:hAnsi="宋体" w:cs="宋体" w:eastAsia="宋体" w:hint="default"/>
                <w:sz w:val="18"/>
                <w:szCs w:val="18"/>
              </w:rPr>
              <w:t>具备专业的数据采集、数据传输 及通讯功能，采用灵活的全键盘按键以提高操作者效率，</w:t>
            </w:r>
            <w:r>
              <w:rPr>
                <w:rFonts w:ascii="Times New Roman" w:hAnsi="Times New Roman" w:cs="Times New Roman" w:eastAsia="Times New Roman" w:hint="default"/>
                <w:sz w:val="18"/>
                <w:szCs w:val="18"/>
              </w:rPr>
              <w:t>IP67 </w:t>
            </w:r>
            <w:r>
              <w:rPr>
                <w:rFonts w:ascii="宋体" w:hAnsi="宋体" w:cs="宋体" w:eastAsia="宋体" w:hint="default"/>
                <w:sz w:val="18"/>
                <w:szCs w:val="18"/>
              </w:rPr>
              <w:t>防护等级，可应用于快递运营管理、物流取派管理、货物管理 连锁门店管理、门店货品管理、移动销售管理、景区检票管理 车销管理、供应链</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11"/>
              <w:jc w:val="left"/>
              <w:rPr>
                <w:rFonts w:ascii="宋体" w:hAnsi="宋体" w:cs="宋体" w:eastAsia="宋体" w:hint="default"/>
                <w:sz w:val="18"/>
                <w:szCs w:val="18"/>
              </w:rPr>
            </w:pPr>
            <w:r>
              <w:rPr>
                <w:rFonts w:ascii="宋体" w:hAnsi="宋体" w:cs="宋体" w:eastAsia="宋体" w:hint="default"/>
                <w:sz w:val="18"/>
                <w:szCs w:val="18"/>
              </w:rPr>
              <w:t>设计验证 阶段</w:t>
            </w:r>
          </w:p>
          <w:p>
            <w:pPr>
              <w:pStyle w:val="TableParagraph"/>
              <w:spacing w:line="240" w:lineRule="auto" w:before="19"/>
              <w:ind w:left="-110"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76"/>
              <w:ind w:left="-110" w:right="0"/>
              <w:jc w:val="left"/>
              <w:rPr>
                <w:rFonts w:ascii="宋体" w:hAnsi="宋体" w:cs="宋体" w:eastAsia="宋体" w:hint="default"/>
                <w:sz w:val="18"/>
                <w:szCs w:val="18"/>
              </w:rPr>
            </w:pPr>
            <w:r>
              <w:rPr>
                <w:rFonts w:ascii="宋体" w:hAnsi="宋体" w:cs="宋体" w:eastAsia="宋体" w:hint="default"/>
                <w:sz w:val="18"/>
                <w:szCs w:val="18"/>
              </w:rPr>
              <w:t>、</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21"/>
              <w:ind w:left="2" w:right="1"/>
              <w:jc w:val="both"/>
              <w:rPr>
                <w:rFonts w:ascii="宋体" w:hAnsi="宋体" w:cs="宋体" w:eastAsia="宋体" w:hint="default"/>
                <w:sz w:val="18"/>
                <w:szCs w:val="18"/>
              </w:rPr>
            </w:pPr>
            <w:r>
              <w:rPr>
                <w:rFonts w:ascii="宋体" w:hAnsi="宋体" w:cs="宋体" w:eastAsia="宋体" w:hint="default"/>
                <w:spacing w:val="10"/>
                <w:sz w:val="18"/>
                <w:szCs w:val="18"/>
              </w:rPr>
              <w:t>提升公司在行业移动智能</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6"/>
                <w:sz w:val="18"/>
                <w:szCs w:val="18"/>
              </w:rPr>
              <w:t>应用</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智能物流领域的市场</w:t>
            </w:r>
            <w:r>
              <w:rPr>
                <w:rFonts w:ascii="宋体" w:hAnsi="宋体" w:cs="宋体" w:eastAsia="宋体" w:hint="default"/>
                <w:sz w:val="18"/>
                <w:szCs w:val="18"/>
              </w:rPr>
              <w:t> 竞争力</w:t>
            </w:r>
          </w:p>
        </w:tc>
      </w:tr>
      <w:tr>
        <w:trPr>
          <w:trHeight w:val="1283"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3</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3" w:right="101"/>
              <w:jc w:val="left"/>
              <w:rPr>
                <w:rFonts w:ascii="宋体" w:hAnsi="宋体" w:cs="宋体" w:eastAsia="宋体" w:hint="default"/>
                <w:sz w:val="18"/>
                <w:szCs w:val="18"/>
              </w:rPr>
            </w:pPr>
            <w:r>
              <w:rPr>
                <w:rFonts w:ascii="宋体" w:hAnsi="宋体" w:cs="宋体" w:eastAsia="宋体" w:hint="default"/>
                <w:sz w:val="18"/>
                <w:szCs w:val="18"/>
              </w:rPr>
              <w:t>企业级智能 终端</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0"/>
              <w:ind w:left="2" w:right="1"/>
              <w:jc w:val="left"/>
              <w:rPr>
                <w:rFonts w:ascii="Times New Roman" w:hAnsi="Times New Roman" w:cs="Times New Roman" w:eastAsia="Times New Roman" w:hint="default"/>
                <w:sz w:val="18"/>
                <w:szCs w:val="18"/>
              </w:rPr>
            </w:pPr>
            <w:r>
              <w:rPr>
                <w:rFonts w:ascii="宋体" w:hAnsi="宋体" w:cs="宋体" w:eastAsia="宋体" w:hint="default"/>
                <w:sz w:val="18"/>
                <w:szCs w:val="18"/>
              </w:rPr>
              <w:t>该设备是一款专业数据采集智能终端，采用</w:t>
            </w:r>
            <w:r>
              <w:rPr>
                <w:rFonts w:ascii="Times New Roman" w:hAnsi="Times New Roman" w:cs="Times New Roman" w:eastAsia="Times New Roman" w:hint="default"/>
                <w:sz w:val="18"/>
                <w:szCs w:val="18"/>
              </w:rPr>
              <w:t>Android</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8.1</w:t>
            </w:r>
            <w:r>
              <w:rPr>
                <w:rFonts w:ascii="宋体" w:hAnsi="宋体" w:cs="宋体" w:eastAsia="宋体" w:hint="default"/>
                <w:sz w:val="18"/>
                <w:szCs w:val="18"/>
              </w:rPr>
              <w:t>操作系 </w:t>
            </w:r>
            <w:r>
              <w:rPr>
                <w:rFonts w:ascii="宋体" w:hAnsi="宋体" w:cs="宋体" w:eastAsia="宋体" w:hint="default"/>
                <w:spacing w:val="-2"/>
                <w:sz w:val="18"/>
                <w:szCs w:val="18"/>
              </w:rPr>
              <w:t>统、具备</w:t>
            </w:r>
            <w:r>
              <w:rPr>
                <w:rFonts w:ascii="Times New Roman" w:hAnsi="Times New Roman" w:cs="Times New Roman" w:eastAsia="Times New Roman" w:hint="default"/>
                <w:spacing w:val="-2"/>
                <w:sz w:val="18"/>
                <w:szCs w:val="18"/>
              </w:rPr>
              <w:t>12.6mm</w:t>
            </w:r>
            <w:r>
              <w:rPr>
                <w:rFonts w:ascii="宋体" w:hAnsi="宋体" w:cs="宋体" w:eastAsia="宋体" w:hint="default"/>
                <w:spacing w:val="-2"/>
                <w:sz w:val="18"/>
                <w:szCs w:val="18"/>
              </w:rPr>
              <w:t>极致超薄机身、四核</w:t>
            </w:r>
            <w:r>
              <w:rPr>
                <w:rFonts w:ascii="Times New Roman" w:hAnsi="Times New Roman" w:cs="Times New Roman" w:eastAsia="Times New Roman" w:hint="default"/>
                <w:spacing w:val="-2"/>
                <w:sz w:val="18"/>
                <w:szCs w:val="18"/>
              </w:rPr>
              <w:t>1.4HzCPU</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1300</w:t>
            </w:r>
            <w:r>
              <w:rPr>
                <w:rFonts w:ascii="宋体" w:hAnsi="宋体" w:cs="宋体" w:eastAsia="宋体" w:hint="default"/>
                <w:spacing w:val="-2"/>
                <w:sz w:val="18"/>
                <w:szCs w:val="18"/>
              </w:rPr>
              <w:t>万像素后</w:t>
            </w:r>
            <w:r>
              <w:rPr>
                <w:rFonts w:ascii="宋体" w:hAnsi="宋体" w:cs="宋体" w:eastAsia="宋体" w:hint="default"/>
                <w:sz w:val="18"/>
                <w:szCs w:val="18"/>
              </w:rPr>
              <w:t> 置摄像头等配置，支持</w:t>
            </w:r>
            <w:r>
              <w:rPr>
                <w:rFonts w:ascii="Times New Roman" w:hAnsi="Times New Roman" w:cs="Times New Roman" w:eastAsia="Times New Roman" w:hint="default"/>
                <w:sz w:val="18"/>
                <w:szCs w:val="18"/>
              </w:rPr>
              <w:t>4G</w:t>
            </w:r>
            <w:r>
              <w:rPr>
                <w:rFonts w:ascii="宋体" w:hAnsi="宋体" w:cs="宋体" w:eastAsia="宋体" w:hint="default"/>
                <w:sz w:val="18"/>
                <w:szCs w:val="18"/>
              </w:rPr>
              <w:t>全网通、</w:t>
            </w:r>
            <w:r>
              <w:rPr>
                <w:rFonts w:ascii="Times New Roman" w:hAnsi="Times New Roman" w:cs="Times New Roman" w:eastAsia="Times New Roman" w:hint="default"/>
                <w:sz w:val="18"/>
                <w:szCs w:val="18"/>
              </w:rPr>
              <w:t>2.4G/5G</w:t>
            </w:r>
            <w:r>
              <w:rPr>
                <w:rFonts w:ascii="宋体" w:hAnsi="宋体" w:cs="宋体" w:eastAsia="宋体" w:hint="default"/>
                <w:sz w:val="18"/>
                <w:szCs w:val="18"/>
              </w:rPr>
              <w:t>双频</w:t>
            </w:r>
            <w:r>
              <w:rPr>
                <w:rFonts w:ascii="Times New Roman" w:hAnsi="Times New Roman" w:cs="Times New Roman" w:eastAsia="Times New Roman" w:hint="default"/>
                <w:sz w:val="18"/>
                <w:szCs w:val="18"/>
              </w:rPr>
              <w:t>WIFI</w:t>
            </w:r>
            <w:r>
              <w:rPr>
                <w:rFonts w:ascii="宋体" w:hAnsi="宋体" w:cs="宋体" w:eastAsia="宋体" w:hint="default"/>
                <w:sz w:val="18"/>
                <w:szCs w:val="18"/>
              </w:rPr>
              <w:t>、指纹识 别等功能，工业防护等级</w:t>
            </w:r>
            <w:r>
              <w:rPr>
                <w:rFonts w:ascii="Times New Roman" w:hAnsi="Times New Roman" w:cs="Times New Roman" w:eastAsia="Times New Roman" w:hint="default"/>
                <w:sz w:val="18"/>
                <w:szCs w:val="18"/>
              </w:rPr>
              <w:t>IP65</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3" w:right="111"/>
              <w:jc w:val="left"/>
              <w:rPr>
                <w:rFonts w:ascii="宋体" w:hAnsi="宋体" w:cs="宋体" w:eastAsia="宋体" w:hint="default"/>
                <w:sz w:val="18"/>
                <w:szCs w:val="18"/>
              </w:rPr>
            </w:pPr>
            <w:r>
              <w:rPr>
                <w:rFonts w:ascii="宋体" w:hAnsi="宋体" w:cs="宋体" w:eastAsia="宋体" w:hint="default"/>
                <w:sz w:val="18"/>
                <w:szCs w:val="18"/>
              </w:rPr>
              <w:t>设计验证 阶段</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2" w:right="2"/>
              <w:jc w:val="left"/>
              <w:rPr>
                <w:rFonts w:ascii="宋体" w:hAnsi="宋体" w:cs="宋体" w:eastAsia="宋体" w:hint="default"/>
                <w:sz w:val="18"/>
                <w:szCs w:val="18"/>
              </w:rPr>
            </w:pPr>
            <w:r>
              <w:rPr>
                <w:rFonts w:ascii="宋体" w:hAnsi="宋体" w:cs="宋体" w:eastAsia="宋体" w:hint="default"/>
                <w:spacing w:val="10"/>
                <w:sz w:val="18"/>
                <w:szCs w:val="18"/>
              </w:rPr>
              <w:t>提升公司在行业移动智能</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应用领域的市场竞争力</w:t>
            </w:r>
          </w:p>
        </w:tc>
      </w:tr>
      <w:tr>
        <w:trPr>
          <w:trHeight w:val="971"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4</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3" w:right="51"/>
              <w:jc w:val="left"/>
              <w:rPr>
                <w:rFonts w:ascii="宋体" w:hAnsi="宋体" w:cs="宋体" w:eastAsia="宋体" w:hint="default"/>
                <w:sz w:val="18"/>
                <w:szCs w:val="18"/>
              </w:rPr>
            </w:pPr>
            <w:r>
              <w:rPr>
                <w:rFonts w:ascii="宋体" w:hAnsi="宋体" w:cs="宋体" w:eastAsia="宋体" w:hint="default"/>
                <w:sz w:val="18"/>
                <w:szCs w:val="18"/>
              </w:rPr>
              <w:t>工业级</w:t>
            </w:r>
            <w:r>
              <w:rPr>
                <w:rFonts w:ascii="Times New Roman" w:hAnsi="Times New Roman" w:cs="Times New Roman" w:eastAsia="Times New Roman" w:hint="default"/>
                <w:sz w:val="18"/>
                <w:szCs w:val="18"/>
              </w:rPr>
              <w:t>RFID</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手持终端</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21"/>
              <w:ind w:left="2" w:right="53"/>
              <w:jc w:val="both"/>
              <w:rPr>
                <w:rFonts w:ascii="宋体" w:hAnsi="宋体" w:cs="宋体" w:eastAsia="宋体" w:hint="default"/>
                <w:sz w:val="18"/>
                <w:szCs w:val="18"/>
              </w:rPr>
            </w:pPr>
            <w:r>
              <w:rPr>
                <w:rFonts w:ascii="宋体" w:hAnsi="宋体" w:cs="宋体" w:eastAsia="宋体" w:hint="default"/>
                <w:sz w:val="18"/>
                <w:szCs w:val="18"/>
              </w:rPr>
              <w:t>该设备采用</w:t>
            </w:r>
            <w:r>
              <w:rPr>
                <w:rFonts w:ascii="Times New Roman" w:hAnsi="Times New Roman" w:cs="Times New Roman" w:eastAsia="Times New Roman" w:hint="default"/>
                <w:sz w:val="18"/>
                <w:szCs w:val="18"/>
              </w:rPr>
              <w:t>Android</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7.0</w:t>
            </w:r>
            <w:r>
              <w:rPr>
                <w:rFonts w:ascii="宋体" w:hAnsi="宋体" w:cs="宋体" w:eastAsia="宋体" w:hint="default"/>
                <w:sz w:val="18"/>
                <w:szCs w:val="18"/>
              </w:rPr>
              <w:t>操作系统，具备出色的远距离超高频和 高频双重读写，主要应用于资产管理、库存盘点、货物追溯、 药品安全监管和工业流程管理等领域</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11"/>
              <w:jc w:val="left"/>
              <w:rPr>
                <w:rFonts w:ascii="宋体" w:hAnsi="宋体" w:cs="宋体" w:eastAsia="宋体" w:hint="default"/>
                <w:sz w:val="18"/>
                <w:szCs w:val="18"/>
              </w:rPr>
            </w:pPr>
            <w:r>
              <w:rPr>
                <w:rFonts w:ascii="宋体" w:hAnsi="宋体" w:cs="宋体" w:eastAsia="宋体" w:hint="default"/>
                <w:sz w:val="18"/>
                <w:szCs w:val="18"/>
              </w:rPr>
              <w:t>已进入量 产阶段</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2"/>
              <w:jc w:val="left"/>
              <w:rPr>
                <w:rFonts w:ascii="宋体" w:hAnsi="宋体" w:cs="宋体" w:eastAsia="宋体" w:hint="default"/>
                <w:sz w:val="18"/>
                <w:szCs w:val="18"/>
              </w:rPr>
            </w:pPr>
            <w:r>
              <w:rPr>
                <w:rFonts w:ascii="宋体" w:hAnsi="宋体" w:cs="宋体" w:eastAsia="宋体" w:hint="default"/>
                <w:spacing w:val="10"/>
                <w:sz w:val="18"/>
                <w:szCs w:val="18"/>
              </w:rPr>
              <w:t>提升公司在行业移动智能</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应用领域的市场竞争力</w:t>
            </w:r>
          </w:p>
        </w:tc>
      </w:tr>
      <w:tr>
        <w:trPr>
          <w:trHeight w:val="971"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5</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01"/>
              <w:jc w:val="left"/>
              <w:rPr>
                <w:rFonts w:ascii="宋体" w:hAnsi="宋体" w:cs="宋体" w:eastAsia="宋体" w:hint="default"/>
                <w:sz w:val="18"/>
                <w:szCs w:val="18"/>
              </w:rPr>
            </w:pPr>
            <w:r>
              <w:rPr>
                <w:rFonts w:ascii="宋体" w:hAnsi="宋体" w:cs="宋体" w:eastAsia="宋体" w:hint="default"/>
                <w:sz w:val="18"/>
                <w:szCs w:val="18"/>
              </w:rPr>
              <w:t>移动智能支 付终端</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1"/>
              <w:jc w:val="both"/>
              <w:rPr>
                <w:rFonts w:ascii="宋体" w:hAnsi="宋体" w:cs="宋体" w:eastAsia="宋体" w:hint="default"/>
                <w:sz w:val="18"/>
                <w:szCs w:val="18"/>
              </w:rPr>
            </w:pPr>
            <w:r>
              <w:rPr>
                <w:rFonts w:ascii="宋体" w:hAnsi="宋体" w:cs="宋体" w:eastAsia="宋体" w:hint="default"/>
                <w:sz w:val="18"/>
                <w:szCs w:val="18"/>
              </w:rPr>
              <w:t>该设备是一款集摄像头条码扫描、</w:t>
            </w:r>
            <w:r>
              <w:rPr>
                <w:rFonts w:ascii="Times New Roman" w:hAnsi="Times New Roman" w:cs="Times New Roman" w:eastAsia="Times New Roman" w:hint="default"/>
                <w:sz w:val="18"/>
                <w:szCs w:val="18"/>
              </w:rPr>
              <w:t>4G</w:t>
            </w:r>
            <w:r>
              <w:rPr>
                <w:rFonts w:ascii="宋体" w:hAnsi="宋体" w:cs="宋体" w:eastAsia="宋体" w:hint="default"/>
                <w:sz w:val="18"/>
                <w:szCs w:val="18"/>
              </w:rPr>
              <w:t>全网通讯、打印机、非接 </w:t>
            </w:r>
            <w:r>
              <w:rPr>
                <w:rFonts w:ascii="宋体" w:hAnsi="宋体" w:cs="宋体" w:eastAsia="宋体" w:hint="default"/>
                <w:spacing w:val="-3"/>
                <w:sz w:val="18"/>
                <w:szCs w:val="18"/>
              </w:rPr>
              <w:t>卡读写、接触式</w:t>
            </w:r>
            <w:r>
              <w:rPr>
                <w:rFonts w:ascii="Times New Roman" w:hAnsi="Times New Roman" w:cs="Times New Roman" w:eastAsia="Times New Roman" w:hint="default"/>
                <w:spacing w:val="-3"/>
                <w:sz w:val="18"/>
                <w:szCs w:val="18"/>
              </w:rPr>
              <w:t>IC</w:t>
            </w:r>
            <w:r>
              <w:rPr>
                <w:rFonts w:ascii="宋体" w:hAnsi="宋体" w:cs="宋体" w:eastAsia="宋体" w:hint="default"/>
                <w:spacing w:val="-3"/>
                <w:sz w:val="18"/>
                <w:szCs w:val="18"/>
              </w:rPr>
              <w:t>卡读写、磁条卡读写、</w:t>
            </w:r>
            <w:r>
              <w:rPr>
                <w:rFonts w:ascii="Times New Roman" w:hAnsi="Times New Roman" w:cs="Times New Roman" w:eastAsia="Times New Roman" w:hint="default"/>
                <w:spacing w:val="-3"/>
                <w:sz w:val="18"/>
                <w:szCs w:val="18"/>
              </w:rPr>
              <w:t>PSAM</w:t>
            </w:r>
            <w:r>
              <w:rPr>
                <w:rFonts w:ascii="宋体" w:hAnsi="宋体" w:cs="宋体" w:eastAsia="宋体" w:hint="default"/>
                <w:spacing w:val="-3"/>
                <w:sz w:val="18"/>
                <w:szCs w:val="18"/>
              </w:rPr>
              <w:t>等强大功能于一</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体的智能移动支付终端，外观轻便时尚，线条流畅，便于手持</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11"/>
              <w:jc w:val="left"/>
              <w:rPr>
                <w:rFonts w:ascii="宋体" w:hAnsi="宋体" w:cs="宋体" w:eastAsia="宋体" w:hint="default"/>
                <w:sz w:val="18"/>
                <w:szCs w:val="18"/>
              </w:rPr>
            </w:pPr>
            <w:r>
              <w:rPr>
                <w:rFonts w:ascii="宋体" w:hAnsi="宋体" w:cs="宋体" w:eastAsia="宋体" w:hint="default"/>
                <w:sz w:val="18"/>
                <w:szCs w:val="18"/>
              </w:rPr>
              <w:t>已进入量 产阶段</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2"/>
              <w:jc w:val="left"/>
              <w:rPr>
                <w:rFonts w:ascii="宋体" w:hAnsi="宋体" w:cs="宋体" w:eastAsia="宋体" w:hint="default"/>
                <w:sz w:val="18"/>
                <w:szCs w:val="18"/>
              </w:rPr>
            </w:pPr>
            <w:r>
              <w:rPr>
                <w:rFonts w:ascii="宋体" w:hAnsi="宋体" w:cs="宋体" w:eastAsia="宋体" w:hint="default"/>
                <w:spacing w:val="10"/>
                <w:sz w:val="18"/>
                <w:szCs w:val="18"/>
              </w:rPr>
              <w:t>提升公司在智能移动支付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领域的竞争力</w:t>
            </w:r>
          </w:p>
        </w:tc>
      </w:tr>
      <w:tr>
        <w:trPr>
          <w:trHeight w:val="1595"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6</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01"/>
              <w:jc w:val="left"/>
              <w:rPr>
                <w:rFonts w:ascii="宋体" w:hAnsi="宋体" w:cs="宋体" w:eastAsia="宋体" w:hint="default"/>
                <w:sz w:val="18"/>
                <w:szCs w:val="18"/>
              </w:rPr>
            </w:pPr>
            <w:r>
              <w:rPr>
                <w:rFonts w:ascii="宋体" w:hAnsi="宋体" w:cs="宋体" w:eastAsia="宋体" w:hint="default"/>
                <w:sz w:val="18"/>
                <w:szCs w:val="18"/>
              </w:rPr>
              <w:t>公交车载智 能支付终端</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04" w:lineRule="auto" w:before="21"/>
              <w:ind w:left="2" w:right="13"/>
              <w:jc w:val="both"/>
              <w:rPr>
                <w:rFonts w:ascii="宋体" w:hAnsi="宋体" w:cs="宋体" w:eastAsia="宋体" w:hint="default"/>
                <w:sz w:val="18"/>
                <w:szCs w:val="18"/>
              </w:rPr>
            </w:pPr>
            <w:r>
              <w:rPr>
                <w:rFonts w:ascii="宋体" w:hAnsi="宋体" w:cs="宋体" w:eastAsia="宋体" w:hint="default"/>
                <w:sz w:val="18"/>
                <w:szCs w:val="18"/>
              </w:rPr>
              <w:t>该设备采用</w:t>
            </w:r>
            <w:r>
              <w:rPr>
                <w:rFonts w:ascii="Times New Roman" w:hAnsi="Times New Roman" w:cs="Times New Roman" w:eastAsia="Times New Roman" w:hint="default"/>
                <w:sz w:val="18"/>
                <w:szCs w:val="18"/>
              </w:rPr>
              <w:t>Linux/Android</w:t>
            </w:r>
            <w:r>
              <w:rPr>
                <w:rFonts w:ascii="宋体" w:hAnsi="宋体" w:cs="宋体" w:eastAsia="宋体" w:hint="default"/>
                <w:sz w:val="18"/>
                <w:szCs w:val="18"/>
              </w:rPr>
              <w:t>系统，融合扫码支付、</w:t>
            </w:r>
            <w:r>
              <w:rPr>
                <w:rFonts w:ascii="Times New Roman" w:hAnsi="Times New Roman" w:cs="Times New Roman" w:eastAsia="Times New Roman" w:hint="default"/>
                <w:sz w:val="18"/>
                <w:szCs w:val="18"/>
              </w:rPr>
              <w:t>NFC</w:t>
            </w:r>
            <w:r>
              <w:rPr>
                <w:rFonts w:ascii="宋体" w:hAnsi="宋体" w:cs="宋体" w:eastAsia="宋体" w:hint="default"/>
                <w:sz w:val="18"/>
                <w:szCs w:val="18"/>
              </w:rPr>
              <w:t>闪付、一 卡通支付等多种支付方式，能有效满足市民</w:t>
            </w:r>
            <w:r>
              <w:rPr>
                <w:rFonts w:ascii="Times New Roman" w:hAnsi="Times New Roman" w:cs="Times New Roman" w:eastAsia="Times New Roman" w:hint="default"/>
                <w:sz w:val="18"/>
                <w:szCs w:val="18"/>
              </w:rPr>
              <w:t>“</w:t>
            </w:r>
            <w:r>
              <w:rPr>
                <w:rFonts w:ascii="宋体" w:hAnsi="宋体" w:cs="宋体" w:eastAsia="宋体" w:hint="default"/>
                <w:sz w:val="18"/>
                <w:szCs w:val="18"/>
              </w:rPr>
              <w:t>无现金</w:t>
            </w:r>
            <w:r>
              <w:rPr>
                <w:rFonts w:ascii="Times New Roman" w:hAnsi="Times New Roman" w:cs="Times New Roman" w:eastAsia="Times New Roman" w:hint="default"/>
                <w:sz w:val="18"/>
                <w:szCs w:val="18"/>
              </w:rPr>
              <w:t>”</w:t>
            </w:r>
            <w:r>
              <w:rPr>
                <w:rFonts w:ascii="宋体" w:hAnsi="宋体" w:cs="宋体" w:eastAsia="宋体" w:hint="default"/>
                <w:sz w:val="18"/>
                <w:szCs w:val="18"/>
              </w:rPr>
              <w:t>安全支付 需求，同时具备精确定位、</w:t>
            </w:r>
            <w:r>
              <w:rPr>
                <w:rFonts w:ascii="Times New Roman" w:hAnsi="Times New Roman" w:cs="Times New Roman" w:eastAsia="Times New Roman" w:hint="default"/>
                <w:sz w:val="18"/>
                <w:szCs w:val="18"/>
              </w:rPr>
              <w:t>4G</w:t>
            </w:r>
            <w:r>
              <w:rPr>
                <w:rFonts w:ascii="宋体" w:hAnsi="宋体" w:cs="宋体" w:eastAsia="宋体" w:hint="default"/>
                <w:sz w:val="18"/>
                <w:szCs w:val="18"/>
              </w:rPr>
              <w:t>全网通等其他多种功能，可有效 帮助公交管理系统后台实时监控车辆运行状态、统计车辆空驶 率、实时调度车辆等</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11"/>
              <w:jc w:val="left"/>
              <w:rPr>
                <w:rFonts w:ascii="宋体" w:hAnsi="宋体" w:cs="宋体" w:eastAsia="宋体" w:hint="default"/>
                <w:sz w:val="18"/>
                <w:szCs w:val="18"/>
              </w:rPr>
            </w:pPr>
            <w:r>
              <w:rPr>
                <w:rFonts w:ascii="宋体" w:hAnsi="宋体" w:cs="宋体" w:eastAsia="宋体" w:hint="default"/>
                <w:sz w:val="18"/>
                <w:szCs w:val="18"/>
              </w:rPr>
              <w:t>已进入量 产阶段</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2"/>
              <w:jc w:val="left"/>
              <w:rPr>
                <w:rFonts w:ascii="宋体" w:hAnsi="宋体" w:cs="宋体" w:eastAsia="宋体" w:hint="default"/>
                <w:sz w:val="18"/>
                <w:szCs w:val="18"/>
              </w:rPr>
            </w:pPr>
            <w:r>
              <w:rPr>
                <w:rFonts w:ascii="宋体" w:hAnsi="宋体" w:cs="宋体" w:eastAsia="宋体" w:hint="default"/>
                <w:spacing w:val="10"/>
                <w:sz w:val="18"/>
                <w:szCs w:val="18"/>
              </w:rPr>
              <w:t>提升公司在智能移动支付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领域的竞争力</w:t>
            </w:r>
          </w:p>
        </w:tc>
      </w:tr>
      <w:tr>
        <w:trPr>
          <w:trHeight w:val="971"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7</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01"/>
              <w:jc w:val="left"/>
              <w:rPr>
                <w:rFonts w:ascii="宋体" w:hAnsi="宋体" w:cs="宋体" w:eastAsia="宋体" w:hint="default"/>
                <w:sz w:val="18"/>
                <w:szCs w:val="18"/>
              </w:rPr>
            </w:pPr>
            <w:r>
              <w:rPr>
                <w:rFonts w:ascii="宋体" w:hAnsi="宋体" w:cs="宋体" w:eastAsia="宋体" w:hint="default"/>
                <w:sz w:val="18"/>
                <w:szCs w:val="18"/>
              </w:rPr>
              <w:t>手持非接扫 码终端</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21"/>
              <w:ind w:left="2" w:right="53"/>
              <w:jc w:val="both"/>
              <w:rPr>
                <w:rFonts w:ascii="宋体" w:hAnsi="宋体" w:cs="宋体" w:eastAsia="宋体" w:hint="default"/>
                <w:sz w:val="18"/>
                <w:szCs w:val="18"/>
              </w:rPr>
            </w:pPr>
            <w:r>
              <w:rPr>
                <w:rFonts w:ascii="宋体" w:hAnsi="宋体" w:cs="宋体" w:eastAsia="宋体" w:hint="default"/>
                <w:sz w:val="18"/>
                <w:szCs w:val="18"/>
              </w:rPr>
              <w:t>该设备通过中国银联动态二维码生成设备测试认证，支持二维 码识别、非接卡读写、接触式</w:t>
            </w:r>
            <w:r>
              <w:rPr>
                <w:rFonts w:ascii="Times New Roman" w:hAnsi="Times New Roman" w:cs="Times New Roman" w:eastAsia="Times New Roman" w:hint="default"/>
                <w:sz w:val="18"/>
                <w:szCs w:val="18"/>
              </w:rPr>
              <w:t>IC</w:t>
            </w:r>
            <w:r>
              <w:rPr>
                <w:rFonts w:ascii="宋体" w:hAnsi="宋体" w:cs="宋体" w:eastAsia="宋体" w:hint="default"/>
                <w:sz w:val="18"/>
                <w:szCs w:val="18"/>
              </w:rPr>
              <w:t>卡读写、微信支付宝等扫码支 付功能，支持顾客被扫交易</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11"/>
              <w:jc w:val="left"/>
              <w:rPr>
                <w:rFonts w:ascii="宋体" w:hAnsi="宋体" w:cs="宋体" w:eastAsia="宋体" w:hint="default"/>
                <w:sz w:val="18"/>
                <w:szCs w:val="18"/>
              </w:rPr>
            </w:pPr>
            <w:r>
              <w:rPr>
                <w:rFonts w:ascii="宋体" w:hAnsi="宋体" w:cs="宋体" w:eastAsia="宋体" w:hint="default"/>
                <w:sz w:val="18"/>
                <w:szCs w:val="18"/>
              </w:rPr>
              <w:t>小批量量 产阶段</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
              <w:jc w:val="left"/>
              <w:rPr>
                <w:rFonts w:ascii="宋体" w:hAnsi="宋体" w:cs="宋体" w:eastAsia="宋体" w:hint="default"/>
                <w:sz w:val="18"/>
                <w:szCs w:val="18"/>
              </w:rPr>
            </w:pPr>
            <w:r>
              <w:rPr>
                <w:rFonts w:ascii="宋体" w:hAnsi="宋体" w:cs="宋体" w:eastAsia="宋体" w:hint="default"/>
                <w:spacing w:val="10"/>
                <w:sz w:val="18"/>
                <w:szCs w:val="18"/>
              </w:rPr>
              <w:t>提升公司在智能移动支付</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领域的竞争力</w:t>
            </w:r>
          </w:p>
        </w:tc>
      </w:tr>
      <w:tr>
        <w:trPr>
          <w:trHeight w:val="659"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8</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01"/>
              <w:jc w:val="right"/>
              <w:rPr>
                <w:rFonts w:ascii="宋体" w:hAnsi="宋体" w:cs="宋体" w:eastAsia="宋体" w:hint="default"/>
                <w:sz w:val="18"/>
                <w:szCs w:val="18"/>
              </w:rPr>
            </w:pPr>
            <w:r>
              <w:rPr>
                <w:rFonts w:ascii="宋体" w:hAnsi="宋体" w:cs="宋体" w:eastAsia="宋体" w:hint="default"/>
                <w:sz w:val="18"/>
                <w:szCs w:val="18"/>
              </w:rPr>
              <w:t>台式扫码盒</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143"/>
              <w:jc w:val="left"/>
              <w:rPr>
                <w:rFonts w:ascii="宋体" w:hAnsi="宋体" w:cs="宋体" w:eastAsia="宋体" w:hint="default"/>
                <w:sz w:val="18"/>
                <w:szCs w:val="18"/>
              </w:rPr>
            </w:pPr>
            <w:r>
              <w:rPr>
                <w:rFonts w:ascii="宋体" w:hAnsi="宋体" w:cs="宋体" w:eastAsia="宋体" w:hint="default"/>
                <w:sz w:val="18"/>
                <w:szCs w:val="18"/>
              </w:rPr>
              <w:t>该设备是为小微商户开发的一款收款设备，即插即用</w:t>
            </w:r>
            <w:r>
              <w:rPr>
                <w:rFonts w:ascii="Times New Roman" w:hAnsi="Times New Roman" w:cs="Times New Roman" w:eastAsia="Times New Roman" w:hint="default"/>
                <w:sz w:val="18"/>
                <w:szCs w:val="18"/>
              </w:rPr>
              <w:t>360</w:t>
            </w:r>
            <w:r>
              <w:rPr>
                <w:rFonts w:ascii="宋体" w:hAnsi="宋体" w:cs="宋体" w:eastAsia="宋体" w:hint="default"/>
                <w:sz w:val="18"/>
                <w:szCs w:val="18"/>
              </w:rPr>
              <w:t>度扫 描，满足小微商户微信、支付宝等收款应用场景</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11"/>
              <w:jc w:val="left"/>
              <w:rPr>
                <w:rFonts w:ascii="宋体" w:hAnsi="宋体" w:cs="宋体" w:eastAsia="宋体" w:hint="default"/>
                <w:sz w:val="18"/>
                <w:szCs w:val="18"/>
              </w:rPr>
            </w:pPr>
            <w:r>
              <w:rPr>
                <w:rFonts w:ascii="宋体" w:hAnsi="宋体" w:cs="宋体" w:eastAsia="宋体" w:hint="default"/>
                <w:sz w:val="18"/>
                <w:szCs w:val="18"/>
              </w:rPr>
              <w:t>已进入量 产阶段</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2"/>
              <w:jc w:val="left"/>
              <w:rPr>
                <w:rFonts w:ascii="宋体" w:hAnsi="宋体" w:cs="宋体" w:eastAsia="宋体" w:hint="default"/>
                <w:sz w:val="18"/>
                <w:szCs w:val="18"/>
              </w:rPr>
            </w:pPr>
            <w:r>
              <w:rPr>
                <w:rFonts w:ascii="宋体" w:hAnsi="宋体" w:cs="宋体" w:eastAsia="宋体" w:hint="default"/>
                <w:spacing w:val="10"/>
                <w:sz w:val="18"/>
                <w:szCs w:val="18"/>
              </w:rPr>
              <w:t>提升公司在智能移动支付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领域的竞争力</w:t>
            </w:r>
          </w:p>
        </w:tc>
      </w:tr>
      <w:tr>
        <w:trPr>
          <w:trHeight w:val="1284"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9</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01"/>
              <w:jc w:val="left"/>
              <w:rPr>
                <w:rFonts w:ascii="宋体" w:hAnsi="宋体" w:cs="宋体" w:eastAsia="宋体" w:hint="default"/>
                <w:sz w:val="18"/>
                <w:szCs w:val="18"/>
              </w:rPr>
            </w:pPr>
            <w:r>
              <w:rPr>
                <w:rFonts w:ascii="宋体" w:hAnsi="宋体" w:cs="宋体" w:eastAsia="宋体" w:hint="default"/>
                <w:sz w:val="18"/>
                <w:szCs w:val="18"/>
              </w:rPr>
              <w:t>台式非接扫 码终端</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07" w:lineRule="auto" w:before="21"/>
              <w:ind w:left="2" w:right="1"/>
              <w:jc w:val="both"/>
              <w:rPr>
                <w:rFonts w:ascii="宋体" w:hAnsi="宋体" w:cs="宋体" w:eastAsia="宋体" w:hint="default"/>
                <w:sz w:val="18"/>
                <w:szCs w:val="18"/>
              </w:rPr>
            </w:pPr>
            <w:r>
              <w:rPr>
                <w:rFonts w:ascii="宋体" w:hAnsi="宋体" w:cs="宋体" w:eastAsia="宋体" w:hint="default"/>
                <w:spacing w:val="-2"/>
                <w:sz w:val="18"/>
                <w:szCs w:val="18"/>
              </w:rPr>
              <w:t>该设备可识读</w:t>
            </w:r>
            <w:r>
              <w:rPr>
                <w:rFonts w:ascii="Times New Roman" w:hAnsi="Times New Roman" w:cs="Times New Roman" w:eastAsia="Times New Roman" w:hint="default"/>
                <w:spacing w:val="-2"/>
                <w:sz w:val="18"/>
                <w:szCs w:val="18"/>
              </w:rPr>
              <w:t>1D</w:t>
            </w:r>
            <w:r>
              <w:rPr>
                <w:rFonts w:ascii="宋体" w:hAnsi="宋体" w:cs="宋体" w:eastAsia="宋体" w:hint="default"/>
                <w:spacing w:val="-2"/>
                <w:sz w:val="18"/>
                <w:szCs w:val="18"/>
              </w:rPr>
              <w:t>和</w:t>
            </w:r>
            <w:r>
              <w:rPr>
                <w:rFonts w:ascii="Times New Roman" w:hAnsi="Times New Roman" w:cs="Times New Roman" w:eastAsia="Times New Roman" w:hint="default"/>
                <w:spacing w:val="-2"/>
                <w:sz w:val="18"/>
                <w:szCs w:val="18"/>
              </w:rPr>
              <w:t>2D</w:t>
            </w:r>
            <w:r>
              <w:rPr>
                <w:rFonts w:ascii="宋体" w:hAnsi="宋体" w:cs="宋体" w:eastAsia="宋体" w:hint="default"/>
                <w:spacing w:val="-2"/>
                <w:sz w:val="18"/>
                <w:szCs w:val="18"/>
              </w:rPr>
              <w:t>条码，并将扫码与云闪付融合成一体，支</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3"/>
                <w:sz w:val="18"/>
                <w:szCs w:val="18"/>
              </w:rPr>
              <w:t>持双屏显示和外接键盘，</w:t>
            </w:r>
            <w:r>
              <w:rPr>
                <w:rFonts w:ascii="Times New Roman" w:hAnsi="Times New Roman" w:cs="Times New Roman" w:eastAsia="Times New Roman" w:hint="default"/>
                <w:spacing w:val="-3"/>
                <w:sz w:val="18"/>
                <w:szCs w:val="18"/>
              </w:rPr>
              <w:t>USB</w:t>
            </w:r>
            <w:r>
              <w:rPr>
                <w:rFonts w:ascii="宋体" w:hAnsi="宋体" w:cs="宋体" w:eastAsia="宋体" w:hint="default"/>
                <w:spacing w:val="-3"/>
                <w:sz w:val="18"/>
                <w:szCs w:val="18"/>
              </w:rPr>
              <w:t>、串口、蓝牙、</w:t>
            </w:r>
            <w:r>
              <w:rPr>
                <w:rFonts w:ascii="Times New Roman" w:hAnsi="Times New Roman" w:cs="Times New Roman" w:eastAsia="Times New Roman" w:hint="default"/>
                <w:spacing w:val="-3"/>
                <w:sz w:val="18"/>
                <w:szCs w:val="18"/>
              </w:rPr>
              <w:t>WIFI</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GRPS</w:t>
            </w:r>
            <w:r>
              <w:rPr>
                <w:rFonts w:ascii="宋体" w:hAnsi="宋体" w:cs="宋体" w:eastAsia="宋体" w:hint="default"/>
                <w:spacing w:val="-3"/>
                <w:sz w:val="18"/>
                <w:szCs w:val="18"/>
              </w:rPr>
              <w:t>、以</w:t>
            </w:r>
            <w:r>
              <w:rPr>
                <w:rFonts w:ascii="宋体" w:hAnsi="宋体" w:cs="宋体" w:eastAsia="宋体" w:hint="default"/>
                <w:spacing w:val="-66"/>
                <w:sz w:val="18"/>
                <w:szCs w:val="18"/>
              </w:rPr>
              <w:t> </w:t>
            </w:r>
            <w:r>
              <w:rPr>
                <w:rFonts w:ascii="宋体" w:hAnsi="宋体" w:cs="宋体" w:eastAsia="宋体" w:hint="default"/>
                <w:sz w:val="18"/>
                <w:szCs w:val="18"/>
              </w:rPr>
              <w:t>太网等多通讯方式，可与多种支付场景实现无缝链接。内置安</w:t>
            </w:r>
            <w:r>
              <w:rPr>
                <w:rFonts w:ascii="宋体" w:hAnsi="宋体" w:cs="宋体" w:eastAsia="宋体" w:hint="default"/>
                <w:sz w:val="18"/>
                <w:szCs w:val="18"/>
              </w:rPr>
              <w:t> 全芯片，整机采用金融</w:t>
            </w:r>
            <w:r>
              <w:rPr>
                <w:rFonts w:ascii="Times New Roman" w:hAnsi="Times New Roman" w:cs="Times New Roman" w:eastAsia="Times New Roman" w:hint="default"/>
                <w:sz w:val="18"/>
                <w:szCs w:val="18"/>
              </w:rPr>
              <w:t>POS</w:t>
            </w:r>
            <w:r>
              <w:rPr>
                <w:rFonts w:ascii="宋体" w:hAnsi="宋体" w:cs="宋体" w:eastAsia="宋体" w:hint="default"/>
                <w:sz w:val="18"/>
                <w:szCs w:val="18"/>
              </w:rPr>
              <w:t>的安全防护设计，产品通过中国银</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10"/>
              <w:jc w:val="left"/>
              <w:rPr>
                <w:rFonts w:ascii="宋体" w:hAnsi="宋体" w:cs="宋体" w:eastAsia="宋体" w:hint="default"/>
                <w:sz w:val="18"/>
                <w:szCs w:val="18"/>
              </w:rPr>
            </w:pPr>
            <w:r>
              <w:rPr>
                <w:rFonts w:ascii="宋体" w:hAnsi="宋体" w:cs="宋体" w:eastAsia="宋体" w:hint="default"/>
                <w:sz w:val="18"/>
                <w:szCs w:val="18"/>
              </w:rPr>
              <w:t>小批量量 产阶段</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2"/>
              <w:jc w:val="left"/>
              <w:rPr>
                <w:rFonts w:ascii="宋体" w:hAnsi="宋体" w:cs="宋体" w:eastAsia="宋体" w:hint="default"/>
                <w:sz w:val="18"/>
                <w:szCs w:val="18"/>
              </w:rPr>
            </w:pPr>
            <w:r>
              <w:rPr>
                <w:rFonts w:ascii="宋体" w:hAnsi="宋体" w:cs="宋体" w:eastAsia="宋体" w:hint="default"/>
                <w:spacing w:val="10"/>
                <w:sz w:val="18"/>
                <w:szCs w:val="18"/>
              </w:rPr>
              <w:t>提升公司在智能移动支付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领域的竞争力</w:t>
            </w:r>
          </w:p>
        </w:tc>
      </w:tr>
    </w:tbl>
    <w:p>
      <w:pPr>
        <w:spacing w:after="0" w:line="316"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6" w:type="dxa"/>
        <w:tblLayout w:type="fixed"/>
        <w:tblCellMar>
          <w:top w:w="0" w:type="dxa"/>
          <w:left w:w="0" w:type="dxa"/>
          <w:bottom w:w="0" w:type="dxa"/>
          <w:right w:w="0" w:type="dxa"/>
        </w:tblCellMar>
        <w:tblLook w:val="01E0"/>
      </w:tblPr>
      <w:tblGrid>
        <w:gridCol w:w="568"/>
        <w:gridCol w:w="1021"/>
        <w:gridCol w:w="4932"/>
        <w:gridCol w:w="851"/>
        <w:gridCol w:w="2126"/>
      </w:tblGrid>
      <w:tr>
        <w:trPr>
          <w:trHeight w:val="347" w:hRule="exact"/>
        </w:trPr>
        <w:tc>
          <w:tcPr>
            <w:tcW w:w="568" w:type="dxa"/>
            <w:tcBorders>
              <w:top w:val="single" w:sz="6" w:space="0" w:color="000000"/>
              <w:left w:val="single" w:sz="6" w:space="0" w:color="000000"/>
              <w:bottom w:val="single" w:sz="6" w:space="0" w:color="000000"/>
              <w:right w:val="single" w:sz="6" w:space="0" w:color="000000"/>
            </w:tcBorders>
          </w:tcPr>
          <w:p>
            <w:pPr/>
          </w:p>
        </w:tc>
        <w:tc>
          <w:tcPr>
            <w:tcW w:w="1021" w:type="dxa"/>
            <w:tcBorders>
              <w:top w:val="single" w:sz="6" w:space="0" w:color="000000"/>
              <w:left w:val="single" w:sz="6" w:space="0" w:color="000000"/>
              <w:bottom w:val="single" w:sz="6" w:space="0" w:color="000000"/>
              <w:right w:val="single" w:sz="6" w:space="0" w:color="000000"/>
            </w:tcBorders>
          </w:tcPr>
          <w:p>
            <w:pP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联动态二维码生成设备测试认证，为金融交易提供安全保护</w:t>
            </w:r>
          </w:p>
        </w:tc>
        <w:tc>
          <w:tcPr>
            <w:tcW w:w="851" w:type="dxa"/>
            <w:tcBorders>
              <w:top w:val="single" w:sz="6" w:space="0" w:color="000000"/>
              <w:left w:val="single" w:sz="6" w:space="0" w:color="000000"/>
              <w:bottom w:val="single" w:sz="6" w:space="0" w:color="000000"/>
              <w:right w:val="single" w:sz="6" w:space="0" w:color="000000"/>
            </w:tcBorders>
          </w:tcPr>
          <w:p>
            <w:pPr/>
          </w:p>
        </w:tc>
        <w:tc>
          <w:tcPr>
            <w:tcW w:w="2126" w:type="dxa"/>
            <w:tcBorders>
              <w:top w:val="single" w:sz="6" w:space="0" w:color="000000"/>
              <w:left w:val="single" w:sz="6" w:space="0" w:color="000000"/>
              <w:bottom w:val="single" w:sz="6" w:space="0" w:color="000000"/>
              <w:right w:val="single" w:sz="6" w:space="0" w:color="000000"/>
            </w:tcBorders>
          </w:tcPr>
          <w:p>
            <w:pPr/>
          </w:p>
        </w:tc>
      </w:tr>
      <w:tr>
        <w:trPr>
          <w:trHeight w:val="971"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85"/>
              <w:jc w:val="right"/>
              <w:rPr>
                <w:rFonts w:ascii="Times New Roman" w:hAnsi="Times New Roman" w:cs="Times New Roman" w:eastAsia="Times New Roman" w:hint="default"/>
                <w:sz w:val="18"/>
                <w:szCs w:val="18"/>
              </w:rPr>
            </w:pPr>
            <w:r>
              <w:rPr>
                <w:rFonts w:ascii="Times New Roman"/>
                <w:sz w:val="18"/>
              </w:rPr>
              <w:t>10</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01"/>
              <w:jc w:val="left"/>
              <w:rPr>
                <w:rFonts w:ascii="宋体" w:hAnsi="宋体" w:cs="宋体" w:eastAsia="宋体" w:hint="default"/>
                <w:sz w:val="18"/>
                <w:szCs w:val="18"/>
              </w:rPr>
            </w:pPr>
            <w:r>
              <w:rPr>
                <w:rFonts w:ascii="宋体" w:hAnsi="宋体" w:cs="宋体" w:eastAsia="宋体" w:hint="default"/>
                <w:sz w:val="18"/>
                <w:szCs w:val="18"/>
              </w:rPr>
              <w:t>智能仓储机 器人</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8"/>
              <w:jc w:val="left"/>
              <w:rPr>
                <w:rFonts w:ascii="宋体" w:hAnsi="宋体" w:cs="宋体" w:eastAsia="宋体" w:hint="default"/>
                <w:sz w:val="18"/>
                <w:szCs w:val="18"/>
              </w:rPr>
            </w:pPr>
            <w:r>
              <w:rPr>
                <w:rFonts w:ascii="宋体" w:hAnsi="宋体" w:cs="宋体" w:eastAsia="宋体" w:hint="default"/>
                <w:sz w:val="18"/>
                <w:szCs w:val="18"/>
              </w:rPr>
              <w:t>该设备具备优化调度、实时监控、无轨自主运输、柔性路径规 </w:t>
            </w:r>
            <w:r>
              <w:rPr>
                <w:rFonts w:ascii="宋体" w:hAnsi="宋体" w:cs="宋体" w:eastAsia="宋体" w:hint="default"/>
                <w:spacing w:val="-4"/>
                <w:sz w:val="18"/>
                <w:szCs w:val="18"/>
              </w:rPr>
              <w:t>划和智能拣选商品等功能，从而实现智能化和自动化仓库管理、</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搬运和分拣，大大提升仓储作业效率和管理水平</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11"/>
              <w:jc w:val="left"/>
              <w:rPr>
                <w:rFonts w:ascii="宋体" w:hAnsi="宋体" w:cs="宋体" w:eastAsia="宋体" w:hint="default"/>
                <w:sz w:val="18"/>
                <w:szCs w:val="18"/>
              </w:rPr>
            </w:pPr>
            <w:r>
              <w:rPr>
                <w:rFonts w:ascii="宋体" w:hAnsi="宋体" w:cs="宋体" w:eastAsia="宋体" w:hint="default"/>
                <w:sz w:val="18"/>
                <w:szCs w:val="18"/>
              </w:rPr>
              <w:t>小批量量 产阶段</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2"/>
              <w:jc w:val="both"/>
              <w:rPr>
                <w:rFonts w:ascii="宋体" w:hAnsi="宋体" w:cs="宋体" w:eastAsia="宋体" w:hint="default"/>
                <w:sz w:val="18"/>
                <w:szCs w:val="18"/>
              </w:rPr>
            </w:pPr>
            <w:r>
              <w:rPr>
                <w:rFonts w:ascii="宋体" w:hAnsi="宋体" w:cs="宋体" w:eastAsia="宋体" w:hint="default"/>
                <w:spacing w:val="10"/>
                <w:sz w:val="18"/>
                <w:szCs w:val="18"/>
              </w:rPr>
              <w:t>提升公司在行业移动智能</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0"/>
                <w:sz w:val="18"/>
                <w:szCs w:val="18"/>
              </w:rPr>
              <w:t>应用领域的整体服务水平</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和市场竞争力</w:t>
            </w:r>
          </w:p>
        </w:tc>
      </w:tr>
      <w:tr>
        <w:trPr>
          <w:trHeight w:val="1283"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85"/>
              <w:jc w:val="right"/>
              <w:rPr>
                <w:rFonts w:ascii="Times New Roman" w:hAnsi="Times New Roman" w:cs="Times New Roman" w:eastAsia="Times New Roman" w:hint="default"/>
                <w:sz w:val="18"/>
                <w:szCs w:val="18"/>
              </w:rPr>
            </w:pPr>
            <w:r>
              <w:rPr>
                <w:rFonts w:ascii="Times New Roman"/>
                <w:sz w:val="18"/>
              </w:rPr>
              <w:t>11</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01"/>
              <w:jc w:val="left"/>
              <w:rPr>
                <w:rFonts w:ascii="宋体" w:hAnsi="宋体" w:cs="宋体" w:eastAsia="宋体" w:hint="default"/>
                <w:sz w:val="18"/>
                <w:szCs w:val="18"/>
              </w:rPr>
            </w:pPr>
            <w:r>
              <w:rPr>
                <w:rFonts w:ascii="宋体" w:hAnsi="宋体" w:cs="宋体" w:eastAsia="宋体" w:hint="default"/>
                <w:sz w:val="18"/>
                <w:szCs w:val="18"/>
              </w:rPr>
              <w:t>动态包裹数 据采集系统</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12" w:lineRule="auto" w:before="21"/>
              <w:ind w:left="2" w:right="53"/>
              <w:jc w:val="left"/>
              <w:rPr>
                <w:rFonts w:ascii="宋体" w:hAnsi="宋体" w:cs="宋体" w:eastAsia="宋体" w:hint="default"/>
                <w:sz w:val="18"/>
                <w:szCs w:val="18"/>
              </w:rPr>
            </w:pPr>
            <w:r>
              <w:rPr>
                <w:rFonts w:ascii="宋体" w:hAnsi="宋体" w:cs="宋体" w:eastAsia="宋体" w:hint="default"/>
                <w:sz w:val="18"/>
                <w:szCs w:val="18"/>
              </w:rPr>
              <w:t>该设备实时检测采集动态包裹的重量</w:t>
            </w:r>
            <w:r>
              <w:rPr>
                <w:rFonts w:ascii="Times New Roman" w:hAnsi="Times New Roman" w:cs="Times New Roman" w:eastAsia="Times New Roman" w:hint="default"/>
                <w:sz w:val="18"/>
                <w:szCs w:val="18"/>
              </w:rPr>
              <w:t>/</w:t>
            </w:r>
            <w:r>
              <w:rPr>
                <w:rFonts w:ascii="宋体" w:hAnsi="宋体" w:cs="宋体" w:eastAsia="宋体" w:hint="default"/>
                <w:sz w:val="18"/>
                <w:szCs w:val="18"/>
              </w:rPr>
              <w:t>条码</w:t>
            </w:r>
            <w:r>
              <w:rPr>
                <w:rFonts w:ascii="Times New Roman" w:hAnsi="Times New Roman" w:cs="Times New Roman" w:eastAsia="Times New Roman" w:hint="default"/>
                <w:sz w:val="18"/>
                <w:szCs w:val="18"/>
              </w:rPr>
              <w:t>/</w:t>
            </w:r>
            <w:r>
              <w:rPr>
                <w:rFonts w:ascii="宋体" w:hAnsi="宋体" w:cs="宋体" w:eastAsia="宋体" w:hint="default"/>
                <w:sz w:val="18"/>
                <w:szCs w:val="18"/>
              </w:rPr>
              <w:t>体积</w:t>
            </w:r>
            <w:r>
              <w:rPr>
                <w:rFonts w:ascii="Times New Roman" w:hAnsi="Times New Roman" w:cs="Times New Roman" w:eastAsia="Times New Roman" w:hint="default"/>
                <w:sz w:val="18"/>
                <w:szCs w:val="18"/>
              </w:rPr>
              <w:t>/</w:t>
            </w:r>
            <w:r>
              <w:rPr>
                <w:rFonts w:ascii="宋体" w:hAnsi="宋体" w:cs="宋体" w:eastAsia="宋体" w:hint="default"/>
                <w:sz w:val="18"/>
                <w:szCs w:val="18"/>
              </w:rPr>
              <w:t>尺寸</w:t>
            </w:r>
            <w:r>
              <w:rPr>
                <w:rFonts w:ascii="Times New Roman" w:hAnsi="Times New Roman" w:cs="Times New Roman" w:eastAsia="Times New Roman" w:hint="default"/>
                <w:sz w:val="18"/>
                <w:szCs w:val="18"/>
              </w:rPr>
              <w:t>/RFID</w:t>
            </w:r>
            <w:r>
              <w:rPr>
                <w:rFonts w:ascii="宋体" w:hAnsi="宋体" w:cs="宋体" w:eastAsia="宋体" w:hint="default"/>
                <w:sz w:val="18"/>
                <w:szCs w:val="18"/>
              </w:rPr>
              <w:t>等 信息，并根据客户的对数据的要求对包裹信息进行分类统计表 格输出。该系统相对于静态包裹数据采集，大大提升了物流行 业在生产线上包裹数据采集的工作效率和智能化程度</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11"/>
              <w:jc w:val="left"/>
              <w:rPr>
                <w:rFonts w:ascii="宋体" w:hAnsi="宋体" w:cs="宋体" w:eastAsia="宋体" w:hint="default"/>
                <w:sz w:val="18"/>
                <w:szCs w:val="18"/>
              </w:rPr>
            </w:pPr>
            <w:r>
              <w:rPr>
                <w:rFonts w:ascii="宋体" w:hAnsi="宋体" w:cs="宋体" w:eastAsia="宋体" w:hint="default"/>
                <w:sz w:val="18"/>
                <w:szCs w:val="18"/>
              </w:rPr>
              <w:t>样机验证 阶段</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7"/>
              <w:jc w:val="left"/>
              <w:rPr>
                <w:rFonts w:ascii="宋体" w:hAnsi="宋体" w:cs="宋体" w:eastAsia="宋体" w:hint="default"/>
                <w:sz w:val="18"/>
                <w:szCs w:val="18"/>
              </w:rPr>
            </w:pPr>
            <w:r>
              <w:rPr>
                <w:rFonts w:ascii="宋体" w:hAnsi="宋体" w:cs="宋体" w:eastAsia="宋体" w:hint="default"/>
                <w:spacing w:val="6"/>
                <w:sz w:val="18"/>
                <w:szCs w:val="18"/>
              </w:rPr>
              <w:t>提升公司在智能物流</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智能</w:t>
            </w:r>
            <w:r>
              <w:rPr>
                <w:rFonts w:ascii="宋体" w:hAnsi="宋体" w:cs="宋体" w:eastAsia="宋体" w:hint="default"/>
                <w:spacing w:val="-80"/>
                <w:sz w:val="18"/>
                <w:szCs w:val="18"/>
              </w:rPr>
              <w:t> </w:t>
            </w:r>
            <w:r>
              <w:rPr>
                <w:rFonts w:ascii="宋体" w:hAnsi="宋体" w:cs="宋体" w:eastAsia="宋体" w:hint="default"/>
                <w:sz w:val="18"/>
                <w:szCs w:val="18"/>
              </w:rPr>
              <w:t>仓储领域的竞争力</w:t>
            </w:r>
          </w:p>
        </w:tc>
      </w:tr>
      <w:tr>
        <w:trPr>
          <w:trHeight w:val="660"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85"/>
              <w:jc w:val="right"/>
              <w:rPr>
                <w:rFonts w:ascii="Times New Roman" w:hAnsi="Times New Roman" w:cs="Times New Roman" w:eastAsia="Times New Roman" w:hint="default"/>
                <w:sz w:val="18"/>
                <w:szCs w:val="18"/>
              </w:rPr>
            </w:pPr>
            <w:r>
              <w:rPr>
                <w:rFonts w:ascii="Times New Roman"/>
                <w:sz w:val="18"/>
              </w:rPr>
              <w:t>12</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01"/>
              <w:jc w:val="left"/>
              <w:rPr>
                <w:rFonts w:ascii="宋体" w:hAnsi="宋体" w:cs="宋体" w:eastAsia="宋体" w:hint="default"/>
                <w:sz w:val="18"/>
                <w:szCs w:val="18"/>
              </w:rPr>
            </w:pPr>
            <w:r>
              <w:rPr>
                <w:rFonts w:ascii="宋体" w:hAnsi="宋体" w:cs="宋体" w:eastAsia="宋体" w:hint="default"/>
                <w:sz w:val="18"/>
                <w:szCs w:val="18"/>
              </w:rPr>
              <w:t>高铁注水机 器人</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53"/>
              <w:jc w:val="left"/>
              <w:rPr>
                <w:rFonts w:ascii="宋体" w:hAnsi="宋体" w:cs="宋体" w:eastAsia="宋体" w:hint="default"/>
                <w:sz w:val="18"/>
                <w:szCs w:val="18"/>
              </w:rPr>
            </w:pPr>
            <w:r>
              <w:rPr>
                <w:rFonts w:ascii="宋体" w:hAnsi="宋体" w:cs="宋体" w:eastAsia="宋体" w:hint="default"/>
                <w:sz w:val="18"/>
                <w:szCs w:val="18"/>
              </w:rPr>
              <w:t>该设备用于高铁列车轨道线上自动为列车水箱补给用水，从而 代替人工，提升我国高铁自动化水平和安全作业水平</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11"/>
              <w:jc w:val="left"/>
              <w:rPr>
                <w:rFonts w:ascii="宋体" w:hAnsi="宋体" w:cs="宋体" w:eastAsia="宋体" w:hint="default"/>
                <w:sz w:val="18"/>
                <w:szCs w:val="18"/>
              </w:rPr>
            </w:pPr>
            <w:r>
              <w:rPr>
                <w:rFonts w:ascii="宋体" w:hAnsi="宋体" w:cs="宋体" w:eastAsia="宋体" w:hint="default"/>
                <w:sz w:val="18"/>
                <w:szCs w:val="18"/>
              </w:rPr>
              <w:t>关键技术 验证阶段</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2"/>
              <w:jc w:val="left"/>
              <w:rPr>
                <w:rFonts w:ascii="宋体" w:hAnsi="宋体" w:cs="宋体" w:eastAsia="宋体" w:hint="default"/>
                <w:sz w:val="18"/>
                <w:szCs w:val="18"/>
              </w:rPr>
            </w:pPr>
            <w:r>
              <w:rPr>
                <w:rFonts w:ascii="宋体" w:hAnsi="宋体" w:cs="宋体" w:eastAsia="宋体" w:hint="default"/>
                <w:spacing w:val="10"/>
                <w:sz w:val="18"/>
                <w:szCs w:val="18"/>
              </w:rPr>
              <w:t>提升公司在自动化控制领</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域的竞争力</w:t>
            </w:r>
          </w:p>
        </w:tc>
      </w:tr>
      <w:tr>
        <w:trPr>
          <w:trHeight w:val="1283"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85"/>
              <w:jc w:val="right"/>
              <w:rPr>
                <w:rFonts w:ascii="Times New Roman" w:hAnsi="Times New Roman" w:cs="Times New Roman" w:eastAsia="Times New Roman" w:hint="default"/>
                <w:sz w:val="18"/>
                <w:szCs w:val="18"/>
              </w:rPr>
            </w:pPr>
            <w:r>
              <w:rPr>
                <w:rFonts w:ascii="Times New Roman"/>
                <w:sz w:val="18"/>
              </w:rPr>
              <w:t>13</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3" w:right="101"/>
              <w:jc w:val="both"/>
              <w:rPr>
                <w:rFonts w:ascii="宋体" w:hAnsi="宋体" w:cs="宋体" w:eastAsia="宋体" w:hint="default"/>
                <w:sz w:val="18"/>
                <w:szCs w:val="18"/>
              </w:rPr>
            </w:pPr>
            <w:r>
              <w:rPr>
                <w:rFonts w:ascii="宋体" w:hAnsi="宋体" w:cs="宋体" w:eastAsia="宋体" w:hint="default"/>
                <w:sz w:val="18"/>
                <w:szCs w:val="18"/>
              </w:rPr>
              <w:t>基于区块链 技术的食品 溯源平台软 件</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2" w:right="53"/>
              <w:jc w:val="both"/>
              <w:rPr>
                <w:rFonts w:ascii="宋体" w:hAnsi="宋体" w:cs="宋体" w:eastAsia="宋体" w:hint="default"/>
                <w:sz w:val="18"/>
                <w:szCs w:val="18"/>
              </w:rPr>
            </w:pPr>
            <w:r>
              <w:rPr>
                <w:rFonts w:ascii="宋体" w:hAnsi="宋体" w:cs="宋体" w:eastAsia="宋体" w:hint="default"/>
                <w:sz w:val="18"/>
                <w:szCs w:val="18"/>
              </w:rPr>
              <w:t>本软件基于区块链技术开发食品溯源平台以及面向不同对象的 </w:t>
            </w:r>
            <w:r>
              <w:rPr>
                <w:rFonts w:ascii="宋体" w:hAnsi="宋体" w:cs="宋体" w:eastAsia="宋体" w:hint="default"/>
                <w:spacing w:val="-2"/>
                <w:sz w:val="18"/>
                <w:szCs w:val="18"/>
              </w:rPr>
              <w:t>客户端应用，可实现食品从生产到消费使用全过程的溯源查证</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过程追踪、动态监测、风险预警和应急处理等多方位的管理服 务</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 w:right="0"/>
              <w:jc w:val="left"/>
              <w:rPr>
                <w:rFonts w:ascii="宋体" w:hAnsi="宋体" w:cs="宋体" w:eastAsia="宋体" w:hint="default"/>
                <w:sz w:val="18"/>
                <w:szCs w:val="18"/>
              </w:rPr>
            </w:pPr>
            <w:r>
              <w:rPr>
                <w:rFonts w:ascii="宋体" w:hAnsi="宋体" w:cs="宋体" w:eastAsia="宋体" w:hint="default"/>
                <w:sz w:val="18"/>
                <w:szCs w:val="18"/>
              </w:rPr>
              <w:t>研发阶段</w:t>
            </w:r>
          </w:p>
          <w:p>
            <w:pPr>
              <w:pStyle w:val="TableParagraph"/>
              <w:spacing w:line="240" w:lineRule="auto" w:before="76"/>
              <w:ind w:left="-109" w:right="0"/>
              <w:jc w:val="left"/>
              <w:rPr>
                <w:rFonts w:ascii="宋体" w:hAnsi="宋体" w:cs="宋体" w:eastAsia="宋体" w:hint="default"/>
                <w:sz w:val="18"/>
                <w:szCs w:val="18"/>
              </w:rPr>
            </w:pPr>
            <w:r>
              <w:rPr>
                <w:rFonts w:ascii="宋体" w:hAnsi="宋体" w:cs="宋体" w:eastAsia="宋体" w:hint="default"/>
                <w:sz w:val="18"/>
                <w:szCs w:val="18"/>
              </w:rPr>
              <w:t>、</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2" w:right="127"/>
              <w:jc w:val="left"/>
              <w:rPr>
                <w:rFonts w:ascii="宋体" w:hAnsi="宋体" w:cs="宋体" w:eastAsia="宋体" w:hint="default"/>
                <w:sz w:val="18"/>
                <w:szCs w:val="18"/>
              </w:rPr>
            </w:pPr>
            <w:r>
              <w:rPr>
                <w:rFonts w:ascii="宋体" w:hAnsi="宋体" w:cs="宋体" w:eastAsia="宋体" w:hint="default"/>
                <w:sz w:val="18"/>
                <w:szCs w:val="18"/>
              </w:rPr>
              <w:t>提升公司在追溯领域的市 场竞争力</w:t>
            </w:r>
          </w:p>
        </w:tc>
      </w:tr>
      <w:tr>
        <w:trPr>
          <w:trHeight w:val="1283"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85"/>
              <w:jc w:val="right"/>
              <w:rPr>
                <w:rFonts w:ascii="Times New Roman" w:hAnsi="Times New Roman" w:cs="Times New Roman" w:eastAsia="Times New Roman" w:hint="default"/>
                <w:sz w:val="18"/>
                <w:szCs w:val="18"/>
              </w:rPr>
            </w:pPr>
            <w:r>
              <w:rPr>
                <w:rFonts w:ascii="Times New Roman"/>
                <w:sz w:val="18"/>
              </w:rPr>
              <w:t>14</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01"/>
              <w:jc w:val="left"/>
              <w:rPr>
                <w:rFonts w:ascii="宋体" w:hAnsi="宋体" w:cs="宋体" w:eastAsia="宋体" w:hint="default"/>
                <w:sz w:val="18"/>
                <w:szCs w:val="18"/>
              </w:rPr>
            </w:pPr>
            <w:r>
              <w:rPr>
                <w:rFonts w:ascii="宋体" w:hAnsi="宋体" w:cs="宋体" w:eastAsia="宋体" w:hint="default"/>
                <w:sz w:val="18"/>
                <w:szCs w:val="18"/>
              </w:rPr>
              <w:t>移动设备管 理平台</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8"/>
              <w:jc w:val="left"/>
              <w:rPr>
                <w:rFonts w:ascii="宋体" w:hAnsi="宋体" w:cs="宋体" w:eastAsia="宋体" w:hint="default"/>
                <w:sz w:val="18"/>
                <w:szCs w:val="18"/>
              </w:rPr>
            </w:pPr>
            <w:r>
              <w:rPr>
                <w:rFonts w:ascii="宋体" w:hAnsi="宋体" w:cs="宋体" w:eastAsia="宋体" w:hint="default"/>
                <w:sz w:val="18"/>
                <w:szCs w:val="18"/>
              </w:rPr>
              <w:t>本软件提供了一个全面、高效的平台，实现设备严格监控，可 </w:t>
            </w:r>
            <w:r>
              <w:rPr>
                <w:rFonts w:ascii="宋体" w:hAnsi="宋体" w:cs="宋体" w:eastAsia="宋体" w:hint="default"/>
                <w:spacing w:val="-4"/>
                <w:sz w:val="18"/>
                <w:szCs w:val="18"/>
              </w:rPr>
              <w:t>视化设备位置、状态和应用情况，并结合应用分发、配置管理、</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文档管理以及设备管控等功能，在设备从出厂、激活、使用、</w:t>
            </w:r>
            <w:r>
              <w:rPr>
                <w:rFonts w:ascii="宋体" w:hAnsi="宋体" w:cs="宋体" w:eastAsia="宋体" w:hint="default"/>
                <w:sz w:val="18"/>
                <w:szCs w:val="18"/>
              </w:rPr>
              <w:t> 回收等各个生命周期阶段，为设备提供一套完善的管控系统</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0"/>
              <w:jc w:val="left"/>
              <w:rPr>
                <w:rFonts w:ascii="宋体" w:hAnsi="宋体" w:cs="宋体" w:eastAsia="宋体" w:hint="default"/>
                <w:sz w:val="18"/>
                <w:szCs w:val="18"/>
              </w:rPr>
            </w:pPr>
            <w:r>
              <w:rPr>
                <w:rFonts w:ascii="宋体" w:hAnsi="宋体" w:cs="宋体" w:eastAsia="宋体" w:hint="default"/>
                <w:sz w:val="18"/>
                <w:szCs w:val="18"/>
              </w:rPr>
              <w:t>一期已上 </w:t>
            </w:r>
            <w:r>
              <w:rPr>
                <w:rFonts w:ascii="宋体" w:hAnsi="宋体" w:cs="宋体" w:eastAsia="宋体" w:hint="default"/>
                <w:spacing w:val="-14"/>
                <w:sz w:val="18"/>
                <w:szCs w:val="18"/>
              </w:rPr>
              <w:t>线，二期研</w:t>
            </w:r>
            <w:r>
              <w:rPr>
                <w:rFonts w:ascii="宋体" w:hAnsi="宋体" w:cs="宋体" w:eastAsia="宋体" w:hint="default"/>
                <w:sz w:val="18"/>
                <w:szCs w:val="18"/>
              </w:rPr>
              <w:t> 发阶段</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27"/>
              <w:jc w:val="left"/>
              <w:rPr>
                <w:rFonts w:ascii="宋体" w:hAnsi="宋体" w:cs="宋体" w:eastAsia="宋体" w:hint="default"/>
                <w:sz w:val="18"/>
                <w:szCs w:val="18"/>
              </w:rPr>
            </w:pPr>
            <w:r>
              <w:rPr>
                <w:rFonts w:ascii="宋体" w:hAnsi="宋体" w:cs="宋体" w:eastAsia="宋体" w:hint="default"/>
                <w:sz w:val="18"/>
                <w:szCs w:val="18"/>
              </w:rPr>
              <w:t>提升公司在行业移动智能 应用领域的市场竞争力</w:t>
            </w:r>
          </w:p>
        </w:tc>
      </w:tr>
      <w:tr>
        <w:trPr>
          <w:trHeight w:val="1595"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85"/>
              <w:jc w:val="right"/>
              <w:rPr>
                <w:rFonts w:ascii="Times New Roman" w:hAnsi="Times New Roman" w:cs="Times New Roman" w:eastAsia="Times New Roman" w:hint="default"/>
                <w:sz w:val="18"/>
                <w:szCs w:val="18"/>
              </w:rPr>
            </w:pPr>
            <w:r>
              <w:rPr>
                <w:rFonts w:ascii="Times New Roman"/>
                <w:sz w:val="18"/>
              </w:rPr>
              <w:t>15</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01"/>
              <w:jc w:val="left"/>
              <w:rPr>
                <w:rFonts w:ascii="宋体" w:hAnsi="宋体" w:cs="宋体" w:eastAsia="宋体" w:hint="default"/>
                <w:sz w:val="18"/>
                <w:szCs w:val="18"/>
              </w:rPr>
            </w:pPr>
            <w:r>
              <w:rPr>
                <w:rFonts w:ascii="宋体" w:hAnsi="宋体" w:cs="宋体" w:eastAsia="宋体" w:hint="default"/>
                <w:sz w:val="18"/>
                <w:szCs w:val="18"/>
              </w:rPr>
              <w:t>智能仓储管 理系统</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14" w:lineRule="auto" w:before="21"/>
              <w:ind w:left="2" w:right="34"/>
              <w:jc w:val="both"/>
              <w:rPr>
                <w:rFonts w:ascii="宋体" w:hAnsi="宋体" w:cs="宋体" w:eastAsia="宋体" w:hint="default"/>
                <w:sz w:val="18"/>
                <w:szCs w:val="18"/>
              </w:rPr>
            </w:pPr>
            <w:r>
              <w:rPr>
                <w:rFonts w:ascii="宋体" w:hAnsi="宋体" w:cs="宋体" w:eastAsia="宋体" w:hint="default"/>
                <w:sz w:val="18"/>
                <w:szCs w:val="18"/>
              </w:rPr>
              <w:t>本软件结合</w:t>
            </w:r>
            <w:r>
              <w:rPr>
                <w:rFonts w:ascii="Times New Roman" w:hAnsi="Times New Roman" w:cs="Times New Roman" w:eastAsia="Times New Roman" w:hint="default"/>
                <w:sz w:val="18"/>
                <w:szCs w:val="18"/>
              </w:rPr>
              <w:t>RGV</w:t>
            </w:r>
            <w:r>
              <w:rPr>
                <w:rFonts w:ascii="宋体" w:hAnsi="宋体" w:cs="宋体" w:eastAsia="宋体" w:hint="default"/>
                <w:sz w:val="18"/>
                <w:szCs w:val="18"/>
              </w:rPr>
              <w:t>设备、智能机器人、自动化恒温恒湿柜、移动 设备等智能硬件，实现仓库物资物联网化管理。系统实现了物 品在仓库内的可视化、流程化管理。可提升仓库的货物进出效 率、有效节省人力成本，做到无纸化、极少量人员的仓储物资 管理和控制</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11"/>
              <w:jc w:val="left"/>
              <w:rPr>
                <w:rFonts w:ascii="宋体" w:hAnsi="宋体" w:cs="宋体" w:eastAsia="宋体" w:hint="default"/>
                <w:sz w:val="18"/>
                <w:szCs w:val="18"/>
              </w:rPr>
            </w:pPr>
            <w:r>
              <w:rPr>
                <w:rFonts w:ascii="宋体" w:hAnsi="宋体" w:cs="宋体" w:eastAsia="宋体" w:hint="default"/>
                <w:sz w:val="18"/>
                <w:szCs w:val="18"/>
              </w:rPr>
              <w:t>试运行阶 段</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27"/>
              <w:jc w:val="left"/>
              <w:rPr>
                <w:rFonts w:ascii="宋体" w:hAnsi="宋体" w:cs="宋体" w:eastAsia="宋体" w:hint="default"/>
                <w:sz w:val="18"/>
                <w:szCs w:val="18"/>
              </w:rPr>
            </w:pPr>
            <w:r>
              <w:rPr>
                <w:rFonts w:ascii="宋体" w:hAnsi="宋体" w:cs="宋体" w:eastAsia="宋体" w:hint="default"/>
                <w:sz w:val="18"/>
                <w:szCs w:val="18"/>
              </w:rPr>
              <w:t>提升公司在仓储自动化行 业市场竞争力</w:t>
            </w:r>
          </w:p>
        </w:tc>
      </w:tr>
      <w:tr>
        <w:trPr>
          <w:trHeight w:val="1283"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85"/>
              <w:jc w:val="right"/>
              <w:rPr>
                <w:rFonts w:ascii="Times New Roman" w:hAnsi="Times New Roman" w:cs="Times New Roman" w:eastAsia="Times New Roman" w:hint="default"/>
                <w:sz w:val="18"/>
                <w:szCs w:val="18"/>
              </w:rPr>
            </w:pPr>
            <w:r>
              <w:rPr>
                <w:rFonts w:ascii="Times New Roman"/>
                <w:sz w:val="18"/>
              </w:rPr>
              <w:t>16</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01"/>
              <w:jc w:val="left"/>
              <w:rPr>
                <w:rFonts w:ascii="宋体" w:hAnsi="宋体" w:cs="宋体" w:eastAsia="宋体" w:hint="default"/>
                <w:sz w:val="18"/>
                <w:szCs w:val="18"/>
              </w:rPr>
            </w:pPr>
            <w:r>
              <w:rPr>
                <w:rFonts w:ascii="宋体" w:hAnsi="宋体" w:cs="宋体" w:eastAsia="宋体" w:hint="default"/>
                <w:sz w:val="18"/>
                <w:szCs w:val="18"/>
              </w:rPr>
              <w:t>微信物流客 户评价软件</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53"/>
              <w:jc w:val="both"/>
              <w:rPr>
                <w:rFonts w:ascii="宋体" w:hAnsi="宋体" w:cs="宋体" w:eastAsia="宋体" w:hint="default"/>
                <w:sz w:val="18"/>
                <w:szCs w:val="18"/>
              </w:rPr>
            </w:pPr>
            <w:r>
              <w:rPr>
                <w:rFonts w:ascii="宋体" w:hAnsi="宋体" w:cs="宋体" w:eastAsia="宋体" w:hint="default"/>
                <w:sz w:val="18"/>
                <w:szCs w:val="18"/>
              </w:rPr>
              <w:t>本软件是一款针对物流快递企业微信公众平台开发的软件，用 户通过微信公众号下单、对物流信息进行查询、跟踪以及评价 反馈。让微信用户更方便地使用快递服务，也让客户对员工服 务质量更好地管理，提高物流企业服务的效率及质量</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0"/>
              <w:jc w:val="left"/>
              <w:rPr>
                <w:rFonts w:ascii="宋体" w:hAnsi="宋体" w:cs="宋体" w:eastAsia="宋体" w:hint="default"/>
                <w:sz w:val="18"/>
                <w:szCs w:val="18"/>
              </w:rPr>
            </w:pPr>
            <w:r>
              <w:rPr>
                <w:rFonts w:ascii="宋体" w:hAnsi="宋体" w:cs="宋体" w:eastAsia="宋体" w:hint="default"/>
                <w:spacing w:val="-14"/>
                <w:sz w:val="18"/>
                <w:szCs w:val="18"/>
              </w:rPr>
              <w:t>已上线，已</w:t>
            </w:r>
            <w:r>
              <w:rPr>
                <w:rFonts w:ascii="宋体" w:hAnsi="宋体" w:cs="宋体" w:eastAsia="宋体" w:hint="default"/>
                <w:sz w:val="18"/>
                <w:szCs w:val="18"/>
              </w:rPr>
              <w:t> 申请软件 著作权</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27"/>
              <w:jc w:val="left"/>
              <w:rPr>
                <w:rFonts w:ascii="宋体" w:hAnsi="宋体" w:cs="宋体" w:eastAsia="宋体" w:hint="default"/>
                <w:sz w:val="18"/>
                <w:szCs w:val="18"/>
              </w:rPr>
            </w:pPr>
            <w:r>
              <w:rPr>
                <w:rFonts w:ascii="宋体" w:hAnsi="宋体" w:cs="宋体" w:eastAsia="宋体" w:hint="default"/>
                <w:sz w:val="18"/>
                <w:szCs w:val="18"/>
              </w:rPr>
              <w:t>提升公司在智能物流领域 的竞争力</w:t>
            </w:r>
          </w:p>
        </w:tc>
      </w:tr>
      <w:tr>
        <w:trPr>
          <w:trHeight w:val="971"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85"/>
              <w:jc w:val="right"/>
              <w:rPr>
                <w:rFonts w:ascii="Times New Roman" w:hAnsi="Times New Roman" w:cs="Times New Roman" w:eastAsia="Times New Roman" w:hint="default"/>
                <w:sz w:val="18"/>
                <w:szCs w:val="18"/>
              </w:rPr>
            </w:pPr>
            <w:r>
              <w:rPr>
                <w:rFonts w:ascii="Times New Roman"/>
                <w:sz w:val="18"/>
              </w:rPr>
              <w:t>17</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01"/>
              <w:jc w:val="left"/>
              <w:rPr>
                <w:rFonts w:ascii="宋体" w:hAnsi="宋体" w:cs="宋体" w:eastAsia="宋体" w:hint="default"/>
                <w:sz w:val="18"/>
                <w:szCs w:val="18"/>
              </w:rPr>
            </w:pPr>
            <w:r>
              <w:rPr>
                <w:rFonts w:ascii="宋体" w:hAnsi="宋体" w:cs="宋体" w:eastAsia="宋体" w:hint="default"/>
                <w:sz w:val="18"/>
                <w:szCs w:val="18"/>
              </w:rPr>
              <w:t>微信自动化 软件</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8"/>
              <w:jc w:val="both"/>
              <w:rPr>
                <w:rFonts w:ascii="宋体" w:hAnsi="宋体" w:cs="宋体" w:eastAsia="宋体" w:hint="default"/>
                <w:sz w:val="18"/>
                <w:szCs w:val="18"/>
              </w:rPr>
            </w:pPr>
            <w:r>
              <w:rPr>
                <w:rFonts w:ascii="宋体" w:hAnsi="宋体" w:cs="宋体" w:eastAsia="宋体" w:hint="default"/>
                <w:spacing w:val="-4"/>
                <w:sz w:val="18"/>
                <w:szCs w:val="18"/>
              </w:rPr>
              <w:t>本软件是一款为物流快递企业提供的、针对微信物流自动下单、</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4"/>
                <w:sz w:val="18"/>
                <w:szCs w:val="18"/>
              </w:rPr>
              <w:t>审单及统计的软件。审单自动化方便客户对订单的处理及统计、</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对物流信息的管理，可以节省人力、提高工作效率</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0"/>
              <w:jc w:val="left"/>
              <w:rPr>
                <w:rFonts w:ascii="宋体" w:hAnsi="宋体" w:cs="宋体" w:eastAsia="宋体" w:hint="default"/>
                <w:sz w:val="18"/>
                <w:szCs w:val="18"/>
              </w:rPr>
            </w:pPr>
            <w:r>
              <w:rPr>
                <w:rFonts w:ascii="宋体" w:hAnsi="宋体" w:cs="宋体" w:eastAsia="宋体" w:hint="default"/>
                <w:spacing w:val="-14"/>
                <w:sz w:val="18"/>
                <w:szCs w:val="18"/>
              </w:rPr>
              <w:t>已上线，已</w:t>
            </w:r>
            <w:r>
              <w:rPr>
                <w:rFonts w:ascii="宋体" w:hAnsi="宋体" w:cs="宋体" w:eastAsia="宋体" w:hint="default"/>
                <w:sz w:val="18"/>
                <w:szCs w:val="18"/>
              </w:rPr>
              <w:t> 申请软件 著作权</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27"/>
              <w:jc w:val="left"/>
              <w:rPr>
                <w:rFonts w:ascii="宋体" w:hAnsi="宋体" w:cs="宋体" w:eastAsia="宋体" w:hint="default"/>
                <w:sz w:val="18"/>
                <w:szCs w:val="18"/>
              </w:rPr>
            </w:pPr>
            <w:r>
              <w:rPr>
                <w:rFonts w:ascii="宋体" w:hAnsi="宋体" w:cs="宋体" w:eastAsia="宋体" w:hint="default"/>
                <w:sz w:val="18"/>
                <w:szCs w:val="18"/>
              </w:rPr>
              <w:t>提升公司在智能物流领域 的竞争力</w:t>
            </w:r>
          </w:p>
        </w:tc>
      </w:tr>
      <w:tr>
        <w:trPr>
          <w:trHeight w:val="972"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85"/>
              <w:jc w:val="right"/>
              <w:rPr>
                <w:rFonts w:ascii="Times New Roman" w:hAnsi="Times New Roman" w:cs="Times New Roman" w:eastAsia="Times New Roman" w:hint="default"/>
                <w:sz w:val="18"/>
                <w:szCs w:val="18"/>
              </w:rPr>
            </w:pPr>
            <w:r>
              <w:rPr>
                <w:rFonts w:ascii="Times New Roman"/>
                <w:sz w:val="18"/>
              </w:rPr>
              <w:t>18</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01"/>
              <w:jc w:val="left"/>
              <w:rPr>
                <w:rFonts w:ascii="宋体" w:hAnsi="宋体" w:cs="宋体" w:eastAsia="宋体" w:hint="default"/>
                <w:sz w:val="18"/>
                <w:szCs w:val="18"/>
              </w:rPr>
            </w:pPr>
            <w:r>
              <w:rPr>
                <w:rFonts w:ascii="宋体" w:hAnsi="宋体" w:cs="宋体" w:eastAsia="宋体" w:hint="default"/>
                <w:sz w:val="18"/>
                <w:szCs w:val="18"/>
              </w:rPr>
              <w:t>人脸支付收 银软件</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21"/>
              <w:ind w:left="2" w:right="53"/>
              <w:jc w:val="both"/>
              <w:rPr>
                <w:rFonts w:ascii="宋体" w:hAnsi="宋体" w:cs="宋体" w:eastAsia="宋体" w:hint="default"/>
                <w:sz w:val="18"/>
                <w:szCs w:val="18"/>
              </w:rPr>
            </w:pPr>
            <w:r>
              <w:rPr>
                <w:rFonts w:ascii="宋体" w:hAnsi="宋体" w:cs="宋体" w:eastAsia="宋体" w:hint="default"/>
                <w:sz w:val="18"/>
                <w:szCs w:val="18"/>
              </w:rPr>
              <w:t>本软件是一款移动</w:t>
            </w:r>
            <w:r>
              <w:rPr>
                <w:rFonts w:ascii="Times New Roman" w:hAnsi="Times New Roman" w:cs="Times New Roman" w:eastAsia="Times New Roman" w:hint="default"/>
                <w:sz w:val="18"/>
                <w:szCs w:val="18"/>
              </w:rPr>
              <w:t>POS</w:t>
            </w:r>
            <w:r>
              <w:rPr>
                <w:rFonts w:ascii="宋体" w:hAnsi="宋体" w:cs="宋体" w:eastAsia="宋体" w:hint="default"/>
                <w:sz w:val="18"/>
                <w:szCs w:val="18"/>
              </w:rPr>
              <w:t>人脸识别支付软件。通过先进的人脸识 别技术，对比人脸采集数据库进行数据校验，输入客户手机号 及支付金额即可完成支付扣款</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0"/>
              <w:jc w:val="left"/>
              <w:rPr>
                <w:rFonts w:ascii="宋体" w:hAnsi="宋体" w:cs="宋体" w:eastAsia="宋体" w:hint="default"/>
                <w:sz w:val="18"/>
                <w:szCs w:val="18"/>
              </w:rPr>
            </w:pPr>
            <w:r>
              <w:rPr>
                <w:rFonts w:ascii="宋体" w:hAnsi="宋体" w:cs="宋体" w:eastAsia="宋体" w:hint="default"/>
                <w:spacing w:val="-14"/>
                <w:sz w:val="18"/>
                <w:szCs w:val="18"/>
              </w:rPr>
              <w:t>已上线，已</w:t>
            </w:r>
            <w:r>
              <w:rPr>
                <w:rFonts w:ascii="宋体" w:hAnsi="宋体" w:cs="宋体" w:eastAsia="宋体" w:hint="default"/>
                <w:sz w:val="18"/>
                <w:szCs w:val="18"/>
              </w:rPr>
              <w:t> 申请软件 著作权</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27"/>
              <w:jc w:val="left"/>
              <w:rPr>
                <w:rFonts w:ascii="宋体" w:hAnsi="宋体" w:cs="宋体" w:eastAsia="宋体" w:hint="default"/>
                <w:sz w:val="18"/>
                <w:szCs w:val="18"/>
              </w:rPr>
            </w:pPr>
            <w:r>
              <w:rPr>
                <w:rFonts w:ascii="宋体" w:hAnsi="宋体" w:cs="宋体" w:eastAsia="宋体" w:hint="default"/>
                <w:sz w:val="18"/>
                <w:szCs w:val="18"/>
              </w:rPr>
              <w:t>提升公司在智能移动支付 领域的竞争力</w:t>
            </w:r>
          </w:p>
        </w:tc>
      </w:tr>
      <w:tr>
        <w:trPr>
          <w:trHeight w:val="1283"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85"/>
              <w:jc w:val="right"/>
              <w:rPr>
                <w:rFonts w:ascii="Times New Roman" w:hAnsi="Times New Roman" w:cs="Times New Roman" w:eastAsia="Times New Roman" w:hint="default"/>
                <w:sz w:val="18"/>
                <w:szCs w:val="18"/>
              </w:rPr>
            </w:pPr>
            <w:r>
              <w:rPr>
                <w:rFonts w:ascii="Times New Roman"/>
                <w:sz w:val="18"/>
              </w:rPr>
              <w:t>19</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3" w:right="101"/>
              <w:jc w:val="left"/>
              <w:rPr>
                <w:rFonts w:ascii="宋体" w:hAnsi="宋体" w:cs="宋体" w:eastAsia="宋体" w:hint="default"/>
                <w:sz w:val="18"/>
                <w:szCs w:val="18"/>
              </w:rPr>
            </w:pPr>
            <w:r>
              <w:rPr>
                <w:rFonts w:ascii="宋体" w:hAnsi="宋体" w:cs="宋体" w:eastAsia="宋体" w:hint="default"/>
                <w:sz w:val="18"/>
                <w:szCs w:val="18"/>
              </w:rPr>
              <w:t>出入境收费 管理软件</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12" w:lineRule="auto" w:before="20"/>
              <w:ind w:left="2" w:right="53"/>
              <w:jc w:val="both"/>
              <w:rPr>
                <w:rFonts w:ascii="宋体" w:hAnsi="宋体" w:cs="宋体" w:eastAsia="宋体" w:hint="default"/>
                <w:sz w:val="18"/>
                <w:szCs w:val="18"/>
              </w:rPr>
            </w:pPr>
            <w:r>
              <w:rPr>
                <w:rFonts w:ascii="宋体" w:hAnsi="宋体" w:cs="宋体" w:eastAsia="宋体" w:hint="default"/>
                <w:sz w:val="18"/>
                <w:szCs w:val="18"/>
              </w:rPr>
              <w:t>本软件是一款为出入境管理部门提供的移动</w:t>
            </w:r>
            <w:r>
              <w:rPr>
                <w:rFonts w:ascii="Times New Roman" w:hAnsi="Times New Roman" w:cs="Times New Roman" w:eastAsia="Times New Roman" w:hint="default"/>
                <w:sz w:val="18"/>
                <w:szCs w:val="18"/>
              </w:rPr>
              <w:t>POS</w:t>
            </w:r>
            <w:r>
              <w:rPr>
                <w:rFonts w:ascii="宋体" w:hAnsi="宋体" w:cs="宋体" w:eastAsia="宋体" w:hint="default"/>
                <w:sz w:val="18"/>
                <w:szCs w:val="18"/>
              </w:rPr>
              <w:t>收款平台。该 软件包括刷银行卡、微信、支付宝的快捷缴费，并支持退款、 余额查询、流水查询、结算等功能，提高出入境办理证件收款 效率</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3" w:right="0"/>
              <w:jc w:val="left"/>
              <w:rPr>
                <w:rFonts w:ascii="宋体" w:hAnsi="宋体" w:cs="宋体" w:eastAsia="宋体" w:hint="default"/>
                <w:sz w:val="18"/>
                <w:szCs w:val="18"/>
              </w:rPr>
            </w:pPr>
            <w:r>
              <w:rPr>
                <w:rFonts w:ascii="宋体" w:hAnsi="宋体" w:cs="宋体" w:eastAsia="宋体" w:hint="default"/>
                <w:spacing w:val="-14"/>
                <w:sz w:val="18"/>
                <w:szCs w:val="18"/>
              </w:rPr>
              <w:t>已上线，已</w:t>
            </w:r>
            <w:r>
              <w:rPr>
                <w:rFonts w:ascii="宋体" w:hAnsi="宋体" w:cs="宋体" w:eastAsia="宋体" w:hint="default"/>
                <w:sz w:val="18"/>
                <w:szCs w:val="18"/>
              </w:rPr>
              <w:t> 申请软件 著作权</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2" w:right="127"/>
              <w:jc w:val="left"/>
              <w:rPr>
                <w:rFonts w:ascii="宋体" w:hAnsi="宋体" w:cs="宋体" w:eastAsia="宋体" w:hint="default"/>
                <w:sz w:val="18"/>
                <w:szCs w:val="18"/>
              </w:rPr>
            </w:pPr>
            <w:r>
              <w:rPr>
                <w:rFonts w:ascii="宋体" w:hAnsi="宋体" w:cs="宋体" w:eastAsia="宋体" w:hint="default"/>
                <w:sz w:val="18"/>
                <w:szCs w:val="18"/>
              </w:rPr>
              <w:t>提升公司在智能移动支付 领域的竞争力</w:t>
            </w:r>
          </w:p>
        </w:tc>
      </w:tr>
      <w:tr>
        <w:trPr>
          <w:trHeight w:val="971"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85"/>
              <w:jc w:val="right"/>
              <w:rPr>
                <w:rFonts w:ascii="Times New Roman" w:hAnsi="Times New Roman" w:cs="Times New Roman" w:eastAsia="Times New Roman" w:hint="default"/>
                <w:sz w:val="18"/>
                <w:szCs w:val="18"/>
              </w:rPr>
            </w:pPr>
            <w:r>
              <w:rPr>
                <w:rFonts w:ascii="Times New Roman"/>
                <w:sz w:val="18"/>
              </w:rPr>
              <w:t>20</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21"/>
              <w:ind w:left="3" w:right="101"/>
              <w:jc w:val="both"/>
              <w:rPr>
                <w:rFonts w:ascii="宋体" w:hAnsi="宋体" w:cs="宋体" w:eastAsia="宋体" w:hint="default"/>
                <w:sz w:val="18"/>
                <w:szCs w:val="18"/>
              </w:rPr>
            </w:pPr>
            <w:r>
              <w:rPr>
                <w:rFonts w:ascii="宋体" w:hAnsi="宋体" w:cs="宋体" w:eastAsia="宋体" w:hint="default"/>
                <w:sz w:val="18"/>
                <w:szCs w:val="18"/>
              </w:rPr>
              <w:t>第三方综合 收款平台软 件</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09" w:lineRule="auto" w:before="21"/>
              <w:ind w:left="2" w:right="53"/>
              <w:jc w:val="both"/>
              <w:rPr>
                <w:rFonts w:ascii="宋体" w:hAnsi="宋体" w:cs="宋体" w:eastAsia="宋体" w:hint="default"/>
                <w:sz w:val="18"/>
                <w:szCs w:val="18"/>
              </w:rPr>
            </w:pPr>
            <w:r>
              <w:rPr>
                <w:rFonts w:ascii="宋体" w:hAnsi="宋体" w:cs="宋体" w:eastAsia="宋体" w:hint="default"/>
                <w:sz w:val="18"/>
                <w:szCs w:val="18"/>
              </w:rPr>
              <w:t>本软件是一款基于第三方支付平台的高效收银平台，支持银行 卡闪付、</w:t>
            </w:r>
            <w:r>
              <w:rPr>
                <w:rFonts w:ascii="Times New Roman" w:hAnsi="Times New Roman" w:cs="Times New Roman" w:eastAsia="Times New Roman" w:hint="default"/>
                <w:sz w:val="18"/>
                <w:szCs w:val="18"/>
              </w:rPr>
              <w:t>IC</w:t>
            </w:r>
            <w:r>
              <w:rPr>
                <w:rFonts w:ascii="宋体" w:hAnsi="宋体" w:cs="宋体" w:eastAsia="宋体" w:hint="default"/>
                <w:sz w:val="18"/>
                <w:szCs w:val="18"/>
              </w:rPr>
              <w:t>插卡、磁条刷卡，微信、支付宝等支付功能，可作 为商超等零售企业的收银平台</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21"/>
              <w:ind w:left="3" w:right="0"/>
              <w:jc w:val="left"/>
              <w:rPr>
                <w:rFonts w:ascii="宋体" w:hAnsi="宋体" w:cs="宋体" w:eastAsia="宋体" w:hint="default"/>
                <w:sz w:val="18"/>
                <w:szCs w:val="18"/>
              </w:rPr>
            </w:pPr>
            <w:r>
              <w:rPr>
                <w:rFonts w:ascii="宋体" w:hAnsi="宋体" w:cs="宋体" w:eastAsia="宋体" w:hint="default"/>
                <w:spacing w:val="-14"/>
                <w:sz w:val="18"/>
                <w:szCs w:val="18"/>
              </w:rPr>
              <w:t>已上线，已</w:t>
            </w:r>
            <w:r>
              <w:rPr>
                <w:rFonts w:ascii="宋体" w:hAnsi="宋体" w:cs="宋体" w:eastAsia="宋体" w:hint="default"/>
                <w:sz w:val="18"/>
                <w:szCs w:val="18"/>
              </w:rPr>
              <w:t> 申请软件 著作权</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127"/>
              <w:jc w:val="left"/>
              <w:rPr>
                <w:rFonts w:ascii="宋体" w:hAnsi="宋体" w:cs="宋体" w:eastAsia="宋体" w:hint="default"/>
                <w:sz w:val="18"/>
                <w:szCs w:val="18"/>
              </w:rPr>
            </w:pPr>
            <w:r>
              <w:rPr>
                <w:rFonts w:ascii="宋体" w:hAnsi="宋体" w:cs="宋体" w:eastAsia="宋体" w:hint="default"/>
                <w:sz w:val="18"/>
                <w:szCs w:val="18"/>
              </w:rPr>
              <w:t>提升公司在智能移动支付 领域的竞争力</w:t>
            </w:r>
          </w:p>
        </w:tc>
      </w:tr>
      <w:tr>
        <w:trPr>
          <w:trHeight w:val="972" w:hRule="exact"/>
        </w:trPr>
        <w:tc>
          <w:tcPr>
            <w:tcW w:w="5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85"/>
              <w:jc w:val="right"/>
              <w:rPr>
                <w:rFonts w:ascii="Times New Roman" w:hAnsi="Times New Roman" w:cs="Times New Roman" w:eastAsia="Times New Roman" w:hint="default"/>
                <w:sz w:val="18"/>
                <w:szCs w:val="18"/>
              </w:rPr>
            </w:pPr>
            <w:r>
              <w:rPr>
                <w:rFonts w:ascii="Times New Roman"/>
                <w:sz w:val="18"/>
              </w:rPr>
              <w:t>21</w:t>
            </w:r>
          </w:p>
        </w:tc>
        <w:tc>
          <w:tcPr>
            <w:tcW w:w="102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101"/>
              <w:jc w:val="left"/>
              <w:rPr>
                <w:rFonts w:ascii="宋体" w:hAnsi="宋体" w:cs="宋体" w:eastAsia="宋体" w:hint="default"/>
                <w:sz w:val="18"/>
                <w:szCs w:val="18"/>
              </w:rPr>
            </w:pPr>
            <w:r>
              <w:rPr>
                <w:rFonts w:ascii="宋体" w:hAnsi="宋体" w:cs="宋体" w:eastAsia="宋体" w:hint="default"/>
                <w:sz w:val="18"/>
                <w:szCs w:val="18"/>
              </w:rPr>
              <w:t>物流配送收 款软件</w:t>
            </w: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53"/>
              <w:jc w:val="both"/>
              <w:rPr>
                <w:rFonts w:ascii="宋体" w:hAnsi="宋体" w:cs="宋体" w:eastAsia="宋体" w:hint="default"/>
                <w:sz w:val="18"/>
                <w:szCs w:val="18"/>
              </w:rPr>
            </w:pPr>
            <w:r>
              <w:rPr>
                <w:rFonts w:ascii="宋体" w:hAnsi="宋体" w:cs="宋体" w:eastAsia="宋体" w:hint="default"/>
                <w:sz w:val="18"/>
                <w:szCs w:val="18"/>
              </w:rPr>
              <w:t>本软件是一款面向物流配送业务的收款平台，用户可根据智能 移动终端下发的物流配送订单进行收款，收款功能支持银行卡 闪付、</w:t>
            </w:r>
            <w:r>
              <w:rPr>
                <w:rFonts w:ascii="Times New Roman" w:hAnsi="Times New Roman" w:cs="Times New Roman" w:eastAsia="Times New Roman" w:hint="default"/>
                <w:sz w:val="18"/>
                <w:szCs w:val="18"/>
              </w:rPr>
              <w:t>IC</w:t>
            </w:r>
            <w:r>
              <w:rPr>
                <w:rFonts w:ascii="宋体" w:hAnsi="宋体" w:cs="宋体" w:eastAsia="宋体" w:hint="default"/>
                <w:sz w:val="18"/>
                <w:szCs w:val="18"/>
              </w:rPr>
              <w:t>插卡、刷卡、银联二维码、微信、支付宝等多种支付</w:t>
            </w:r>
          </w:p>
        </w:tc>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0"/>
              <w:jc w:val="left"/>
              <w:rPr>
                <w:rFonts w:ascii="宋体" w:hAnsi="宋体" w:cs="宋体" w:eastAsia="宋体" w:hint="default"/>
                <w:sz w:val="18"/>
                <w:szCs w:val="18"/>
              </w:rPr>
            </w:pPr>
            <w:r>
              <w:rPr>
                <w:rFonts w:ascii="宋体" w:hAnsi="宋体" w:cs="宋体" w:eastAsia="宋体" w:hint="default"/>
                <w:spacing w:val="-14"/>
                <w:sz w:val="18"/>
                <w:szCs w:val="18"/>
              </w:rPr>
              <w:t>已上线，已</w:t>
            </w:r>
            <w:r>
              <w:rPr>
                <w:rFonts w:ascii="宋体" w:hAnsi="宋体" w:cs="宋体" w:eastAsia="宋体" w:hint="default"/>
                <w:sz w:val="18"/>
                <w:szCs w:val="18"/>
              </w:rPr>
              <w:t> 申请软件 著作权</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77"/>
              <w:jc w:val="left"/>
              <w:rPr>
                <w:rFonts w:ascii="宋体" w:hAnsi="宋体" w:cs="宋体" w:eastAsia="宋体" w:hint="default"/>
                <w:sz w:val="18"/>
                <w:szCs w:val="18"/>
              </w:rPr>
            </w:pPr>
            <w:r>
              <w:rPr>
                <w:rFonts w:ascii="宋体" w:hAnsi="宋体" w:cs="宋体" w:eastAsia="宋体" w:hint="default"/>
                <w:sz w:val="18"/>
                <w:szCs w:val="18"/>
              </w:rPr>
              <w:t>提升公司在智能物流</w:t>
            </w:r>
            <w:r>
              <w:rPr>
                <w:rFonts w:ascii="Times New Roman" w:hAnsi="Times New Roman" w:cs="Times New Roman" w:eastAsia="Times New Roman" w:hint="default"/>
                <w:sz w:val="18"/>
                <w:szCs w:val="18"/>
              </w:rPr>
              <w:t>/</w:t>
            </w:r>
            <w:r>
              <w:rPr>
                <w:rFonts w:ascii="宋体" w:hAnsi="宋体" w:cs="宋体" w:eastAsia="宋体" w:hint="default"/>
                <w:sz w:val="18"/>
                <w:szCs w:val="18"/>
              </w:rPr>
              <w:t>智能 移动支付领域的竞争力</w:t>
            </w:r>
          </w:p>
        </w:tc>
      </w:tr>
    </w:tbl>
    <w:p>
      <w:pPr>
        <w:spacing w:after="0" w:line="30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6" w:type="dxa"/>
        <w:tblLayout w:type="fixed"/>
        <w:tblCellMar>
          <w:top w:w="0" w:type="dxa"/>
          <w:left w:w="0" w:type="dxa"/>
          <w:bottom w:w="0" w:type="dxa"/>
          <w:right w:w="0" w:type="dxa"/>
        </w:tblCellMar>
        <w:tblLook w:val="01E0"/>
      </w:tblPr>
      <w:tblGrid>
        <w:gridCol w:w="568"/>
        <w:gridCol w:w="1021"/>
        <w:gridCol w:w="4932"/>
        <w:gridCol w:w="851"/>
        <w:gridCol w:w="2126"/>
      </w:tblGrid>
      <w:tr>
        <w:trPr>
          <w:trHeight w:val="348" w:hRule="exact"/>
        </w:trPr>
        <w:tc>
          <w:tcPr>
            <w:tcW w:w="568" w:type="dxa"/>
            <w:tcBorders>
              <w:top w:val="single" w:sz="6" w:space="0" w:color="000000"/>
              <w:left w:val="single" w:sz="6" w:space="0" w:color="000000"/>
              <w:bottom w:val="single" w:sz="6" w:space="0" w:color="000000"/>
              <w:right w:val="single" w:sz="6" w:space="0" w:color="000000"/>
            </w:tcBorders>
          </w:tcPr>
          <w:p>
            <w:pPr/>
          </w:p>
        </w:tc>
        <w:tc>
          <w:tcPr>
            <w:tcW w:w="1021" w:type="dxa"/>
            <w:tcBorders>
              <w:top w:val="single" w:sz="6" w:space="0" w:color="000000"/>
              <w:left w:val="single" w:sz="6" w:space="0" w:color="000000"/>
              <w:bottom w:val="single" w:sz="6" w:space="0" w:color="000000"/>
              <w:right w:val="single" w:sz="6" w:space="0" w:color="000000"/>
            </w:tcBorders>
          </w:tcPr>
          <w:p>
            <w:pPr/>
          </w:p>
        </w:tc>
        <w:tc>
          <w:tcPr>
            <w:tcW w:w="49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方式，为物流快递业务提供快捷收款解决方案</w:t>
            </w:r>
          </w:p>
        </w:tc>
        <w:tc>
          <w:tcPr>
            <w:tcW w:w="851" w:type="dxa"/>
            <w:tcBorders>
              <w:top w:val="single" w:sz="6" w:space="0" w:color="000000"/>
              <w:left w:val="single" w:sz="6" w:space="0" w:color="000000"/>
              <w:bottom w:val="single" w:sz="6" w:space="0" w:color="000000"/>
              <w:right w:val="single" w:sz="6" w:space="0" w:color="000000"/>
            </w:tcBorders>
          </w:tcPr>
          <w:p>
            <w:pPr/>
          </w:p>
        </w:tc>
        <w:tc>
          <w:tcPr>
            <w:tcW w:w="2126"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5"/>
          <w:szCs w:val="15"/>
        </w:rPr>
      </w:pPr>
    </w:p>
    <w:p>
      <w:pPr>
        <w:pStyle w:val="BodyText"/>
        <w:spacing w:line="240" w:lineRule="auto"/>
        <w:ind w:right="1134"/>
        <w:jc w:val="left"/>
      </w:pPr>
      <w:r>
        <w:rPr/>
        <w:t>近三年公司研发投入金额及占营业收入的比例</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239"/>
        <w:gridCol w:w="2114"/>
        <w:gridCol w:w="2103"/>
        <w:gridCol w:w="2102"/>
      </w:tblGrid>
      <w:tr>
        <w:trPr>
          <w:trHeight w:val="402" w:hRule="exact"/>
        </w:trPr>
        <w:tc>
          <w:tcPr>
            <w:tcW w:w="323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1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1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1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32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1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301</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284</w:t>
            </w: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217</w:t>
            </w:r>
          </w:p>
        </w:tc>
      </w:tr>
      <w:tr>
        <w:trPr>
          <w:trHeight w:val="402" w:hRule="exact"/>
        </w:trPr>
        <w:tc>
          <w:tcPr>
            <w:tcW w:w="32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1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46.59%</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48.88%</w:t>
            </w: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45.97%</w:t>
            </w:r>
          </w:p>
        </w:tc>
      </w:tr>
      <w:tr>
        <w:trPr>
          <w:trHeight w:val="402" w:hRule="exact"/>
        </w:trPr>
        <w:tc>
          <w:tcPr>
            <w:tcW w:w="32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1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72,231,425.05</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55,869,895.81</w:t>
            </w: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34,922,513.35</w:t>
            </w:r>
          </w:p>
        </w:tc>
      </w:tr>
      <w:tr>
        <w:trPr>
          <w:trHeight w:val="402" w:hRule="exact"/>
        </w:trPr>
        <w:tc>
          <w:tcPr>
            <w:tcW w:w="32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1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7.59%</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12.61%</w:t>
            </w: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10.49%</w:t>
            </w:r>
          </w:p>
        </w:tc>
      </w:tr>
      <w:tr>
        <w:trPr>
          <w:trHeight w:val="402" w:hRule="exact"/>
        </w:trPr>
        <w:tc>
          <w:tcPr>
            <w:tcW w:w="32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研发支出资本化的金额（元）</w:t>
            </w:r>
          </w:p>
        </w:tc>
        <w:tc>
          <w:tcPr>
            <w:tcW w:w="21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32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资本化研发支出占研发投入的比例</w:t>
            </w:r>
          </w:p>
        </w:tc>
        <w:tc>
          <w:tcPr>
            <w:tcW w:w="21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32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资本化研发支出占当期净利润的比重</w:t>
            </w:r>
          </w:p>
        </w:tc>
        <w:tc>
          <w:tcPr>
            <w:tcW w:w="21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c>
          <w:tcPr>
            <w:tcW w:w="21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right="1134"/>
        <w:jc w:val="left"/>
      </w:pPr>
      <w:r>
        <w:rPr/>
        <w:t>研发投入总额占营业收入的比重较上年发生显著变化的原因</w:t>
      </w:r>
    </w:p>
    <w:p>
      <w:pPr>
        <w:pStyle w:val="BodyText"/>
        <w:spacing w:line="338" w:lineRule="auto" w:before="117"/>
        <w:ind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研发投入资本化率大幅变动的原因及其合理性说明</w:t>
      </w:r>
    </w:p>
    <w:p>
      <w:pPr>
        <w:pStyle w:val="BodyText"/>
        <w:spacing w:line="240" w:lineRule="auto" w:before="42"/>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3"/>
        <w:spacing w:line="240" w:lineRule="auto"/>
        <w:ind w:right="1134"/>
        <w:jc w:val="left"/>
        <w:rPr>
          <w:b w:val="0"/>
          <w:bCs w:val="0"/>
        </w:rPr>
      </w:pPr>
      <w:bookmarkStart w:name="5、现金流" w:id="38"/>
      <w:bookmarkEnd w:id="38"/>
      <w:r>
        <w:rPr>
          <w:b w:val="0"/>
          <w:bCs w:val="0"/>
        </w:rPr>
      </w:r>
      <w:r>
        <w:rPr>
          <w:rFonts w:ascii="Times New Roman" w:hAnsi="Times New Roman" w:cs="Times New Roman" w:eastAsia="Times New Roman" w:hint="default"/>
        </w:rPr>
        <w:t>5</w:t>
      </w:r>
      <w:r>
        <w:rPr/>
        <w:t>、现金流</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813"/>
        <w:gridCol w:w="2256"/>
        <w:gridCol w:w="2244"/>
        <w:gridCol w:w="2244"/>
      </w:tblGrid>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951,708,445.37</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495,453,218.98</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92.09%</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978,988,309.49</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436,636,849.84</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124.21%</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-27,279,864.12</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58,816,369.14</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-146.38%</w:t>
            </w:r>
            <w:r>
              <w:rPr>
                <w:rFonts w:ascii="Times New Roman"/>
                <w:sz w:val="18"/>
              </w:rPr>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450,315,398.48</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473,312,250.15</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-4.86%</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499,546,855.77</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426,619,528.81</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17.09%</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-49,231,457.29</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46,692,721.34</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-205.44%</w:t>
            </w:r>
            <w:r>
              <w:rPr>
                <w:rFonts w:ascii="Times New Roman"/>
                <w:sz w:val="18"/>
              </w:rPr>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177,763,477.70</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57,045,403.50</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211.62%</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43,687,147.53</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43,996,295.83</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-0.70%</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134,076,330.17</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13,049,107.67</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927.48%</w:t>
            </w:r>
          </w:p>
        </w:tc>
      </w:tr>
      <w:tr>
        <w:trPr>
          <w:trHeight w:val="402" w:hRule="exact"/>
        </w:trPr>
        <w:tc>
          <w:tcPr>
            <w:tcW w:w="2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25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58,344,208.51</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116,231,344.07</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-49.80%</w:t>
            </w:r>
          </w:p>
        </w:tc>
      </w:tr>
    </w:tbl>
    <w:p>
      <w:pPr>
        <w:pStyle w:val="BodyText"/>
        <w:spacing w:line="240" w:lineRule="auto" w:before="51"/>
        <w:ind w:right="1134"/>
        <w:jc w:val="left"/>
      </w:pPr>
      <w:r>
        <w:rPr/>
        <w:t>相关数据同比发生重大变动的主要影响因素说明</w:t>
      </w:r>
    </w:p>
    <w:p>
      <w:pPr>
        <w:pStyle w:val="BodyText"/>
        <w:spacing w:line="240" w:lineRule="auto" w:before="117"/>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4"/>
        <w:rPr>
          <w:rFonts w:ascii="宋体" w:hAnsi="宋体" w:cs="宋体" w:eastAsia="宋体" w:hint="default"/>
          <w:sz w:val="7"/>
          <w:szCs w:val="7"/>
        </w:rPr>
      </w:pPr>
    </w:p>
    <w:tbl>
      <w:tblPr>
        <w:tblW w:w="0" w:type="auto"/>
        <w:jc w:val="left"/>
        <w:tblInd w:w="151" w:type="dxa"/>
        <w:tblLayout w:type="fixed"/>
        <w:tblCellMar>
          <w:top w:w="0" w:type="dxa"/>
          <w:left w:w="0" w:type="dxa"/>
          <w:bottom w:w="0" w:type="dxa"/>
          <w:right w:w="0" w:type="dxa"/>
        </w:tblCellMar>
        <w:tblLook w:val="01E0"/>
      </w:tblPr>
      <w:tblGrid>
        <w:gridCol w:w="2692"/>
        <w:gridCol w:w="1559"/>
        <w:gridCol w:w="1547"/>
        <w:gridCol w:w="1045"/>
        <w:gridCol w:w="2687"/>
      </w:tblGrid>
      <w:tr>
        <w:trPr>
          <w:trHeight w:val="417" w:hRule="exact"/>
        </w:trPr>
        <w:tc>
          <w:tcPr>
            <w:tcW w:w="26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项</w:t>
            </w:r>
            <w:r>
              <w:rPr>
                <w:rFonts w:ascii="宋体" w:hAnsi="宋体" w:cs="宋体" w:eastAsia="宋体" w:hint="default"/>
                <w:spacing w:val="-17"/>
                <w:sz w:val="18"/>
                <w:szCs w:val="18"/>
              </w:rPr>
              <w:t> </w:t>
            </w:r>
            <w:r>
              <w:rPr>
                <w:rFonts w:ascii="宋体" w:hAnsi="宋体" w:cs="宋体" w:eastAsia="宋体" w:hint="default"/>
                <w:sz w:val="18"/>
                <w:szCs w:val="18"/>
              </w:rPr>
              <w:t>目</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left="413"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4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left="407"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10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left="157" w:right="0"/>
              <w:jc w:val="left"/>
              <w:rPr>
                <w:rFonts w:ascii="宋体" w:hAnsi="宋体" w:cs="宋体" w:eastAsia="宋体" w:hint="default"/>
                <w:sz w:val="18"/>
                <w:szCs w:val="18"/>
              </w:rPr>
            </w:pPr>
            <w:r>
              <w:rPr>
                <w:rFonts w:ascii="宋体" w:hAnsi="宋体" w:cs="宋体" w:eastAsia="宋体" w:hint="default"/>
                <w:sz w:val="18"/>
                <w:szCs w:val="18"/>
              </w:rPr>
              <w:t>变动比例</w:t>
            </w:r>
          </w:p>
        </w:tc>
        <w:tc>
          <w:tcPr>
            <w:tcW w:w="26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734" w:hRule="exact"/>
        </w:trPr>
        <w:tc>
          <w:tcPr>
            <w:tcW w:w="26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559" w:type="dxa"/>
            <w:tcBorders>
              <w:top w:val="single" w:sz="8" w:space="0" w:color="000000"/>
              <w:left w:val="single" w:sz="6" w:space="0" w:color="000000"/>
              <w:bottom w:val="single" w:sz="4" w:space="0" w:color="000000"/>
              <w:right w:val="single" w:sz="4" w:space="0" w:color="000000"/>
            </w:tcBorders>
          </w:tcPr>
          <w:p>
            <w:pPr>
              <w:pStyle w:val="TableParagraph"/>
              <w:spacing w:line="240" w:lineRule="auto" w:before="96"/>
              <w:ind w:right="5"/>
              <w:jc w:val="right"/>
              <w:rPr>
                <w:rFonts w:ascii="Times New Roman" w:hAnsi="Times New Roman" w:cs="Times New Roman" w:eastAsia="Times New Roman" w:hint="default"/>
                <w:sz w:val="18"/>
                <w:szCs w:val="18"/>
              </w:rPr>
            </w:pPr>
            <w:r>
              <w:rPr>
                <w:rFonts w:ascii="Times New Roman"/>
                <w:spacing w:val="-1"/>
                <w:sz w:val="18"/>
              </w:rPr>
              <w:t>873,438,760.17</w:t>
            </w:r>
          </w:p>
        </w:tc>
        <w:tc>
          <w:tcPr>
            <w:tcW w:w="1547"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96"/>
              <w:ind w:right="4"/>
              <w:jc w:val="right"/>
              <w:rPr>
                <w:rFonts w:ascii="Times New Roman" w:hAnsi="Times New Roman" w:cs="Times New Roman" w:eastAsia="Times New Roman" w:hint="default"/>
                <w:sz w:val="18"/>
                <w:szCs w:val="18"/>
              </w:rPr>
            </w:pPr>
            <w:r>
              <w:rPr>
                <w:rFonts w:ascii="Times New Roman"/>
                <w:spacing w:val="-1"/>
                <w:sz w:val="18"/>
              </w:rPr>
              <w:t>470,169,880.27</w:t>
            </w:r>
          </w:p>
        </w:tc>
        <w:tc>
          <w:tcPr>
            <w:tcW w:w="1045"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96"/>
              <w:ind w:right="1"/>
              <w:jc w:val="right"/>
              <w:rPr>
                <w:rFonts w:ascii="Times New Roman" w:hAnsi="Times New Roman" w:cs="Times New Roman" w:eastAsia="Times New Roman" w:hint="default"/>
                <w:sz w:val="18"/>
                <w:szCs w:val="18"/>
              </w:rPr>
            </w:pPr>
            <w:r>
              <w:rPr>
                <w:rFonts w:ascii="Times New Roman"/>
                <w:sz w:val="18"/>
              </w:rPr>
              <w:t>85.77%</w:t>
            </w:r>
          </w:p>
        </w:tc>
        <w:tc>
          <w:tcPr>
            <w:tcW w:w="2687" w:type="dxa"/>
            <w:tcBorders>
              <w:top w:val="single" w:sz="8" w:space="0" w:color="000000"/>
              <w:left w:val="single" w:sz="4" w:space="0" w:color="000000"/>
              <w:bottom w:val="single" w:sz="4" w:space="0" w:color="000000"/>
              <w:right w:val="single" w:sz="4" w:space="0" w:color="000000"/>
            </w:tcBorders>
          </w:tcPr>
          <w:p>
            <w:pPr>
              <w:pStyle w:val="TableParagraph"/>
              <w:spacing w:line="319" w:lineRule="auto" w:before="56"/>
              <w:ind w:left="4" w:right="150"/>
              <w:jc w:val="left"/>
              <w:rPr>
                <w:rFonts w:ascii="宋体" w:hAnsi="宋体" w:cs="宋体" w:eastAsia="宋体" w:hint="default"/>
                <w:sz w:val="18"/>
                <w:szCs w:val="18"/>
              </w:rPr>
            </w:pPr>
            <w:r>
              <w:rPr>
                <w:rFonts w:ascii="宋体" w:hAnsi="宋体" w:cs="宋体" w:eastAsia="宋体" w:hint="default"/>
                <w:sz w:val="18"/>
                <w:szCs w:val="18"/>
              </w:rPr>
              <w:t>本报告期随销售规模增长回款增 加</w:t>
            </w:r>
          </w:p>
        </w:tc>
      </w:tr>
      <w:tr>
        <w:trPr>
          <w:trHeight w:val="422" w:hRule="exact"/>
        </w:trPr>
        <w:tc>
          <w:tcPr>
            <w:tcW w:w="26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559" w:type="dxa"/>
            <w:tcBorders>
              <w:top w:val="single" w:sz="4" w:space="0" w:color="000000"/>
              <w:left w:val="single" w:sz="6" w:space="0" w:color="000000"/>
              <w:bottom w:val="single" w:sz="4" w:space="0" w:color="000000"/>
              <w:right w:val="single" w:sz="4" w:space="0" w:color="000000"/>
            </w:tcBorders>
          </w:tcPr>
          <w:p>
            <w:pPr>
              <w:pStyle w:val="TableParagraph"/>
              <w:spacing w:line="240" w:lineRule="auto" w:before="102"/>
              <w:ind w:right="5"/>
              <w:jc w:val="right"/>
              <w:rPr>
                <w:rFonts w:ascii="Times New Roman" w:hAnsi="Times New Roman" w:cs="Times New Roman" w:eastAsia="Times New Roman" w:hint="default"/>
                <w:sz w:val="18"/>
                <w:szCs w:val="18"/>
              </w:rPr>
            </w:pPr>
            <w:r>
              <w:rPr>
                <w:rFonts w:ascii="Times New Roman"/>
                <w:spacing w:val="-1"/>
                <w:sz w:val="18"/>
              </w:rPr>
              <w:t>58,083,074.57</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
              <w:jc w:val="right"/>
              <w:rPr>
                <w:rFonts w:ascii="Times New Roman" w:hAnsi="Times New Roman" w:cs="Times New Roman" w:eastAsia="Times New Roman" w:hint="default"/>
                <w:sz w:val="18"/>
                <w:szCs w:val="18"/>
              </w:rPr>
            </w:pPr>
            <w:r>
              <w:rPr>
                <w:rFonts w:ascii="Times New Roman"/>
                <w:spacing w:val="-1"/>
                <w:sz w:val="18"/>
              </w:rPr>
              <w:t>18,083,938.72</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221.19%</w:t>
            </w:r>
          </w:p>
        </w:tc>
        <w:tc>
          <w:tcPr>
            <w:tcW w:w="2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4" w:right="0"/>
              <w:jc w:val="left"/>
              <w:rPr>
                <w:rFonts w:ascii="宋体" w:hAnsi="宋体" w:cs="宋体" w:eastAsia="宋体" w:hint="default"/>
                <w:sz w:val="18"/>
                <w:szCs w:val="18"/>
              </w:rPr>
            </w:pPr>
            <w:r>
              <w:rPr>
                <w:rFonts w:ascii="宋体" w:hAnsi="宋体" w:cs="宋体" w:eastAsia="宋体" w:hint="default"/>
                <w:sz w:val="18"/>
                <w:szCs w:val="18"/>
              </w:rPr>
              <w:t>子公司收到增值税返还增加所致</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694"/>
        <w:gridCol w:w="1559"/>
        <w:gridCol w:w="1547"/>
        <w:gridCol w:w="1045"/>
        <w:gridCol w:w="2687"/>
      </w:tblGrid>
      <w:tr>
        <w:trPr>
          <w:trHeight w:val="734" w:hRule="exact"/>
        </w:trPr>
        <w:tc>
          <w:tcPr>
            <w:tcW w:w="2694" w:type="dxa"/>
            <w:tcBorders>
              <w:top w:val="single" w:sz="4" w:space="0" w:color="000000"/>
              <w:left w:val="single" w:sz="4" w:space="0" w:color="000000"/>
              <w:bottom w:val="single" w:sz="4" w:space="0" w:color="FFFFFF"/>
              <w:right w:val="single" w:sz="4" w:space="0" w:color="000000"/>
            </w:tcBorders>
            <w:shd w:val="clear" w:color="auto" w:fill="D9D9D9"/>
          </w:tcPr>
          <w:p>
            <w:pPr>
              <w:pStyle w:val="TableParagraph"/>
              <w:spacing w:line="240" w:lineRule="auto" w:before="62"/>
              <w:ind w:left="4"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559"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2"/>
              <w:ind w:right="5"/>
              <w:jc w:val="right"/>
              <w:rPr>
                <w:rFonts w:ascii="Times New Roman" w:hAnsi="Times New Roman" w:cs="Times New Roman" w:eastAsia="Times New Roman" w:hint="default"/>
                <w:sz w:val="18"/>
                <w:szCs w:val="18"/>
              </w:rPr>
            </w:pPr>
            <w:r>
              <w:rPr>
                <w:rFonts w:ascii="Times New Roman"/>
                <w:spacing w:val="-1"/>
                <w:sz w:val="18"/>
              </w:rPr>
              <w:t>20,186,610.63</w:t>
            </w:r>
          </w:p>
        </w:tc>
        <w:tc>
          <w:tcPr>
            <w:tcW w:w="1547"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2"/>
              <w:ind w:right="4"/>
              <w:jc w:val="right"/>
              <w:rPr>
                <w:rFonts w:ascii="Times New Roman" w:hAnsi="Times New Roman" w:cs="Times New Roman" w:eastAsia="Times New Roman" w:hint="default"/>
                <w:sz w:val="18"/>
                <w:szCs w:val="18"/>
              </w:rPr>
            </w:pPr>
            <w:r>
              <w:rPr>
                <w:rFonts w:ascii="Times New Roman"/>
                <w:spacing w:val="-1"/>
                <w:sz w:val="18"/>
              </w:rPr>
              <w:t>7,199,399.99</w:t>
            </w:r>
          </w:p>
        </w:tc>
        <w:tc>
          <w:tcPr>
            <w:tcW w:w="1045"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180.39%</w:t>
            </w:r>
          </w:p>
        </w:tc>
        <w:tc>
          <w:tcPr>
            <w:tcW w:w="2687" w:type="dxa"/>
            <w:tcBorders>
              <w:top w:val="single" w:sz="4" w:space="0" w:color="000000"/>
              <w:left w:val="single" w:sz="4" w:space="0" w:color="000000"/>
              <w:bottom w:val="single" w:sz="4" w:space="0" w:color="FFFFFF"/>
              <w:right w:val="single" w:sz="4" w:space="0" w:color="000000"/>
            </w:tcBorders>
          </w:tcPr>
          <w:p>
            <w:pPr>
              <w:pStyle w:val="TableParagraph"/>
              <w:spacing w:line="316" w:lineRule="auto" w:before="62"/>
              <w:ind w:left="4" w:right="150"/>
              <w:jc w:val="left"/>
              <w:rPr>
                <w:rFonts w:ascii="宋体" w:hAnsi="宋体" w:cs="宋体" w:eastAsia="宋体" w:hint="default"/>
                <w:sz w:val="18"/>
                <w:szCs w:val="18"/>
              </w:rPr>
            </w:pPr>
            <w:r>
              <w:rPr>
                <w:rFonts w:ascii="宋体" w:hAnsi="宋体" w:cs="宋体" w:eastAsia="宋体" w:hint="default"/>
                <w:sz w:val="18"/>
                <w:szCs w:val="18"/>
              </w:rPr>
              <w:t>本报告期收到研发费用补贴等政 府补助及出口退税增加所致</w:t>
            </w:r>
          </w:p>
        </w:tc>
      </w:tr>
      <w:tr>
        <w:trPr>
          <w:trHeight w:val="734" w:hRule="exact"/>
        </w:trPr>
        <w:tc>
          <w:tcPr>
            <w:tcW w:w="2694" w:type="dxa"/>
            <w:tcBorders>
              <w:top w:val="single" w:sz="4" w:space="0" w:color="FFFFFF"/>
              <w:left w:val="single" w:sz="4" w:space="0" w:color="000000"/>
              <w:bottom w:val="single" w:sz="4" w:space="0" w:color="FFFFFF"/>
              <w:right w:val="single" w:sz="4" w:space="0" w:color="000000"/>
            </w:tcBorders>
            <w:shd w:val="clear" w:color="auto" w:fill="D9D9D9"/>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559"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00"/>
              <w:ind w:right="5"/>
              <w:jc w:val="right"/>
              <w:rPr>
                <w:rFonts w:ascii="Times New Roman" w:hAnsi="Times New Roman" w:cs="Times New Roman" w:eastAsia="Times New Roman" w:hint="default"/>
                <w:sz w:val="18"/>
                <w:szCs w:val="18"/>
              </w:rPr>
            </w:pPr>
            <w:r>
              <w:rPr>
                <w:rFonts w:ascii="Times New Roman"/>
                <w:spacing w:val="-1"/>
                <w:sz w:val="18"/>
              </w:rPr>
              <w:t>780,081,817.43</w:t>
            </w:r>
          </w:p>
        </w:tc>
        <w:tc>
          <w:tcPr>
            <w:tcW w:w="1547"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00"/>
              <w:ind w:right="4"/>
              <w:jc w:val="right"/>
              <w:rPr>
                <w:rFonts w:ascii="Times New Roman" w:hAnsi="Times New Roman" w:cs="Times New Roman" w:eastAsia="Times New Roman" w:hint="default"/>
                <w:sz w:val="18"/>
                <w:szCs w:val="18"/>
              </w:rPr>
            </w:pPr>
            <w:r>
              <w:rPr>
                <w:rFonts w:ascii="Times New Roman"/>
                <w:spacing w:val="-1"/>
                <w:sz w:val="18"/>
              </w:rPr>
              <w:t>288,785,683.89</w:t>
            </w:r>
          </w:p>
        </w:tc>
        <w:tc>
          <w:tcPr>
            <w:tcW w:w="1045"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170.12%</w:t>
            </w:r>
          </w:p>
        </w:tc>
        <w:tc>
          <w:tcPr>
            <w:tcW w:w="2687" w:type="dxa"/>
            <w:tcBorders>
              <w:top w:val="single" w:sz="4" w:space="0" w:color="FFFFFF"/>
              <w:left w:val="single" w:sz="4" w:space="0" w:color="000000"/>
              <w:bottom w:val="single" w:sz="4" w:space="0" w:color="FFFFFF"/>
              <w:right w:val="single" w:sz="4" w:space="0" w:color="000000"/>
            </w:tcBorders>
          </w:tcPr>
          <w:p>
            <w:pPr>
              <w:pStyle w:val="TableParagraph"/>
              <w:spacing w:line="319" w:lineRule="auto" w:before="61"/>
              <w:ind w:left="4" w:right="150"/>
              <w:jc w:val="left"/>
              <w:rPr>
                <w:rFonts w:ascii="宋体" w:hAnsi="宋体" w:cs="宋体" w:eastAsia="宋体" w:hint="default"/>
                <w:sz w:val="18"/>
                <w:szCs w:val="18"/>
              </w:rPr>
            </w:pPr>
            <w:r>
              <w:rPr>
                <w:rFonts w:ascii="宋体" w:hAnsi="宋体" w:cs="宋体" w:eastAsia="宋体" w:hint="default"/>
                <w:sz w:val="18"/>
                <w:szCs w:val="18"/>
              </w:rPr>
              <w:t>本报告期销售规模增加导致支付 采购货款增加</w:t>
            </w:r>
          </w:p>
        </w:tc>
      </w:tr>
      <w:tr>
        <w:trPr>
          <w:trHeight w:val="734" w:hRule="exact"/>
        </w:trPr>
        <w:tc>
          <w:tcPr>
            <w:tcW w:w="2694" w:type="dxa"/>
            <w:tcBorders>
              <w:top w:val="single" w:sz="4" w:space="0" w:color="FFFFFF"/>
              <w:left w:val="single" w:sz="4" w:space="0" w:color="000000"/>
              <w:bottom w:val="single" w:sz="4" w:space="0" w:color="FFFFFF"/>
              <w:right w:val="single" w:sz="4" w:space="0" w:color="000000"/>
            </w:tcBorders>
            <w:shd w:val="clear" w:color="auto" w:fill="D9D9D9"/>
          </w:tcPr>
          <w:p>
            <w:pPr>
              <w:pStyle w:val="TableParagraph"/>
              <w:spacing w:line="240" w:lineRule="auto" w:before="62"/>
              <w:ind w:left="4"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559"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02"/>
              <w:ind w:right="5"/>
              <w:jc w:val="right"/>
              <w:rPr>
                <w:rFonts w:ascii="Times New Roman" w:hAnsi="Times New Roman" w:cs="Times New Roman" w:eastAsia="Times New Roman" w:hint="default"/>
                <w:sz w:val="18"/>
                <w:szCs w:val="18"/>
              </w:rPr>
            </w:pPr>
            <w:r>
              <w:rPr>
                <w:rFonts w:ascii="Times New Roman"/>
                <w:spacing w:val="-1"/>
                <w:sz w:val="18"/>
              </w:rPr>
              <w:t>54,967,769.26</w:t>
            </w:r>
          </w:p>
        </w:tc>
        <w:tc>
          <w:tcPr>
            <w:tcW w:w="1547"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02"/>
              <w:ind w:right="4"/>
              <w:jc w:val="right"/>
              <w:rPr>
                <w:rFonts w:ascii="Times New Roman" w:hAnsi="Times New Roman" w:cs="Times New Roman" w:eastAsia="Times New Roman" w:hint="default"/>
                <w:sz w:val="18"/>
                <w:szCs w:val="18"/>
              </w:rPr>
            </w:pPr>
            <w:r>
              <w:rPr>
                <w:rFonts w:ascii="Times New Roman"/>
                <w:spacing w:val="-1"/>
                <w:sz w:val="18"/>
              </w:rPr>
              <w:t>32,959,093.32</w:t>
            </w:r>
          </w:p>
        </w:tc>
        <w:tc>
          <w:tcPr>
            <w:tcW w:w="1045" w:type="dxa"/>
            <w:tcBorders>
              <w:top w:val="single" w:sz="4" w:space="0" w:color="FFFFFF"/>
              <w:left w:val="single" w:sz="4" w:space="0" w:color="000000"/>
              <w:bottom w:val="single" w:sz="4" w:space="0" w:color="FFFFFF"/>
              <w:right w:val="single" w:sz="4"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66.78%</w:t>
            </w:r>
          </w:p>
        </w:tc>
        <w:tc>
          <w:tcPr>
            <w:tcW w:w="2687" w:type="dxa"/>
            <w:tcBorders>
              <w:top w:val="single" w:sz="4" w:space="0" w:color="FFFFFF"/>
              <w:left w:val="single" w:sz="4" w:space="0" w:color="000000"/>
              <w:bottom w:val="single" w:sz="4" w:space="0" w:color="FFFFFF"/>
              <w:right w:val="single" w:sz="4" w:space="0" w:color="000000"/>
            </w:tcBorders>
          </w:tcPr>
          <w:p>
            <w:pPr>
              <w:pStyle w:val="TableParagraph"/>
              <w:spacing w:line="316" w:lineRule="auto" w:before="62"/>
              <w:ind w:left="4" w:right="150"/>
              <w:jc w:val="left"/>
              <w:rPr>
                <w:rFonts w:ascii="宋体" w:hAnsi="宋体" w:cs="宋体" w:eastAsia="宋体" w:hint="default"/>
                <w:sz w:val="18"/>
                <w:szCs w:val="18"/>
              </w:rPr>
            </w:pPr>
            <w:r>
              <w:rPr>
                <w:rFonts w:ascii="宋体" w:hAnsi="宋体" w:cs="宋体" w:eastAsia="宋体" w:hint="default"/>
                <w:sz w:val="18"/>
                <w:szCs w:val="18"/>
              </w:rPr>
              <w:t>本报告期销售规模增加导致支付 税费增加</w:t>
            </w:r>
          </w:p>
        </w:tc>
      </w:tr>
      <w:tr>
        <w:trPr>
          <w:trHeight w:val="734" w:hRule="exact"/>
        </w:trPr>
        <w:tc>
          <w:tcPr>
            <w:tcW w:w="2694" w:type="dxa"/>
            <w:tcBorders>
              <w:top w:val="single" w:sz="4" w:space="0" w:color="FFFFFF"/>
              <w:left w:val="single" w:sz="4" w:space="0" w:color="000000"/>
              <w:bottom w:val="single" w:sz="4" w:space="0" w:color="000000"/>
              <w:right w:val="single" w:sz="4" w:space="0" w:color="000000"/>
            </w:tcBorders>
            <w:shd w:val="clear" w:color="auto" w:fill="D9D9D9"/>
          </w:tcPr>
          <w:p>
            <w:pPr>
              <w:pStyle w:val="TableParagraph"/>
              <w:spacing w:line="316" w:lineRule="auto" w:before="62"/>
              <w:ind w:left="4" w:right="4"/>
              <w:jc w:val="left"/>
              <w:rPr>
                <w:rFonts w:ascii="宋体" w:hAnsi="宋体" w:cs="宋体" w:eastAsia="宋体" w:hint="default"/>
                <w:sz w:val="18"/>
                <w:szCs w:val="18"/>
              </w:rPr>
            </w:pPr>
            <w:r>
              <w:rPr>
                <w:rFonts w:ascii="宋体" w:hAnsi="宋体" w:cs="宋体" w:eastAsia="宋体" w:hint="default"/>
                <w:spacing w:val="-2"/>
                <w:sz w:val="18"/>
                <w:szCs w:val="18"/>
              </w:rPr>
              <w:t>处置固定资产、无形资产和其他长</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期资产收回的现金净额</w:t>
            </w:r>
          </w:p>
        </w:tc>
        <w:tc>
          <w:tcPr>
            <w:tcW w:w="1559"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02"/>
              <w:ind w:right="3"/>
              <w:jc w:val="right"/>
              <w:rPr>
                <w:rFonts w:ascii="Times New Roman" w:hAnsi="Times New Roman" w:cs="Times New Roman" w:eastAsia="Times New Roman" w:hint="default"/>
                <w:sz w:val="18"/>
                <w:szCs w:val="18"/>
              </w:rPr>
            </w:pPr>
            <w:r>
              <w:rPr>
                <w:rFonts w:ascii="Times New Roman"/>
                <w:spacing w:val="-1"/>
                <w:sz w:val="18"/>
              </w:rPr>
              <w:t>16,200.00</w:t>
            </w:r>
          </w:p>
        </w:tc>
        <w:tc>
          <w:tcPr>
            <w:tcW w:w="1547"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02"/>
              <w:ind w:right="4"/>
              <w:jc w:val="right"/>
              <w:rPr>
                <w:rFonts w:ascii="Times New Roman" w:hAnsi="Times New Roman" w:cs="Times New Roman" w:eastAsia="Times New Roman" w:hint="default"/>
                <w:sz w:val="18"/>
                <w:szCs w:val="18"/>
              </w:rPr>
            </w:pPr>
            <w:r>
              <w:rPr>
                <w:rFonts w:ascii="Times New Roman"/>
                <w:spacing w:val="-1"/>
                <w:sz w:val="18"/>
              </w:rPr>
              <w:t>225,000.00</w:t>
            </w:r>
          </w:p>
        </w:tc>
        <w:tc>
          <w:tcPr>
            <w:tcW w:w="1045"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-92.80%</w:t>
            </w:r>
          </w:p>
        </w:tc>
        <w:tc>
          <w:tcPr>
            <w:tcW w:w="2687"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62"/>
              <w:ind w:left="4" w:right="0"/>
              <w:jc w:val="left"/>
              <w:rPr>
                <w:rFonts w:ascii="宋体" w:hAnsi="宋体" w:cs="宋体" w:eastAsia="宋体" w:hint="default"/>
                <w:sz w:val="18"/>
                <w:szCs w:val="18"/>
              </w:rPr>
            </w:pPr>
            <w:r>
              <w:rPr>
                <w:rFonts w:ascii="宋体" w:hAnsi="宋体" w:cs="宋体" w:eastAsia="宋体" w:hint="default"/>
                <w:sz w:val="18"/>
                <w:szCs w:val="18"/>
              </w:rPr>
              <w:t>本报告期固定资产处置减少所致</w:t>
            </w:r>
          </w:p>
        </w:tc>
      </w:tr>
      <w:tr>
        <w:trPr>
          <w:trHeight w:val="733"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61"/>
              <w:ind w:left="4" w:right="4"/>
              <w:jc w:val="left"/>
              <w:rPr>
                <w:rFonts w:ascii="宋体" w:hAnsi="宋体" w:cs="宋体" w:eastAsia="宋体" w:hint="default"/>
                <w:sz w:val="18"/>
                <w:szCs w:val="18"/>
              </w:rPr>
            </w:pPr>
            <w:r>
              <w:rPr>
                <w:rFonts w:ascii="宋体" w:hAnsi="宋体" w:cs="宋体" w:eastAsia="宋体" w:hint="default"/>
                <w:spacing w:val="-2"/>
                <w:sz w:val="18"/>
                <w:szCs w:val="18"/>
              </w:rPr>
              <w:t>购建固定资产、无形资产和其他长</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期资产支付的现金</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5"/>
              <w:jc w:val="right"/>
              <w:rPr>
                <w:rFonts w:ascii="Times New Roman" w:hAnsi="Times New Roman" w:cs="Times New Roman" w:eastAsia="Times New Roman" w:hint="default"/>
                <w:sz w:val="18"/>
                <w:szCs w:val="18"/>
              </w:rPr>
            </w:pPr>
            <w:r>
              <w:rPr>
                <w:rFonts w:ascii="Times New Roman"/>
                <w:spacing w:val="-1"/>
                <w:sz w:val="18"/>
              </w:rPr>
              <w:t>15,420,855.77</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
              <w:jc w:val="right"/>
              <w:rPr>
                <w:rFonts w:ascii="Times New Roman" w:hAnsi="Times New Roman" w:cs="Times New Roman" w:eastAsia="Times New Roman" w:hint="default"/>
                <w:sz w:val="18"/>
                <w:szCs w:val="18"/>
              </w:rPr>
            </w:pPr>
            <w:r>
              <w:rPr>
                <w:rFonts w:ascii="Times New Roman"/>
                <w:spacing w:val="-1"/>
                <w:sz w:val="18"/>
              </w:rPr>
              <w:t>35,415,511.64</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-56.46%</w:t>
            </w:r>
          </w:p>
        </w:tc>
        <w:tc>
          <w:tcPr>
            <w:tcW w:w="2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本报告期购置固定资产减少所致</w:t>
            </w:r>
          </w:p>
        </w:tc>
      </w:tr>
      <w:tr>
        <w:trPr>
          <w:trHeight w:val="734" w:hRule="exact"/>
        </w:trPr>
        <w:tc>
          <w:tcPr>
            <w:tcW w:w="2694" w:type="dxa"/>
            <w:tcBorders>
              <w:top w:val="single" w:sz="4" w:space="0" w:color="000000"/>
              <w:left w:val="single" w:sz="4" w:space="0" w:color="000000"/>
              <w:bottom w:val="single" w:sz="4" w:space="0" w:color="FFFFFF"/>
              <w:right w:val="single" w:sz="4" w:space="0" w:color="000000"/>
            </w:tcBorders>
            <w:shd w:val="clear" w:color="auto" w:fill="D9D9D9"/>
          </w:tcPr>
          <w:p>
            <w:pPr>
              <w:pStyle w:val="TableParagraph"/>
              <w:spacing w:line="240" w:lineRule="auto" w:before="62"/>
              <w:ind w:left="4"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559"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2"/>
              <w:ind w:right="5"/>
              <w:jc w:val="right"/>
              <w:rPr>
                <w:rFonts w:ascii="Times New Roman" w:hAnsi="Times New Roman" w:cs="Times New Roman" w:eastAsia="Times New Roman" w:hint="default"/>
                <w:sz w:val="18"/>
                <w:szCs w:val="18"/>
              </w:rPr>
            </w:pPr>
            <w:r>
              <w:rPr>
                <w:rFonts w:ascii="Times New Roman"/>
                <w:spacing w:val="-1"/>
                <w:sz w:val="18"/>
              </w:rPr>
              <w:t>36,626,000.00</w:t>
            </w:r>
          </w:p>
        </w:tc>
        <w:tc>
          <w:tcPr>
            <w:tcW w:w="1547"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2"/>
              <w:ind w:right="4"/>
              <w:jc w:val="right"/>
              <w:rPr>
                <w:rFonts w:ascii="Times New Roman" w:hAnsi="Times New Roman" w:cs="Times New Roman" w:eastAsia="Times New Roman" w:hint="default"/>
                <w:sz w:val="18"/>
                <w:szCs w:val="18"/>
              </w:rPr>
            </w:pPr>
            <w:r>
              <w:rPr>
                <w:rFonts w:ascii="Times New Roman"/>
                <w:spacing w:val="-1"/>
                <w:sz w:val="18"/>
              </w:rPr>
              <w:t>26,124,000.00</w:t>
            </w:r>
          </w:p>
        </w:tc>
        <w:tc>
          <w:tcPr>
            <w:tcW w:w="1045"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40.20%</w:t>
            </w:r>
          </w:p>
        </w:tc>
        <w:tc>
          <w:tcPr>
            <w:tcW w:w="2687" w:type="dxa"/>
            <w:tcBorders>
              <w:top w:val="single" w:sz="4" w:space="0" w:color="000000"/>
              <w:left w:val="single" w:sz="4" w:space="0" w:color="000000"/>
              <w:bottom w:val="single" w:sz="4" w:space="0" w:color="FFFFFF"/>
              <w:right w:val="single" w:sz="4" w:space="0" w:color="000000"/>
            </w:tcBorders>
          </w:tcPr>
          <w:p>
            <w:pPr>
              <w:pStyle w:val="TableParagraph"/>
              <w:spacing w:line="316" w:lineRule="auto" w:before="62"/>
              <w:ind w:left="4" w:right="150"/>
              <w:jc w:val="left"/>
              <w:rPr>
                <w:rFonts w:ascii="宋体" w:hAnsi="宋体" w:cs="宋体" w:eastAsia="宋体" w:hint="default"/>
                <w:sz w:val="18"/>
                <w:szCs w:val="18"/>
              </w:rPr>
            </w:pPr>
            <w:r>
              <w:rPr>
                <w:rFonts w:ascii="宋体" w:hAnsi="宋体" w:cs="宋体" w:eastAsia="宋体" w:hint="default"/>
                <w:sz w:val="18"/>
                <w:szCs w:val="18"/>
              </w:rPr>
              <w:t>本报告期支付联营企业投资款增 加所致</w:t>
            </w:r>
          </w:p>
        </w:tc>
      </w:tr>
      <w:tr>
        <w:trPr>
          <w:trHeight w:val="734" w:hRule="exact"/>
        </w:trPr>
        <w:tc>
          <w:tcPr>
            <w:tcW w:w="2694" w:type="dxa"/>
            <w:tcBorders>
              <w:top w:val="single" w:sz="4" w:space="0" w:color="FFFFFF"/>
              <w:left w:val="single" w:sz="4" w:space="0" w:color="000000"/>
              <w:bottom w:val="single" w:sz="4" w:space="0" w:color="000000"/>
              <w:right w:val="single" w:sz="4" w:space="0" w:color="000000"/>
            </w:tcBorders>
            <w:shd w:val="clear" w:color="auto" w:fill="D9D9D9"/>
          </w:tcPr>
          <w:p>
            <w:pPr>
              <w:pStyle w:val="TableParagraph"/>
              <w:spacing w:line="316" w:lineRule="auto" w:before="62"/>
              <w:ind w:left="4" w:right="159"/>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1559"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02"/>
              <w:ind w:right="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1547"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02"/>
              <w:ind w:right="4"/>
              <w:jc w:val="right"/>
              <w:rPr>
                <w:rFonts w:ascii="Times New Roman" w:hAnsi="Times New Roman" w:cs="Times New Roman" w:eastAsia="Times New Roman" w:hint="default"/>
                <w:sz w:val="18"/>
                <w:szCs w:val="18"/>
              </w:rPr>
            </w:pPr>
            <w:r>
              <w:rPr>
                <w:rFonts w:ascii="Times New Roman"/>
                <w:spacing w:val="-1"/>
                <w:sz w:val="18"/>
              </w:rPr>
              <w:t>34,080,017.17</w:t>
            </w:r>
          </w:p>
        </w:tc>
        <w:tc>
          <w:tcPr>
            <w:tcW w:w="1045"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w w:val="95"/>
                <w:sz w:val="18"/>
              </w:rPr>
              <w:t>-100.00%</w:t>
            </w:r>
            <w:r>
              <w:rPr>
                <w:rFonts w:ascii="Times New Roman"/>
                <w:sz w:val="18"/>
              </w:rPr>
            </w:r>
          </w:p>
        </w:tc>
        <w:tc>
          <w:tcPr>
            <w:tcW w:w="2687" w:type="dxa"/>
            <w:tcBorders>
              <w:top w:val="single" w:sz="4" w:space="0" w:color="FFFFFF"/>
              <w:left w:val="single" w:sz="4" w:space="0" w:color="000000"/>
              <w:bottom w:val="single" w:sz="4" w:space="0" w:color="000000"/>
              <w:right w:val="single" w:sz="4" w:space="0" w:color="000000"/>
            </w:tcBorders>
          </w:tcPr>
          <w:p>
            <w:pPr>
              <w:pStyle w:val="TableParagraph"/>
              <w:spacing w:line="316" w:lineRule="auto" w:before="62"/>
              <w:ind w:left="4" w:right="150"/>
              <w:jc w:val="left"/>
              <w:rPr>
                <w:rFonts w:ascii="宋体" w:hAnsi="宋体" w:cs="宋体" w:eastAsia="宋体" w:hint="default"/>
                <w:sz w:val="18"/>
                <w:szCs w:val="18"/>
              </w:rPr>
            </w:pPr>
            <w:r>
              <w:rPr>
                <w:rFonts w:ascii="宋体" w:hAnsi="宋体" w:cs="宋体" w:eastAsia="宋体" w:hint="default"/>
                <w:sz w:val="18"/>
                <w:szCs w:val="18"/>
              </w:rPr>
              <w:t>上个报告期收购子公司支付首期 投资款所致</w:t>
            </w:r>
          </w:p>
        </w:tc>
      </w:tr>
      <w:tr>
        <w:trPr>
          <w:trHeight w:val="421"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5"/>
              <w:jc w:val="right"/>
              <w:rPr>
                <w:rFonts w:ascii="Times New Roman" w:hAnsi="Times New Roman" w:cs="Times New Roman" w:eastAsia="Times New Roman" w:hint="default"/>
                <w:sz w:val="18"/>
                <w:szCs w:val="18"/>
              </w:rPr>
            </w:pPr>
            <w:r>
              <w:rPr>
                <w:rFonts w:ascii="Times New Roman"/>
                <w:spacing w:val="-1"/>
                <w:sz w:val="18"/>
              </w:rPr>
              <w:t>447,500,000.00</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4"/>
              <w:jc w:val="right"/>
              <w:rPr>
                <w:rFonts w:ascii="Times New Roman" w:hAnsi="Times New Roman" w:cs="Times New Roman" w:eastAsia="Times New Roman" w:hint="default"/>
                <w:sz w:val="18"/>
                <w:szCs w:val="18"/>
              </w:rPr>
            </w:pPr>
            <w:r>
              <w:rPr>
                <w:rFonts w:ascii="Times New Roman"/>
                <w:spacing w:val="-1"/>
                <w:sz w:val="18"/>
              </w:rPr>
              <w:t>331,000,000.00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35.20%</w:t>
            </w:r>
          </w:p>
        </w:tc>
        <w:tc>
          <w:tcPr>
            <w:tcW w:w="2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本报告期购买理财产品所致</w:t>
            </w:r>
          </w:p>
        </w:tc>
      </w:tr>
      <w:tr>
        <w:trPr>
          <w:trHeight w:val="422"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2"/>
              <w:ind w:left="4"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5"/>
              <w:jc w:val="right"/>
              <w:rPr>
                <w:rFonts w:ascii="Times New Roman" w:hAnsi="Times New Roman" w:cs="Times New Roman" w:eastAsia="Times New Roman" w:hint="default"/>
                <w:sz w:val="18"/>
                <w:szCs w:val="18"/>
              </w:rPr>
            </w:pPr>
            <w:r>
              <w:rPr>
                <w:rFonts w:ascii="Times New Roman"/>
                <w:spacing w:val="-1"/>
                <w:sz w:val="18"/>
              </w:rPr>
              <w:t>174,503,286.00</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
              <w:jc w:val="right"/>
              <w:rPr>
                <w:rFonts w:ascii="Times New Roman" w:hAnsi="Times New Roman" w:cs="Times New Roman" w:eastAsia="Times New Roman" w:hint="default"/>
                <w:sz w:val="18"/>
                <w:szCs w:val="18"/>
              </w:rPr>
            </w:pPr>
            <w:r>
              <w:rPr>
                <w:rFonts w:ascii="Times New Roman"/>
                <w:spacing w:val="-1"/>
                <w:sz w:val="18"/>
              </w:rPr>
              <w:t>56,334,120.00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209.76%</w:t>
            </w:r>
          </w:p>
        </w:tc>
        <w:tc>
          <w:tcPr>
            <w:tcW w:w="2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4" w:right="0"/>
              <w:jc w:val="left"/>
              <w:rPr>
                <w:rFonts w:ascii="宋体" w:hAnsi="宋体" w:cs="宋体" w:eastAsia="宋体" w:hint="default"/>
                <w:sz w:val="18"/>
                <w:szCs w:val="18"/>
              </w:rPr>
            </w:pPr>
            <w:r>
              <w:rPr>
                <w:rFonts w:ascii="宋体" w:hAnsi="宋体" w:cs="宋体" w:eastAsia="宋体" w:hint="default"/>
                <w:sz w:val="18"/>
                <w:szCs w:val="18"/>
              </w:rPr>
              <w:t>本报告期取得银行借款增加所致</w:t>
            </w:r>
          </w:p>
        </w:tc>
      </w:tr>
      <w:tr>
        <w:trPr>
          <w:trHeight w:val="734"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2"/>
              <w:ind w:left="4"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5"/>
              <w:jc w:val="right"/>
              <w:rPr>
                <w:rFonts w:ascii="Times New Roman" w:hAnsi="Times New Roman" w:cs="Times New Roman" w:eastAsia="Times New Roman" w:hint="default"/>
                <w:sz w:val="18"/>
                <w:szCs w:val="18"/>
              </w:rPr>
            </w:pPr>
            <w:r>
              <w:rPr>
                <w:rFonts w:ascii="Times New Roman"/>
                <w:spacing w:val="-1"/>
                <w:sz w:val="18"/>
              </w:rPr>
              <w:t>3,260,191.70</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
              <w:jc w:val="right"/>
              <w:rPr>
                <w:rFonts w:ascii="Times New Roman" w:hAnsi="Times New Roman" w:cs="Times New Roman" w:eastAsia="Times New Roman" w:hint="default"/>
                <w:sz w:val="18"/>
                <w:szCs w:val="18"/>
              </w:rPr>
            </w:pPr>
            <w:r>
              <w:rPr>
                <w:rFonts w:ascii="Times New Roman"/>
                <w:spacing w:val="-1"/>
                <w:sz w:val="18"/>
              </w:rPr>
              <w:t>711,283.50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358.35%</w:t>
            </w:r>
          </w:p>
        </w:tc>
        <w:tc>
          <w:tcPr>
            <w:tcW w:w="26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62"/>
              <w:ind w:left="4" w:right="150"/>
              <w:jc w:val="left"/>
              <w:rPr>
                <w:rFonts w:ascii="宋体" w:hAnsi="宋体" w:cs="宋体" w:eastAsia="宋体" w:hint="default"/>
                <w:sz w:val="18"/>
                <w:szCs w:val="18"/>
              </w:rPr>
            </w:pPr>
            <w:r>
              <w:rPr>
                <w:rFonts w:ascii="宋体" w:hAnsi="宋体" w:cs="宋体" w:eastAsia="宋体" w:hint="default"/>
                <w:sz w:val="18"/>
                <w:szCs w:val="18"/>
              </w:rPr>
              <w:t>本报告期收回银行承兑票据保证 金所致</w:t>
            </w:r>
          </w:p>
        </w:tc>
      </w:tr>
      <w:tr>
        <w:trPr>
          <w:trHeight w:val="422"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5"/>
              <w:jc w:val="right"/>
              <w:rPr>
                <w:rFonts w:ascii="Times New Roman" w:hAnsi="Times New Roman" w:cs="Times New Roman" w:eastAsia="Times New Roman" w:hint="default"/>
                <w:sz w:val="18"/>
                <w:szCs w:val="18"/>
              </w:rPr>
            </w:pPr>
            <w:r>
              <w:rPr>
                <w:rFonts w:ascii="Times New Roman"/>
                <w:spacing w:val="-1"/>
                <w:sz w:val="18"/>
              </w:rPr>
              <w:t>24,503,286.00</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4"/>
              <w:jc w:val="right"/>
              <w:rPr>
                <w:rFonts w:ascii="Times New Roman" w:hAnsi="Times New Roman" w:cs="Times New Roman" w:eastAsia="Times New Roman" w:hint="default"/>
                <w:sz w:val="18"/>
                <w:szCs w:val="18"/>
              </w:rPr>
            </w:pPr>
            <w:r>
              <w:rPr>
                <w:rFonts w:ascii="Times New Roman"/>
                <w:spacing w:val="-1"/>
                <w:sz w:val="18"/>
              </w:rPr>
              <w:t>12,500,000.00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z w:val="18"/>
              </w:rPr>
              <w:t>96.03%</w:t>
            </w:r>
          </w:p>
        </w:tc>
        <w:tc>
          <w:tcPr>
            <w:tcW w:w="2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本报告期偿还银行到期借款所致</w:t>
            </w:r>
          </w:p>
        </w:tc>
      </w:tr>
      <w:tr>
        <w:trPr>
          <w:trHeight w:val="734"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62"/>
              <w:ind w:left="4" w:right="4"/>
              <w:jc w:val="left"/>
              <w:rPr>
                <w:rFonts w:ascii="宋体" w:hAnsi="宋体" w:cs="宋体" w:eastAsia="宋体" w:hint="default"/>
                <w:sz w:val="18"/>
                <w:szCs w:val="18"/>
              </w:rPr>
            </w:pPr>
            <w:r>
              <w:rPr>
                <w:rFonts w:ascii="宋体" w:hAnsi="宋体" w:cs="宋体" w:eastAsia="宋体" w:hint="default"/>
                <w:spacing w:val="-2"/>
                <w:sz w:val="18"/>
                <w:szCs w:val="18"/>
              </w:rPr>
              <w:t>分配股利、利润或偿付利息支付的</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现金</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5"/>
              <w:jc w:val="right"/>
              <w:rPr>
                <w:rFonts w:ascii="Times New Roman" w:hAnsi="Times New Roman" w:cs="Times New Roman" w:eastAsia="Times New Roman" w:hint="default"/>
                <w:sz w:val="18"/>
                <w:szCs w:val="18"/>
              </w:rPr>
            </w:pPr>
            <w:r>
              <w:rPr>
                <w:rFonts w:ascii="Times New Roman"/>
                <w:spacing w:val="-1"/>
                <w:sz w:val="18"/>
              </w:rPr>
              <w:t>16,842,429.94</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
              <w:jc w:val="right"/>
              <w:rPr>
                <w:rFonts w:ascii="Times New Roman" w:hAnsi="Times New Roman" w:cs="Times New Roman" w:eastAsia="Times New Roman" w:hint="default"/>
                <w:sz w:val="18"/>
                <w:szCs w:val="18"/>
              </w:rPr>
            </w:pPr>
            <w:r>
              <w:rPr>
                <w:rFonts w:ascii="Times New Roman"/>
                <w:spacing w:val="-1"/>
                <w:sz w:val="18"/>
              </w:rPr>
              <w:t>12,662,229.16</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33.01%</w:t>
            </w:r>
          </w:p>
        </w:tc>
        <w:tc>
          <w:tcPr>
            <w:tcW w:w="26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62"/>
              <w:ind w:left="4" w:right="150"/>
              <w:jc w:val="left"/>
              <w:rPr>
                <w:rFonts w:ascii="宋体" w:hAnsi="宋体" w:cs="宋体" w:eastAsia="宋体" w:hint="default"/>
                <w:sz w:val="18"/>
                <w:szCs w:val="18"/>
              </w:rPr>
            </w:pPr>
            <w:r>
              <w:rPr>
                <w:rFonts w:ascii="宋体" w:hAnsi="宋体" w:cs="宋体" w:eastAsia="宋体" w:hint="default"/>
                <w:sz w:val="18"/>
                <w:szCs w:val="18"/>
              </w:rPr>
              <w:t>本报告期支付银行借款利息增加 所致</w:t>
            </w:r>
          </w:p>
        </w:tc>
      </w:tr>
      <w:tr>
        <w:trPr>
          <w:trHeight w:val="734" w:hRule="exact"/>
        </w:trPr>
        <w:tc>
          <w:tcPr>
            <w:tcW w:w="2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2"/>
              <w:ind w:left="4"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5"/>
              <w:jc w:val="right"/>
              <w:rPr>
                <w:rFonts w:ascii="Times New Roman" w:hAnsi="Times New Roman" w:cs="Times New Roman" w:eastAsia="Times New Roman" w:hint="default"/>
                <w:sz w:val="18"/>
                <w:szCs w:val="18"/>
              </w:rPr>
            </w:pPr>
            <w:r>
              <w:rPr>
                <w:rFonts w:ascii="Times New Roman"/>
                <w:spacing w:val="-1"/>
                <w:sz w:val="18"/>
              </w:rPr>
              <w:t>2,341,431.59</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4"/>
              <w:jc w:val="right"/>
              <w:rPr>
                <w:rFonts w:ascii="Times New Roman" w:hAnsi="Times New Roman" w:cs="Times New Roman" w:eastAsia="Times New Roman" w:hint="default"/>
                <w:sz w:val="18"/>
                <w:szCs w:val="18"/>
              </w:rPr>
            </w:pPr>
            <w:r>
              <w:rPr>
                <w:rFonts w:ascii="Times New Roman"/>
                <w:spacing w:val="-1"/>
                <w:sz w:val="18"/>
              </w:rPr>
              <w:t>18,834,066.67</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-87.57%</w:t>
            </w:r>
          </w:p>
        </w:tc>
        <w:tc>
          <w:tcPr>
            <w:tcW w:w="26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62"/>
              <w:ind w:left="4" w:right="150"/>
              <w:jc w:val="left"/>
              <w:rPr>
                <w:rFonts w:ascii="宋体" w:hAnsi="宋体" w:cs="宋体" w:eastAsia="宋体" w:hint="default"/>
                <w:sz w:val="18"/>
                <w:szCs w:val="18"/>
              </w:rPr>
            </w:pPr>
            <w:r>
              <w:rPr>
                <w:rFonts w:ascii="宋体" w:hAnsi="宋体" w:cs="宋体" w:eastAsia="宋体" w:hint="default"/>
                <w:sz w:val="18"/>
                <w:szCs w:val="18"/>
              </w:rPr>
              <w:t>本报告期支付的筹资性质的保函 保证金减少所致</w:t>
            </w:r>
          </w:p>
        </w:tc>
      </w:tr>
    </w:tbl>
    <w:p>
      <w:pPr>
        <w:spacing w:line="240" w:lineRule="auto" w:before="6"/>
        <w:rPr>
          <w:rFonts w:ascii="宋体" w:hAnsi="宋体" w:cs="宋体" w:eastAsia="宋体" w:hint="default"/>
          <w:sz w:val="27"/>
          <w:szCs w:val="27"/>
        </w:rPr>
      </w:pPr>
    </w:p>
    <w:p>
      <w:pPr>
        <w:pStyle w:val="BodyText"/>
        <w:spacing w:line="240" w:lineRule="auto" w:before="44"/>
        <w:ind w:right="1134"/>
        <w:jc w:val="left"/>
      </w:pPr>
      <w:r>
        <w:rPr/>
        <w:t>报告期内公司经营活动产生的现金净流量与本年度净利润存在重大差异的原因说明</w:t>
      </w:r>
    </w:p>
    <w:p>
      <w:pPr>
        <w:pStyle w:val="BodyText"/>
        <w:spacing w:line="240" w:lineRule="auto" w:before="116"/>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319" w:lineRule="auto" w:before="101"/>
        <w:ind w:right="1123"/>
        <w:jc w:val="left"/>
      </w:pPr>
      <w:r>
        <w:rPr/>
        <w:t>本报告期公司业务增长迅猛，为配合市场经营策略，给予优质客户一定账期，同时，因</w:t>
      </w:r>
      <w:r>
        <w:rPr>
          <w:spacing w:val="-45"/>
        </w:rPr>
        <w:t> </w:t>
      </w:r>
      <w:r>
        <w:rPr>
          <w:rFonts w:ascii="宋体" w:hAnsi="宋体" w:cs="宋体" w:eastAsia="宋体" w:hint="default"/>
        </w:rPr>
        <w:t>2019</w:t>
      </w:r>
      <w:r>
        <w:rPr>
          <w:rFonts w:ascii="宋体" w:hAnsi="宋体" w:cs="宋体" w:eastAsia="宋体" w:hint="default"/>
          <w:spacing w:val="-46"/>
        </w:rPr>
        <w:t> </w:t>
      </w:r>
      <w:r>
        <w:rPr/>
        <w:t>年一季度销售订单持续上升， 为确保订单交付增加了备货，导致本报告期经营活动产生的现金净流量为负。</w:t>
      </w:r>
    </w:p>
    <w:p>
      <w:pPr>
        <w:spacing w:line="240" w:lineRule="auto" w:before="7"/>
        <w:rPr>
          <w:rFonts w:ascii="宋体" w:hAnsi="宋体" w:cs="宋体" w:eastAsia="宋体" w:hint="default"/>
          <w:sz w:val="20"/>
          <w:szCs w:val="20"/>
        </w:rPr>
      </w:pPr>
    </w:p>
    <w:p>
      <w:pPr>
        <w:pStyle w:val="Heading2"/>
        <w:spacing w:line="240" w:lineRule="auto"/>
        <w:ind w:right="1134"/>
        <w:jc w:val="left"/>
        <w:rPr>
          <w:b w:val="0"/>
          <w:bCs w:val="0"/>
        </w:rPr>
      </w:pPr>
      <w:bookmarkStart w:name="三、非主营业务情况" w:id="39"/>
      <w:bookmarkEnd w:id="39"/>
      <w:r>
        <w:rPr>
          <w:b w:val="0"/>
          <w:bCs w:val="0"/>
        </w:rPr>
      </w:r>
      <w:r>
        <w:rPr/>
        <w:t>三、非主营业务情况</w:t>
      </w:r>
      <w:r>
        <w:rPr>
          <w:b w:val="0"/>
          <w:bCs w:val="0"/>
        </w:rPr>
      </w:r>
    </w:p>
    <w:p>
      <w:pPr>
        <w:spacing w:line="240" w:lineRule="auto" w:before="2"/>
        <w:rPr>
          <w:rFonts w:ascii="宋体" w:hAnsi="宋体" w:cs="宋体" w:eastAsia="宋体" w:hint="default"/>
          <w:b/>
          <w:bCs/>
          <w:sz w:val="23"/>
          <w:szCs w:val="23"/>
        </w:rPr>
      </w:pPr>
    </w:p>
    <w:p>
      <w:pPr>
        <w:pStyle w:val="BodyText"/>
        <w:spacing w:line="240" w:lineRule="auto" w:before="44"/>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3"/>
        <w:ind w:left="5856"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512"/>
        <w:gridCol w:w="1916"/>
        <w:gridCol w:w="1623"/>
        <w:gridCol w:w="2877"/>
        <w:gridCol w:w="1630"/>
      </w:tblGrid>
      <w:tr>
        <w:trPr>
          <w:trHeight w:val="402" w:hRule="exact"/>
        </w:trPr>
        <w:tc>
          <w:tcPr>
            <w:tcW w:w="15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76" w:right="0"/>
              <w:jc w:val="left"/>
              <w:rPr>
                <w:rFonts w:ascii="宋体" w:hAnsi="宋体" w:cs="宋体" w:eastAsia="宋体" w:hint="default"/>
                <w:sz w:val="18"/>
                <w:szCs w:val="18"/>
              </w:rPr>
            </w:pPr>
            <w:r>
              <w:rPr>
                <w:rFonts w:ascii="宋体" w:hAnsi="宋体" w:cs="宋体" w:eastAsia="宋体" w:hint="default"/>
                <w:sz w:val="18"/>
                <w:szCs w:val="18"/>
              </w:rPr>
              <w:t>占利润总额比例</w:t>
            </w:r>
          </w:p>
        </w:tc>
        <w:tc>
          <w:tcPr>
            <w:tcW w:w="28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93" w:right="0"/>
              <w:jc w:val="left"/>
              <w:rPr>
                <w:rFonts w:ascii="宋体" w:hAnsi="宋体" w:cs="宋体" w:eastAsia="宋体" w:hint="default"/>
                <w:sz w:val="18"/>
                <w:szCs w:val="18"/>
              </w:rPr>
            </w:pPr>
            <w:r>
              <w:rPr>
                <w:rFonts w:ascii="宋体" w:hAnsi="宋体" w:cs="宋体" w:eastAsia="宋体" w:hint="default"/>
                <w:sz w:val="18"/>
                <w:szCs w:val="18"/>
              </w:rPr>
              <w:t>形成原因说明</w:t>
            </w:r>
          </w:p>
        </w:tc>
        <w:tc>
          <w:tcPr>
            <w:tcW w:w="16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9" w:right="0"/>
              <w:jc w:val="left"/>
              <w:rPr>
                <w:rFonts w:ascii="宋体" w:hAnsi="宋体" w:cs="宋体" w:eastAsia="宋体" w:hint="default"/>
                <w:sz w:val="18"/>
                <w:szCs w:val="18"/>
              </w:rPr>
            </w:pPr>
            <w:r>
              <w:rPr>
                <w:rFonts w:ascii="宋体" w:hAnsi="宋体" w:cs="宋体" w:eastAsia="宋体" w:hint="default"/>
                <w:sz w:val="18"/>
                <w:szCs w:val="18"/>
              </w:rPr>
              <w:t>是否具有可持续性</w:t>
            </w:r>
          </w:p>
        </w:tc>
      </w:tr>
      <w:tr>
        <w:trPr>
          <w:trHeight w:val="161" w:hRule="exact"/>
        </w:trPr>
        <w:tc>
          <w:tcPr>
            <w:tcW w:w="1512" w:type="dxa"/>
            <w:tcBorders>
              <w:top w:val="single" w:sz="4" w:space="0" w:color="000000"/>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31" w:right="0"/>
              <w:jc w:val="left"/>
              <w:rPr>
                <w:rFonts w:ascii="Times New Roman" w:hAnsi="Times New Roman" w:cs="Times New Roman" w:eastAsia="Times New Roman" w:hint="default"/>
                <w:sz w:val="18"/>
                <w:szCs w:val="18"/>
              </w:rPr>
            </w:pPr>
            <w:r>
              <w:rPr>
                <w:rFonts w:ascii="Times New Roman"/>
                <w:sz w:val="18"/>
              </w:rPr>
              <w:t>7,886,928.03</w:t>
            </w:r>
          </w:p>
        </w:tc>
        <w:tc>
          <w:tcPr>
            <w:tcW w:w="1623"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5.22%</w:t>
            </w:r>
          </w:p>
        </w:tc>
        <w:tc>
          <w:tcPr>
            <w:tcW w:w="2877" w:type="dxa"/>
            <w:vMerge w:val="restart"/>
            <w:tcBorders>
              <w:top w:val="single" w:sz="4" w:space="0" w:color="000000"/>
              <w:left w:val="single" w:sz="4" w:space="0" w:color="000000"/>
              <w:right w:val="single" w:sz="4" w:space="0" w:color="000000"/>
            </w:tcBorders>
          </w:tcPr>
          <w:p>
            <w:pPr>
              <w:pStyle w:val="TableParagraph"/>
              <w:spacing w:line="319" w:lineRule="auto" w:before="51"/>
              <w:ind w:left="23" w:right="141"/>
              <w:jc w:val="left"/>
              <w:rPr>
                <w:rFonts w:ascii="宋体" w:hAnsi="宋体" w:cs="宋体" w:eastAsia="宋体" w:hint="default"/>
                <w:sz w:val="18"/>
                <w:szCs w:val="18"/>
              </w:rPr>
            </w:pPr>
            <w:r>
              <w:rPr>
                <w:rFonts w:ascii="宋体" w:hAnsi="宋体" w:cs="宋体" w:eastAsia="宋体" w:hint="default"/>
                <w:sz w:val="18"/>
                <w:szCs w:val="18"/>
              </w:rPr>
              <w:t>银行理财产品收益以及权益法核算 长期股权投资收益所致</w:t>
            </w:r>
          </w:p>
        </w:tc>
        <w:tc>
          <w:tcPr>
            <w:tcW w:w="1630"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393" w:hRule="exact"/>
        </w:trPr>
        <w:tc>
          <w:tcPr>
            <w:tcW w:w="151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916" w:type="dxa"/>
            <w:vMerge/>
            <w:tcBorders>
              <w:left w:val="single" w:sz="9" w:space="0" w:color="D2D2D2"/>
              <w:right w:val="single" w:sz="4" w:space="0" w:color="000000"/>
            </w:tcBorders>
          </w:tcPr>
          <w:p>
            <w:pPr/>
          </w:p>
        </w:tc>
        <w:tc>
          <w:tcPr>
            <w:tcW w:w="1623" w:type="dxa"/>
            <w:vMerge/>
            <w:tcBorders>
              <w:left w:val="single" w:sz="4" w:space="0" w:color="000000"/>
              <w:right w:val="single" w:sz="4" w:space="0" w:color="000000"/>
            </w:tcBorders>
          </w:tcPr>
          <w:p>
            <w:pPr/>
          </w:p>
        </w:tc>
        <w:tc>
          <w:tcPr>
            <w:tcW w:w="2877" w:type="dxa"/>
            <w:vMerge/>
            <w:tcBorders>
              <w:left w:val="single" w:sz="4" w:space="0" w:color="000000"/>
              <w:right w:val="single" w:sz="4" w:space="0" w:color="000000"/>
            </w:tcBorders>
          </w:tcPr>
          <w:p>
            <w:pPr/>
          </w:p>
        </w:tc>
        <w:tc>
          <w:tcPr>
            <w:tcW w:w="1630" w:type="dxa"/>
            <w:vMerge/>
            <w:tcBorders>
              <w:left w:val="single" w:sz="4" w:space="0" w:color="000000"/>
              <w:right w:val="single" w:sz="4" w:space="0" w:color="000000"/>
            </w:tcBorders>
          </w:tcPr>
          <w:p>
            <w:pPr/>
          </w:p>
        </w:tc>
      </w:tr>
      <w:tr>
        <w:trPr>
          <w:trHeight w:val="161" w:hRule="exact"/>
        </w:trPr>
        <w:tc>
          <w:tcPr>
            <w:tcW w:w="1512"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9" w:space="0" w:color="D2D2D2"/>
              <w:bottom w:val="single" w:sz="4" w:space="0" w:color="000000"/>
              <w:right w:val="single" w:sz="4" w:space="0" w:color="000000"/>
            </w:tcBorders>
          </w:tcPr>
          <w:p>
            <w:pPr/>
          </w:p>
        </w:tc>
        <w:tc>
          <w:tcPr>
            <w:tcW w:w="1623" w:type="dxa"/>
            <w:vMerge/>
            <w:tcBorders>
              <w:left w:val="single" w:sz="4" w:space="0" w:color="000000"/>
              <w:bottom w:val="single" w:sz="4" w:space="0" w:color="000000"/>
              <w:right w:val="single" w:sz="4" w:space="0" w:color="000000"/>
            </w:tcBorders>
          </w:tcPr>
          <w:p>
            <w:pPr/>
          </w:p>
        </w:tc>
        <w:tc>
          <w:tcPr>
            <w:tcW w:w="2877" w:type="dxa"/>
            <w:vMerge/>
            <w:tcBorders>
              <w:left w:val="single" w:sz="4" w:space="0" w:color="000000"/>
              <w:bottom w:val="single" w:sz="4" w:space="0" w:color="000000"/>
              <w:right w:val="single" w:sz="4" w:space="0" w:color="000000"/>
            </w:tcBorders>
          </w:tcPr>
          <w:p>
            <w:pPr/>
          </w:p>
        </w:tc>
        <w:tc>
          <w:tcPr>
            <w:tcW w:w="1630" w:type="dxa"/>
            <w:vMerge/>
            <w:tcBorders>
              <w:left w:val="single" w:sz="4" w:space="0" w:color="000000"/>
              <w:bottom w:val="single" w:sz="4" w:space="0" w:color="000000"/>
              <w:right w:val="single" w:sz="4" w:space="0" w:color="000000"/>
            </w:tcBorders>
          </w:tcPr>
          <w:p>
            <w:pPr/>
          </w:p>
        </w:tc>
      </w:tr>
      <w:tr>
        <w:trPr>
          <w:trHeight w:val="402" w:hRule="exact"/>
        </w:trPr>
        <w:tc>
          <w:tcPr>
            <w:tcW w:w="15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公允价值变动损益</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3,293,217.16</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2.18%</w:t>
            </w:r>
          </w:p>
        </w:tc>
        <w:tc>
          <w:tcPr>
            <w:tcW w:w="2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持有金融产品公允价值变动所致</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5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资产减值</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32,293,865.79</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21.38%</w:t>
            </w:r>
          </w:p>
        </w:tc>
        <w:tc>
          <w:tcPr>
            <w:tcW w:w="2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计提坏账准备及存货跌价准备所致</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523"/>
        <w:gridCol w:w="1916"/>
        <w:gridCol w:w="1623"/>
        <w:gridCol w:w="2877"/>
        <w:gridCol w:w="1630"/>
      </w:tblGrid>
      <w:tr>
        <w:trPr>
          <w:trHeight w:val="402" w:hRule="exact"/>
        </w:trPr>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606,548.68</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0.40%</w:t>
            </w:r>
          </w:p>
        </w:tc>
        <w:tc>
          <w:tcPr>
            <w:tcW w:w="2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收到赔偿款所致</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5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1,956,078.05</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1.29%</w:t>
            </w:r>
          </w:p>
        </w:tc>
        <w:tc>
          <w:tcPr>
            <w:tcW w:w="2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对外捐赠所致</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28,258,686.38</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18.71%</w:t>
            </w:r>
          </w:p>
        </w:tc>
        <w:tc>
          <w:tcPr>
            <w:tcW w:w="287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3" w:right="141"/>
              <w:jc w:val="left"/>
              <w:rPr>
                <w:rFonts w:ascii="宋体" w:hAnsi="宋体" w:cs="宋体" w:eastAsia="宋体" w:hint="default"/>
                <w:sz w:val="18"/>
                <w:szCs w:val="18"/>
              </w:rPr>
            </w:pPr>
            <w:r>
              <w:rPr>
                <w:rFonts w:ascii="宋体" w:hAnsi="宋体" w:cs="宋体" w:eastAsia="宋体" w:hint="default"/>
                <w:sz w:val="18"/>
                <w:szCs w:val="18"/>
              </w:rPr>
              <w:t>收到软件产品增值税退税及政府补 助所致</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资产处置收益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70,749.14</w:t>
            </w:r>
          </w:p>
        </w:tc>
        <w:tc>
          <w:tcPr>
            <w:tcW w:w="1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0.05%</w:t>
            </w:r>
          </w:p>
        </w:tc>
        <w:tc>
          <w:tcPr>
            <w:tcW w:w="2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处置固定资产所致</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2"/>
        <w:rPr>
          <w:rFonts w:ascii="宋体" w:hAnsi="宋体" w:cs="宋体" w:eastAsia="宋体" w:hint="default"/>
          <w:sz w:val="18"/>
          <w:szCs w:val="18"/>
        </w:rPr>
      </w:pPr>
    </w:p>
    <w:p>
      <w:pPr>
        <w:pStyle w:val="Heading2"/>
        <w:spacing w:line="240" w:lineRule="auto" w:before="26"/>
        <w:ind w:right="1134"/>
        <w:jc w:val="left"/>
        <w:rPr>
          <w:b w:val="0"/>
          <w:bCs w:val="0"/>
        </w:rPr>
      </w:pPr>
      <w:bookmarkStart w:name="四、资产及负债状况" w:id="40"/>
      <w:bookmarkEnd w:id="40"/>
      <w:r>
        <w:rPr>
          <w:b w:val="0"/>
          <w:bCs w:val="0"/>
        </w:rPr>
      </w:r>
      <w:r>
        <w:rPr/>
        <w:t>四、资产及负债状况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资产构成重大变动情况" w:id="41"/>
      <w:bookmarkEnd w:id="41"/>
      <w:r>
        <w:rPr>
          <w:b w:val="0"/>
          <w:bCs w:val="0"/>
        </w:rPr>
      </w:r>
      <w:r>
        <w:rPr>
          <w:rFonts w:ascii="Times New Roman" w:hAnsi="Times New Roman" w:cs="Times New Roman" w:eastAsia="Times New Roman" w:hint="default"/>
        </w:rPr>
        <w:t>1</w:t>
      </w:r>
      <w:r>
        <w:rPr/>
        <w:t>、资产构成重大变动情况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68"/>
        <w:gridCol w:w="1326"/>
        <w:gridCol w:w="901"/>
        <w:gridCol w:w="1367"/>
        <w:gridCol w:w="892"/>
        <w:gridCol w:w="950"/>
        <w:gridCol w:w="2765"/>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
        </w:tc>
        <w:tc>
          <w:tcPr>
            <w:tcW w:w="22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2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9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比重增减</w:t>
            </w:r>
          </w:p>
        </w:tc>
        <w:tc>
          <w:tcPr>
            <w:tcW w:w="27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836"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714"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65" w:right="84"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60" w:right="79"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950" w:type="dxa"/>
            <w:vMerge/>
            <w:tcBorders>
              <w:left w:val="single" w:sz="4" w:space="0" w:color="000000"/>
              <w:bottom w:val="single" w:sz="4" w:space="0" w:color="000000"/>
              <w:right w:val="single" w:sz="4" w:space="0" w:color="000000"/>
            </w:tcBorders>
            <w:shd w:val="clear" w:color="auto" w:fill="D2D2D2"/>
          </w:tcPr>
          <w:p>
            <w:pPr/>
          </w:p>
        </w:tc>
        <w:tc>
          <w:tcPr>
            <w:tcW w:w="2765"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384,387,337.42</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32.23%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324,095,634.17</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38.18%</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-5.95%</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0"/>
              <w:jc w:val="left"/>
              <w:rPr>
                <w:rFonts w:ascii="宋体" w:hAnsi="宋体" w:cs="宋体" w:eastAsia="宋体" w:hint="default"/>
                <w:sz w:val="18"/>
                <w:szCs w:val="18"/>
              </w:rPr>
            </w:pPr>
            <w:r>
              <w:rPr>
                <w:rFonts w:ascii="宋体" w:hAnsi="宋体" w:cs="宋体" w:eastAsia="宋体" w:hint="default"/>
                <w:sz w:val="18"/>
                <w:szCs w:val="18"/>
              </w:rPr>
              <w:t>比重减少原因主要系本报告期因销 售规模扩大导致资产总额增加</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275,781,157.45</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23.12%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165,708,872.92</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19.52%</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3.60%</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本报告期销售规模扩大所致</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260,275,770.92</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21.82%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133,121,920.57</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15.68%</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6.14%</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本报告期因订单增加导致存货增长</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326" w:type="dxa"/>
            <w:tcBorders>
              <w:top w:val="single" w:sz="4" w:space="0" w:color="000000"/>
              <w:left w:val="single" w:sz="4" w:space="0" w:color="000000"/>
              <w:bottom w:val="single" w:sz="4" w:space="0" w:color="000000"/>
              <w:right w:val="single" w:sz="4" w:space="0" w:color="000000"/>
            </w:tcBorders>
          </w:tcPr>
          <w:p>
            <w:pPr/>
          </w:p>
        </w:tc>
        <w:tc>
          <w:tcPr>
            <w:tcW w:w="901"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52,168,989.26</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47,021,365.44</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5.54%</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-1.17%</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0"/>
              <w:jc w:val="left"/>
              <w:rPr>
                <w:rFonts w:ascii="宋体" w:hAnsi="宋体" w:cs="宋体" w:eastAsia="宋体" w:hint="default"/>
                <w:sz w:val="18"/>
                <w:szCs w:val="18"/>
              </w:rPr>
            </w:pPr>
            <w:r>
              <w:rPr>
                <w:rFonts w:ascii="宋体" w:hAnsi="宋体" w:cs="宋体" w:eastAsia="宋体" w:hint="default"/>
                <w:sz w:val="18"/>
                <w:szCs w:val="18"/>
              </w:rPr>
              <w:t>按权益法核算长期股权投资收益所 致</w:t>
            </w:r>
          </w:p>
        </w:tc>
      </w:tr>
      <w:tr>
        <w:trPr>
          <w:trHeight w:val="1338"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37,261,854.92</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10,691,419.75</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1.26%</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1.86%</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0"/>
              <w:jc w:val="both"/>
              <w:rPr>
                <w:rFonts w:ascii="宋体" w:hAnsi="宋体" w:cs="宋体" w:eastAsia="宋体" w:hint="default"/>
                <w:sz w:val="18"/>
                <w:szCs w:val="18"/>
              </w:rPr>
            </w:pPr>
            <w:r>
              <w:rPr>
                <w:rFonts w:ascii="宋体" w:hAnsi="宋体" w:cs="宋体" w:eastAsia="宋体" w:hint="default"/>
                <w:sz w:val="18"/>
                <w:szCs w:val="18"/>
              </w:rPr>
              <w:t>系上个报告期向上海东苑美墅置业 有限公司购置房屋在本报告期达到 预定可使用状态而结转至固定资产 所致</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326" w:type="dxa"/>
            <w:tcBorders>
              <w:top w:val="single" w:sz="4" w:space="0" w:color="000000"/>
              <w:left w:val="single" w:sz="4" w:space="0" w:color="000000"/>
              <w:bottom w:val="single" w:sz="4" w:space="0" w:color="000000"/>
              <w:right w:val="single" w:sz="4" w:space="0" w:color="000000"/>
            </w:tcBorders>
          </w:tcPr>
          <w:p>
            <w:pPr/>
          </w:p>
        </w:tc>
        <w:tc>
          <w:tcPr>
            <w:tcW w:w="901"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206,100,347.70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17.28%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55,778,642.70</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6.57%</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10.71%</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本报告期取得短期借款所致</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326" w:type="dxa"/>
            <w:tcBorders>
              <w:top w:val="single" w:sz="4" w:space="0" w:color="000000"/>
              <w:left w:val="single" w:sz="4" w:space="0" w:color="000000"/>
              <w:bottom w:val="single" w:sz="4" w:space="0" w:color="000000"/>
              <w:right w:val="single" w:sz="4" w:space="0" w:color="000000"/>
            </w:tcBorders>
          </w:tcPr>
          <w:p>
            <w:pPr/>
          </w:p>
        </w:tc>
        <w:tc>
          <w:tcPr>
            <w:tcW w:w="901"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0.00%</w:t>
            </w:r>
          </w:p>
        </w:tc>
        <w:tc>
          <w:tcPr>
            <w:tcW w:w="276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40,987,297.99</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12,360,475.10</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1.46%</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1.98%</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本报告期销售规模扩大所致</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84,663,192.09</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7.10%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87,063,582.81</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10.26%</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-3.16%</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0"/>
              <w:jc w:val="left"/>
              <w:rPr>
                <w:rFonts w:ascii="宋体" w:hAnsi="宋体" w:cs="宋体" w:eastAsia="宋体" w:hint="default"/>
                <w:sz w:val="18"/>
                <w:szCs w:val="18"/>
              </w:rPr>
            </w:pPr>
            <w:r>
              <w:rPr>
                <w:rFonts w:ascii="宋体" w:hAnsi="宋体" w:cs="宋体" w:eastAsia="宋体" w:hint="default"/>
                <w:sz w:val="18"/>
                <w:szCs w:val="18"/>
              </w:rPr>
              <w:t>本报告期末计提收购瑞柏泰公司产 生的商誉的减值准备所致</w:t>
            </w:r>
          </w:p>
        </w:tc>
      </w:tr>
      <w:tr>
        <w:trPr>
          <w:trHeight w:val="1338"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817,416.01</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27,664,713.46</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3.26%</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-3.19%</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0"/>
              <w:jc w:val="both"/>
              <w:rPr>
                <w:rFonts w:ascii="宋体" w:hAnsi="宋体" w:cs="宋体" w:eastAsia="宋体" w:hint="default"/>
                <w:sz w:val="18"/>
                <w:szCs w:val="18"/>
              </w:rPr>
            </w:pPr>
            <w:r>
              <w:rPr>
                <w:rFonts w:ascii="宋体" w:hAnsi="宋体" w:cs="宋体" w:eastAsia="宋体" w:hint="default"/>
                <w:sz w:val="18"/>
                <w:szCs w:val="18"/>
              </w:rPr>
              <w:t>系上个报告期向上海东苑美墅置业 有限公司购置房屋在本报告期达到 预定可使用状态而结转至固定资产 所致</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35,341,384.20</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8,808,784.69</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1.04%</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1.92%</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0"/>
              <w:jc w:val="left"/>
              <w:rPr>
                <w:rFonts w:ascii="宋体" w:hAnsi="宋体" w:cs="宋体" w:eastAsia="宋体" w:hint="default"/>
                <w:sz w:val="18"/>
                <w:szCs w:val="18"/>
              </w:rPr>
            </w:pPr>
            <w:r>
              <w:rPr>
                <w:rFonts w:ascii="宋体" w:hAnsi="宋体" w:cs="宋体" w:eastAsia="宋体" w:hint="default"/>
                <w:sz w:val="18"/>
                <w:szCs w:val="18"/>
              </w:rPr>
              <w:t>因业务增长以票据方式支付的采购 款增加所致</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102,678,836.39</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8.61%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49,300,469.40</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5.81%</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2.80%</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因销售规模扩大导致相应的采购增</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8"/>
        <w:gridCol w:w="1326"/>
        <w:gridCol w:w="901"/>
        <w:gridCol w:w="1367"/>
        <w:gridCol w:w="892"/>
        <w:gridCol w:w="950"/>
        <w:gridCol w:w="2765"/>
      </w:tblGrid>
      <w:tr>
        <w:trPr>
          <w:trHeight w:val="362"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326" w:type="dxa"/>
            <w:tcBorders>
              <w:top w:val="single" w:sz="4" w:space="0" w:color="000000"/>
              <w:left w:val="single" w:sz="4" w:space="0" w:color="000000"/>
              <w:bottom w:val="single" w:sz="4" w:space="0" w:color="000000"/>
              <w:right w:val="single" w:sz="4" w:space="0" w:color="000000"/>
            </w:tcBorders>
          </w:tcPr>
          <w:p>
            <w:pPr/>
          </w:p>
        </w:tc>
        <w:tc>
          <w:tcPr>
            <w:tcW w:w="901"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892" w:type="dxa"/>
            <w:tcBorders>
              <w:top w:val="single" w:sz="4" w:space="0" w:color="000000"/>
              <w:left w:val="single" w:sz="4" w:space="0" w:color="000000"/>
              <w:bottom w:val="single" w:sz="4" w:space="0" w:color="000000"/>
              <w:right w:val="single" w:sz="4" w:space="0" w:color="000000"/>
            </w:tcBorders>
          </w:tcPr>
          <w:p>
            <w:pPr/>
          </w:p>
        </w:tc>
        <w:tc>
          <w:tcPr>
            <w:tcW w:w="950" w:type="dxa"/>
            <w:tcBorders>
              <w:top w:val="single" w:sz="4" w:space="0" w:color="000000"/>
              <w:left w:val="single" w:sz="4" w:space="0" w:color="000000"/>
              <w:bottom w:val="single" w:sz="4" w:space="0" w:color="000000"/>
              <w:right w:val="single" w:sz="4" w:space="0" w:color="000000"/>
            </w:tcBorders>
          </w:tcPr>
          <w:p>
            <w:pP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加所致</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3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2" w:right="0"/>
              <w:jc w:val="left"/>
              <w:rPr>
                <w:rFonts w:ascii="宋体" w:hAnsi="宋体" w:cs="宋体" w:eastAsia="宋体" w:hint="default"/>
                <w:sz w:val="18"/>
                <w:szCs w:val="18"/>
              </w:rPr>
            </w:pPr>
            <w:r>
              <w:rPr>
                <w:rFonts w:ascii="宋体"/>
                <w:sz w:val="18"/>
              </w:rPr>
              <w:t>50,870,462.62</w:t>
            </w:r>
          </w:p>
        </w:tc>
        <w:tc>
          <w:tcPr>
            <w:tcW w:w="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17" w:right="0"/>
              <w:jc w:val="left"/>
              <w:rPr>
                <w:rFonts w:ascii="宋体" w:hAnsi="宋体" w:cs="宋体" w:eastAsia="宋体" w:hint="default"/>
                <w:sz w:val="18"/>
                <w:szCs w:val="18"/>
              </w:rPr>
            </w:pPr>
            <w:r>
              <w:rPr>
                <w:rFonts w:ascii="宋体"/>
                <w:sz w:val="18"/>
              </w:rPr>
              <w:t>4.26%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64" w:right="0"/>
              <w:jc w:val="left"/>
              <w:rPr>
                <w:rFonts w:ascii="宋体" w:hAnsi="宋体" w:cs="宋体" w:eastAsia="宋体" w:hint="default"/>
                <w:sz w:val="18"/>
                <w:szCs w:val="18"/>
              </w:rPr>
            </w:pPr>
            <w:r>
              <w:rPr>
                <w:rFonts w:ascii="宋体"/>
                <w:sz w:val="18"/>
              </w:rPr>
              <w:t>72,919,640.47</w:t>
            </w:r>
          </w:p>
        </w:tc>
        <w:tc>
          <w:tcPr>
            <w:tcW w:w="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08" w:right="0"/>
              <w:jc w:val="left"/>
              <w:rPr>
                <w:rFonts w:ascii="宋体" w:hAnsi="宋体" w:cs="宋体" w:eastAsia="宋体" w:hint="default"/>
                <w:sz w:val="18"/>
                <w:szCs w:val="18"/>
              </w:rPr>
            </w:pPr>
            <w:r>
              <w:rPr>
                <w:rFonts w:ascii="宋体"/>
                <w:sz w:val="18"/>
              </w:rPr>
              <w:t>8.59%</w:t>
            </w:r>
          </w:p>
        </w:tc>
        <w:tc>
          <w:tcPr>
            <w:tcW w:w="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77" w:right="0"/>
              <w:jc w:val="left"/>
              <w:rPr>
                <w:rFonts w:ascii="宋体" w:hAnsi="宋体" w:cs="宋体" w:eastAsia="宋体" w:hint="default"/>
                <w:sz w:val="18"/>
                <w:szCs w:val="18"/>
              </w:rPr>
            </w:pPr>
            <w:r>
              <w:rPr>
                <w:rFonts w:ascii="宋体"/>
                <w:sz w:val="18"/>
              </w:rPr>
              <w:t>-4.33%</w:t>
            </w:r>
          </w:p>
        </w:tc>
        <w:tc>
          <w:tcPr>
            <w:tcW w:w="27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0"/>
              <w:jc w:val="left"/>
              <w:rPr>
                <w:rFonts w:ascii="宋体" w:hAnsi="宋体" w:cs="宋体" w:eastAsia="宋体" w:hint="default"/>
                <w:sz w:val="18"/>
                <w:szCs w:val="18"/>
              </w:rPr>
            </w:pPr>
            <w:r>
              <w:rPr>
                <w:rFonts w:ascii="宋体" w:hAnsi="宋体" w:cs="宋体" w:eastAsia="宋体" w:hint="default"/>
                <w:sz w:val="18"/>
                <w:szCs w:val="18"/>
              </w:rPr>
              <w:t>本报告期支付应付的对外投资款所 致</w:t>
            </w:r>
          </w:p>
        </w:tc>
      </w:tr>
    </w:tbl>
    <w:p>
      <w:pPr>
        <w:spacing w:line="240" w:lineRule="auto" w:before="3"/>
        <w:rPr>
          <w:rFonts w:ascii="宋体" w:hAnsi="宋体" w:cs="宋体" w:eastAsia="宋体" w:hint="default"/>
          <w:sz w:val="19"/>
          <w:szCs w:val="19"/>
        </w:rPr>
      </w:pPr>
    </w:p>
    <w:p>
      <w:pPr>
        <w:pStyle w:val="Heading3"/>
        <w:spacing w:line="240" w:lineRule="auto" w:before="35"/>
        <w:ind w:right="1134"/>
        <w:jc w:val="left"/>
        <w:rPr>
          <w:b w:val="0"/>
          <w:bCs w:val="0"/>
        </w:rPr>
      </w:pPr>
      <w:bookmarkStart w:name="2、以公允价值计量的资产和负债" w:id="42"/>
      <w:bookmarkEnd w:id="42"/>
      <w:r>
        <w:rPr>
          <w:b w:val="0"/>
          <w:bCs w:val="0"/>
        </w:rPr>
      </w:r>
      <w:r>
        <w:rPr>
          <w:rFonts w:ascii="Times New Roman" w:hAnsi="Times New Roman" w:cs="Times New Roman" w:eastAsia="Times New Roman" w:hint="default"/>
        </w:rPr>
        <w:t>2</w:t>
      </w:r>
      <w:r>
        <w:rPr/>
        <w:t>、以公允价值计量的资产和负债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5856"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111"/>
        <w:gridCol w:w="1074"/>
        <w:gridCol w:w="1057"/>
        <w:gridCol w:w="1062"/>
        <w:gridCol w:w="1063"/>
        <w:gridCol w:w="1062"/>
        <w:gridCol w:w="1057"/>
        <w:gridCol w:w="1069"/>
      </w:tblGrid>
      <w:tr>
        <w:trPr>
          <w:trHeight w:val="161" w:hRule="exact"/>
        </w:trPr>
        <w:tc>
          <w:tcPr>
            <w:tcW w:w="2111" w:type="dxa"/>
            <w:vMerge w:val="restart"/>
            <w:tcBorders>
              <w:top w:val="single" w:sz="4" w:space="0" w:color="000000"/>
              <w:left w:val="single" w:sz="4" w:space="0" w:color="000000"/>
              <w:right w:val="single" w:sz="4" w:space="0" w:color="000000"/>
            </w:tcBorders>
            <w:shd w:val="clear" w:color="auto" w:fill="D2D2D2"/>
          </w:tcPr>
          <w:p>
            <w:pPr/>
          </w:p>
        </w:tc>
        <w:tc>
          <w:tcPr>
            <w:tcW w:w="1074" w:type="dxa"/>
            <w:vMerge w:val="restart"/>
            <w:tcBorders>
              <w:top w:val="single" w:sz="4" w:space="0" w:color="000000"/>
              <w:left w:val="single" w:sz="4" w:space="0" w:color="000000"/>
              <w:right w:val="single" w:sz="4" w:space="0" w:color="000000"/>
            </w:tcBorders>
            <w:shd w:val="clear" w:color="auto" w:fill="D2D2D2"/>
          </w:tcPr>
          <w:p>
            <w:pPr/>
          </w:p>
        </w:tc>
        <w:tc>
          <w:tcPr>
            <w:tcW w:w="1057"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76" w:right="73"/>
              <w:jc w:val="center"/>
              <w:rPr>
                <w:rFonts w:ascii="宋体" w:hAnsi="宋体" w:cs="宋体" w:eastAsia="宋体" w:hint="default"/>
                <w:sz w:val="18"/>
                <w:szCs w:val="18"/>
              </w:rPr>
            </w:pPr>
            <w:r>
              <w:rPr>
                <w:rFonts w:ascii="宋体" w:hAnsi="宋体" w:cs="宋体" w:eastAsia="宋体" w:hint="default"/>
                <w:sz w:val="18"/>
                <w:szCs w:val="18"/>
              </w:rPr>
              <w:t>计入权益的 累计公允价 值变动</w:t>
            </w:r>
          </w:p>
        </w:tc>
        <w:tc>
          <w:tcPr>
            <w:tcW w:w="1063"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2" w:type="dxa"/>
            <w:tcBorders>
              <w:top w:val="single" w:sz="4" w:space="0" w:color="000000"/>
              <w:left w:val="single" w:sz="4" w:space="0" w:color="000000"/>
              <w:bottom w:val="nil" w:sz="6" w:space="0" w:color="auto"/>
              <w:right w:val="single" w:sz="4" w:space="0" w:color="000000"/>
            </w:tcBorders>
            <w:shd w:val="clear" w:color="auto" w:fill="D2D2D2"/>
          </w:tcPr>
          <w:p>
            <w:pPr/>
          </w:p>
        </w:tc>
        <w:tc>
          <w:tcPr>
            <w:tcW w:w="1057" w:type="dxa"/>
            <w:tcBorders>
              <w:top w:val="single" w:sz="4" w:space="0" w:color="000000"/>
              <w:left w:val="single" w:sz="4" w:space="0" w:color="000000"/>
              <w:bottom w:val="nil" w:sz="6" w:space="0" w:color="auto"/>
              <w:right w:val="single" w:sz="4" w:space="0" w:color="000000"/>
            </w:tcBorders>
            <w:shd w:val="clear" w:color="auto" w:fill="D2D2D2"/>
          </w:tcPr>
          <w:p>
            <w:pPr/>
          </w:p>
        </w:tc>
        <w:tc>
          <w:tcPr>
            <w:tcW w:w="1069" w:type="dxa"/>
            <w:vMerge w:val="restart"/>
            <w:tcBorders>
              <w:top w:val="single" w:sz="4" w:space="0" w:color="000000"/>
              <w:left w:val="single" w:sz="4" w:space="0" w:color="000000"/>
              <w:right w:val="single" w:sz="4" w:space="0" w:color="000000"/>
            </w:tcBorders>
            <w:shd w:val="clear" w:color="auto" w:fill="D2D2D2"/>
          </w:tcPr>
          <w:p>
            <w:pPr/>
          </w:p>
        </w:tc>
      </w:tr>
      <w:tr>
        <w:trPr>
          <w:trHeight w:val="156" w:hRule="exact"/>
        </w:trPr>
        <w:tc>
          <w:tcPr>
            <w:tcW w:w="2111" w:type="dxa"/>
            <w:vMerge/>
            <w:tcBorders>
              <w:left w:val="single" w:sz="4" w:space="0" w:color="000000"/>
              <w:bottom w:val="nil" w:sz="6" w:space="0" w:color="auto"/>
              <w:right w:val="single" w:sz="4" w:space="0" w:color="000000"/>
            </w:tcBorders>
            <w:shd w:val="clear" w:color="auto" w:fill="D2D2D2"/>
          </w:tcPr>
          <w:p>
            <w:pPr/>
          </w:p>
        </w:tc>
        <w:tc>
          <w:tcPr>
            <w:tcW w:w="1074" w:type="dxa"/>
            <w:vMerge/>
            <w:tcBorders>
              <w:left w:val="single" w:sz="4" w:space="0" w:color="000000"/>
              <w:bottom w:val="nil" w:sz="6" w:space="0" w:color="auto"/>
              <w:right w:val="single" w:sz="4" w:space="0" w:color="000000"/>
            </w:tcBorders>
            <w:shd w:val="clear" w:color="auto" w:fill="D2D2D2"/>
          </w:tcPr>
          <w:p>
            <w:pPr/>
          </w:p>
        </w:tc>
        <w:tc>
          <w:tcPr>
            <w:tcW w:w="1057"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69" w:right="75"/>
              <w:jc w:val="left"/>
              <w:rPr>
                <w:rFonts w:ascii="宋体" w:hAnsi="宋体" w:cs="宋体" w:eastAsia="宋体" w:hint="default"/>
                <w:sz w:val="18"/>
                <w:szCs w:val="18"/>
              </w:rPr>
            </w:pPr>
            <w:r>
              <w:rPr>
                <w:rFonts w:ascii="宋体" w:hAnsi="宋体" w:cs="宋体" w:eastAsia="宋体" w:hint="default"/>
                <w:sz w:val="18"/>
                <w:szCs w:val="18"/>
              </w:rPr>
              <w:t>本期公允价 值变动损益</w:t>
            </w:r>
          </w:p>
        </w:tc>
        <w:tc>
          <w:tcPr>
            <w:tcW w:w="1062" w:type="dxa"/>
            <w:vMerge/>
            <w:tcBorders>
              <w:left w:val="single" w:sz="4" w:space="0" w:color="000000"/>
              <w:right w:val="single" w:sz="4" w:space="0" w:color="000000"/>
            </w:tcBorders>
            <w:shd w:val="clear" w:color="auto" w:fill="D2D2D2"/>
          </w:tcPr>
          <w:p>
            <w:pPr/>
          </w:p>
        </w:tc>
        <w:tc>
          <w:tcPr>
            <w:tcW w:w="1063"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346" w:right="74" w:hanging="270"/>
              <w:jc w:val="left"/>
              <w:rPr>
                <w:rFonts w:ascii="宋体" w:hAnsi="宋体" w:cs="宋体" w:eastAsia="宋体" w:hint="default"/>
                <w:sz w:val="18"/>
                <w:szCs w:val="18"/>
              </w:rPr>
            </w:pPr>
            <w:r>
              <w:rPr>
                <w:rFonts w:ascii="宋体" w:hAnsi="宋体" w:cs="宋体" w:eastAsia="宋体" w:hint="default"/>
                <w:sz w:val="18"/>
                <w:szCs w:val="18"/>
              </w:rPr>
              <w:t>本期计提的 减值</w:t>
            </w:r>
          </w:p>
        </w:tc>
        <w:tc>
          <w:tcPr>
            <w:tcW w:w="106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435" w:right="75" w:hanging="360"/>
              <w:jc w:val="left"/>
              <w:rPr>
                <w:rFonts w:ascii="宋体" w:hAnsi="宋体" w:cs="宋体" w:eastAsia="宋体" w:hint="default"/>
                <w:sz w:val="18"/>
                <w:szCs w:val="18"/>
              </w:rPr>
            </w:pPr>
            <w:r>
              <w:rPr>
                <w:rFonts w:ascii="宋体" w:hAnsi="宋体" w:cs="宋体" w:eastAsia="宋体" w:hint="default"/>
                <w:sz w:val="18"/>
                <w:szCs w:val="18"/>
              </w:rPr>
              <w:t>本期购买金 额</w:t>
            </w:r>
          </w:p>
        </w:tc>
        <w:tc>
          <w:tcPr>
            <w:tcW w:w="1057"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435" w:right="70" w:hanging="360"/>
              <w:jc w:val="left"/>
              <w:rPr>
                <w:rFonts w:ascii="宋体" w:hAnsi="宋体" w:cs="宋体" w:eastAsia="宋体" w:hint="default"/>
                <w:sz w:val="18"/>
                <w:szCs w:val="18"/>
              </w:rPr>
            </w:pPr>
            <w:r>
              <w:rPr>
                <w:rFonts w:ascii="宋体" w:hAnsi="宋体" w:cs="宋体" w:eastAsia="宋体" w:hint="default"/>
                <w:sz w:val="18"/>
                <w:szCs w:val="18"/>
              </w:rPr>
              <w:t>本期出售金 额</w:t>
            </w:r>
          </w:p>
        </w:tc>
        <w:tc>
          <w:tcPr>
            <w:tcW w:w="1069" w:type="dxa"/>
            <w:vMerge/>
            <w:tcBorders>
              <w:left w:val="single" w:sz="4" w:space="0" w:color="000000"/>
              <w:bottom w:val="nil" w:sz="6" w:space="0" w:color="auto"/>
              <w:right w:val="single" w:sz="4" w:space="0" w:color="000000"/>
            </w:tcBorders>
            <w:shd w:val="clear" w:color="auto" w:fill="D2D2D2"/>
          </w:tcPr>
          <w:p>
            <w:pPr/>
          </w:p>
        </w:tc>
      </w:tr>
      <w:tr>
        <w:trPr>
          <w:trHeight w:val="392" w:hRule="exact"/>
        </w:trPr>
        <w:tc>
          <w:tcPr>
            <w:tcW w:w="211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4"/>
              <w:jc w:val="center"/>
              <w:rPr>
                <w:rFonts w:ascii="宋体" w:hAnsi="宋体" w:cs="宋体" w:eastAsia="宋体" w:hint="default"/>
                <w:sz w:val="18"/>
                <w:szCs w:val="18"/>
              </w:rPr>
            </w:pPr>
            <w:r>
              <w:rPr>
                <w:rFonts w:ascii="宋体" w:hAnsi="宋体" w:cs="宋体" w:eastAsia="宋体" w:hint="default"/>
                <w:sz w:val="18"/>
                <w:szCs w:val="18"/>
              </w:rPr>
              <w:t>项目</w:t>
            </w:r>
          </w:p>
        </w:tc>
        <w:tc>
          <w:tcPr>
            <w:tcW w:w="107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期初数</w:t>
            </w:r>
          </w:p>
        </w:tc>
        <w:tc>
          <w:tcPr>
            <w:tcW w:w="1057" w:type="dxa"/>
            <w:vMerge/>
            <w:tcBorders>
              <w:left w:val="single" w:sz="4" w:space="0" w:color="000000"/>
              <w:right w:val="single" w:sz="4" w:space="0" w:color="000000"/>
            </w:tcBorders>
            <w:shd w:val="clear" w:color="auto" w:fill="D2D2D2"/>
          </w:tcPr>
          <w:p>
            <w:pPr/>
          </w:p>
        </w:tc>
        <w:tc>
          <w:tcPr>
            <w:tcW w:w="1062" w:type="dxa"/>
            <w:vMerge/>
            <w:tcBorders>
              <w:left w:val="single" w:sz="4" w:space="0" w:color="000000"/>
              <w:right w:val="single" w:sz="4" w:space="0" w:color="000000"/>
            </w:tcBorders>
            <w:shd w:val="clear" w:color="auto" w:fill="D2D2D2"/>
          </w:tcPr>
          <w:p>
            <w:pPr/>
          </w:p>
        </w:tc>
        <w:tc>
          <w:tcPr>
            <w:tcW w:w="1063" w:type="dxa"/>
            <w:vMerge/>
            <w:tcBorders>
              <w:left w:val="single" w:sz="4" w:space="0" w:color="000000"/>
              <w:right w:val="single" w:sz="4" w:space="0" w:color="000000"/>
            </w:tcBorders>
            <w:shd w:val="clear" w:color="auto" w:fill="D2D2D2"/>
          </w:tcPr>
          <w:p>
            <w:pPr/>
          </w:p>
        </w:tc>
        <w:tc>
          <w:tcPr>
            <w:tcW w:w="1062" w:type="dxa"/>
            <w:vMerge/>
            <w:tcBorders>
              <w:left w:val="single" w:sz="4" w:space="0" w:color="000000"/>
              <w:right w:val="single" w:sz="4" w:space="0" w:color="000000"/>
            </w:tcBorders>
            <w:shd w:val="clear" w:color="auto" w:fill="D2D2D2"/>
          </w:tcPr>
          <w:p>
            <w:pPr/>
          </w:p>
        </w:tc>
        <w:tc>
          <w:tcPr>
            <w:tcW w:w="1057" w:type="dxa"/>
            <w:vMerge/>
            <w:tcBorders>
              <w:left w:val="single" w:sz="4" w:space="0" w:color="000000"/>
              <w:right w:val="single" w:sz="4" w:space="0" w:color="000000"/>
            </w:tcBorders>
            <w:shd w:val="clear" w:color="auto" w:fill="D2D2D2"/>
          </w:tcPr>
          <w:p>
            <w:pPr/>
          </w:p>
        </w:tc>
        <w:tc>
          <w:tcPr>
            <w:tcW w:w="106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61" w:right="0"/>
              <w:jc w:val="left"/>
              <w:rPr>
                <w:rFonts w:ascii="宋体" w:hAnsi="宋体" w:cs="宋体" w:eastAsia="宋体" w:hint="default"/>
                <w:sz w:val="18"/>
                <w:szCs w:val="18"/>
              </w:rPr>
            </w:pPr>
            <w:r>
              <w:rPr>
                <w:rFonts w:ascii="宋体" w:hAnsi="宋体" w:cs="宋体" w:eastAsia="宋体" w:hint="default"/>
                <w:sz w:val="18"/>
                <w:szCs w:val="18"/>
              </w:rPr>
              <w:t>期末数</w:t>
            </w:r>
          </w:p>
        </w:tc>
      </w:tr>
      <w:tr>
        <w:trPr>
          <w:trHeight w:val="156" w:hRule="exact"/>
        </w:trPr>
        <w:tc>
          <w:tcPr>
            <w:tcW w:w="2111" w:type="dxa"/>
            <w:vMerge w:val="restart"/>
            <w:tcBorders>
              <w:top w:val="nil" w:sz="6" w:space="0" w:color="auto"/>
              <w:left w:val="single" w:sz="4" w:space="0" w:color="000000"/>
              <w:right w:val="single" w:sz="4" w:space="0" w:color="000000"/>
            </w:tcBorders>
            <w:shd w:val="clear" w:color="auto" w:fill="D2D2D2"/>
          </w:tcPr>
          <w:p>
            <w:pPr/>
          </w:p>
        </w:tc>
        <w:tc>
          <w:tcPr>
            <w:tcW w:w="1074" w:type="dxa"/>
            <w:vMerge w:val="restart"/>
            <w:tcBorders>
              <w:top w:val="nil" w:sz="6" w:space="0" w:color="auto"/>
              <w:left w:val="single" w:sz="4" w:space="0" w:color="000000"/>
              <w:right w:val="single" w:sz="4" w:space="0" w:color="000000"/>
            </w:tcBorders>
            <w:shd w:val="clear" w:color="auto" w:fill="D2D2D2"/>
          </w:tcPr>
          <w:p>
            <w:pPr/>
          </w:p>
        </w:tc>
        <w:tc>
          <w:tcPr>
            <w:tcW w:w="1057" w:type="dxa"/>
            <w:vMerge/>
            <w:tcBorders>
              <w:left w:val="single" w:sz="4" w:space="0" w:color="000000"/>
              <w:bottom w:val="nil" w:sz="6" w:space="0" w:color="auto"/>
              <w:right w:val="single" w:sz="4" w:space="0" w:color="000000"/>
            </w:tcBorders>
            <w:shd w:val="clear" w:color="auto" w:fill="D2D2D2"/>
          </w:tcPr>
          <w:p>
            <w:pPr/>
          </w:p>
        </w:tc>
        <w:tc>
          <w:tcPr>
            <w:tcW w:w="1062" w:type="dxa"/>
            <w:vMerge/>
            <w:tcBorders>
              <w:left w:val="single" w:sz="4" w:space="0" w:color="000000"/>
              <w:right w:val="single" w:sz="4" w:space="0" w:color="000000"/>
            </w:tcBorders>
            <w:shd w:val="clear" w:color="auto" w:fill="D2D2D2"/>
          </w:tcPr>
          <w:p>
            <w:pPr/>
          </w:p>
        </w:tc>
        <w:tc>
          <w:tcPr>
            <w:tcW w:w="1063" w:type="dxa"/>
            <w:vMerge/>
            <w:tcBorders>
              <w:left w:val="single" w:sz="4" w:space="0" w:color="000000"/>
              <w:bottom w:val="nil" w:sz="6" w:space="0" w:color="auto"/>
              <w:right w:val="single" w:sz="4" w:space="0" w:color="000000"/>
            </w:tcBorders>
            <w:shd w:val="clear" w:color="auto" w:fill="D2D2D2"/>
          </w:tcPr>
          <w:p>
            <w:pPr/>
          </w:p>
        </w:tc>
        <w:tc>
          <w:tcPr>
            <w:tcW w:w="1062" w:type="dxa"/>
            <w:vMerge/>
            <w:tcBorders>
              <w:left w:val="single" w:sz="4" w:space="0" w:color="000000"/>
              <w:bottom w:val="nil" w:sz="6" w:space="0" w:color="auto"/>
              <w:right w:val="single" w:sz="4" w:space="0" w:color="000000"/>
            </w:tcBorders>
            <w:shd w:val="clear" w:color="auto" w:fill="D2D2D2"/>
          </w:tcPr>
          <w:p>
            <w:pPr/>
          </w:p>
        </w:tc>
        <w:tc>
          <w:tcPr>
            <w:tcW w:w="1057" w:type="dxa"/>
            <w:vMerge/>
            <w:tcBorders>
              <w:left w:val="single" w:sz="4" w:space="0" w:color="000000"/>
              <w:bottom w:val="nil" w:sz="6" w:space="0" w:color="auto"/>
              <w:right w:val="single" w:sz="4" w:space="0" w:color="000000"/>
            </w:tcBorders>
            <w:shd w:val="clear" w:color="auto" w:fill="D2D2D2"/>
          </w:tcPr>
          <w:p>
            <w:pPr/>
          </w:p>
        </w:tc>
        <w:tc>
          <w:tcPr>
            <w:tcW w:w="1069" w:type="dxa"/>
            <w:vMerge w:val="restart"/>
            <w:tcBorders>
              <w:top w:val="nil" w:sz="6" w:space="0" w:color="auto"/>
              <w:left w:val="single" w:sz="4" w:space="0" w:color="000000"/>
              <w:right w:val="single" w:sz="4" w:space="0" w:color="000000"/>
            </w:tcBorders>
            <w:shd w:val="clear" w:color="auto" w:fill="D2D2D2"/>
          </w:tcPr>
          <w:p>
            <w:pPr/>
          </w:p>
        </w:tc>
      </w:tr>
      <w:tr>
        <w:trPr>
          <w:trHeight w:val="166" w:hRule="exact"/>
        </w:trPr>
        <w:tc>
          <w:tcPr>
            <w:tcW w:w="2111" w:type="dxa"/>
            <w:vMerge/>
            <w:tcBorders>
              <w:left w:val="single" w:sz="4" w:space="0" w:color="000000"/>
              <w:bottom w:val="single" w:sz="4" w:space="0" w:color="000000"/>
              <w:right w:val="single" w:sz="4" w:space="0" w:color="000000"/>
            </w:tcBorders>
            <w:shd w:val="clear" w:color="auto" w:fill="D2D2D2"/>
          </w:tcPr>
          <w:p>
            <w:pPr/>
          </w:p>
        </w:tc>
        <w:tc>
          <w:tcPr>
            <w:tcW w:w="1074" w:type="dxa"/>
            <w:vMerge/>
            <w:tcBorders>
              <w:left w:val="single" w:sz="4" w:space="0" w:color="000000"/>
              <w:bottom w:val="single" w:sz="4" w:space="0" w:color="000000"/>
              <w:right w:val="single" w:sz="4" w:space="0" w:color="000000"/>
            </w:tcBorders>
            <w:shd w:val="clear" w:color="auto" w:fill="D2D2D2"/>
          </w:tcPr>
          <w:p>
            <w:pPr/>
          </w:p>
        </w:tc>
        <w:tc>
          <w:tcPr>
            <w:tcW w:w="10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2" w:type="dxa"/>
            <w:vMerge/>
            <w:tcBorders>
              <w:left w:val="single" w:sz="4" w:space="0" w:color="000000"/>
              <w:bottom w:val="single" w:sz="4" w:space="0" w:color="000000"/>
              <w:right w:val="single" w:sz="4" w:space="0" w:color="000000"/>
            </w:tcBorders>
            <w:shd w:val="clear" w:color="auto" w:fill="D2D2D2"/>
          </w:tcPr>
          <w:p>
            <w:pPr/>
          </w:p>
        </w:tc>
        <w:tc>
          <w:tcPr>
            <w:tcW w:w="1063"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2" w:type="dxa"/>
            <w:tcBorders>
              <w:top w:val="nil" w:sz="6" w:space="0" w:color="auto"/>
              <w:left w:val="single" w:sz="4" w:space="0" w:color="000000"/>
              <w:bottom w:val="single" w:sz="4" w:space="0" w:color="000000"/>
              <w:right w:val="single" w:sz="4" w:space="0" w:color="000000"/>
            </w:tcBorders>
            <w:shd w:val="clear" w:color="auto" w:fill="D2D2D2"/>
          </w:tcPr>
          <w:p>
            <w:pPr/>
          </w:p>
        </w:tc>
        <w:tc>
          <w:tcPr>
            <w:tcW w:w="10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069" w:type="dxa"/>
            <w:vMerge/>
            <w:tcBorders>
              <w:left w:val="single" w:sz="4" w:space="0" w:color="000000"/>
              <w:bottom w:val="single" w:sz="4" w:space="0" w:color="000000"/>
              <w:right w:val="single" w:sz="4" w:space="0" w:color="000000"/>
            </w:tcBorders>
            <w:shd w:val="clear" w:color="auto" w:fill="D2D2D2"/>
          </w:tcPr>
          <w:p>
            <w:pPr/>
          </w:p>
        </w:tc>
      </w:tr>
      <w:tr>
        <w:trPr>
          <w:trHeight w:val="397" w:hRule="exact"/>
        </w:trPr>
        <w:tc>
          <w:tcPr>
            <w:tcW w:w="9555"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宋体" w:hAnsi="宋体" w:cs="宋体" w:eastAsia="宋体" w:hint="default"/>
                <w:sz w:val="18"/>
                <w:szCs w:val="18"/>
              </w:rPr>
              <w:t>金融资产</w:t>
            </w:r>
          </w:p>
        </w:tc>
      </w:tr>
      <w:tr>
        <w:trPr>
          <w:trHeight w:val="1026" w:hRule="exact"/>
        </w:trPr>
        <w:tc>
          <w:tcPr>
            <w:tcW w:w="2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107"/>
              <w:jc w:val="both"/>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以公允价值计量且其变 动计入当期损益的金融资 产（不含衍生金融资产）</w:t>
            </w:r>
          </w:p>
        </w:tc>
        <w:tc>
          <w:tcPr>
            <w:tcW w:w="107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t>0.00</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3,293,217.16</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3,293,217.16</w:t>
            </w:r>
          </w:p>
        </w:tc>
      </w:tr>
      <w:tr>
        <w:trPr>
          <w:trHeight w:val="402" w:hRule="exact"/>
        </w:trPr>
        <w:tc>
          <w:tcPr>
            <w:tcW w:w="2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上述合计</w:t>
            </w:r>
          </w:p>
        </w:tc>
        <w:tc>
          <w:tcPr>
            <w:tcW w:w="107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6"/>
              <w:jc w:val="right"/>
              <w:rPr>
                <w:rFonts w:ascii="Times New Roman" w:hAnsi="Times New Roman" w:cs="Times New Roman" w:eastAsia="Times New Roman" w:hint="default"/>
                <w:sz w:val="18"/>
                <w:szCs w:val="18"/>
              </w:rPr>
            </w:pPr>
            <w:r>
              <w:rPr>
                <w:rFonts w:ascii="Times New Roman"/>
                <w:sz w:val="18"/>
              </w:rPr>
              <w:t>0.00</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3,293,217.16</w:t>
            </w: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3,293,217.16</w:t>
            </w:r>
          </w:p>
        </w:tc>
      </w:tr>
      <w:tr>
        <w:trPr>
          <w:trHeight w:val="402" w:hRule="exact"/>
        </w:trPr>
        <w:tc>
          <w:tcPr>
            <w:tcW w:w="2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金融负债</w:t>
            </w:r>
          </w:p>
        </w:tc>
        <w:tc>
          <w:tcPr>
            <w:tcW w:w="107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6"/>
              <w:jc w:val="right"/>
              <w:rPr>
                <w:rFonts w:ascii="Times New Roman" w:hAnsi="Times New Roman" w:cs="Times New Roman" w:eastAsia="Times New Roman" w:hint="default"/>
                <w:sz w:val="18"/>
                <w:szCs w:val="18"/>
              </w:rPr>
            </w:pPr>
            <w:r>
              <w:rPr>
                <w:rFonts w:ascii="Times New Roman"/>
                <w:sz w:val="18"/>
              </w:rPr>
              <w:t>0.00</w:t>
            </w:r>
          </w:p>
        </w:tc>
        <w:tc>
          <w:tcPr>
            <w:tcW w:w="1057"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57" w:type="dxa"/>
            <w:tcBorders>
              <w:top w:val="single" w:sz="4" w:space="0" w:color="000000"/>
              <w:left w:val="single" w:sz="4" w:space="0" w:color="000000"/>
              <w:bottom w:val="single" w:sz="4" w:space="0" w:color="000000"/>
              <w:right w:val="single" w:sz="4" w:space="0" w:color="000000"/>
            </w:tcBorders>
          </w:tcPr>
          <w:p>
            <w:pPr/>
          </w:p>
        </w:tc>
        <w:tc>
          <w:tcPr>
            <w:tcW w:w="1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0.00</w:t>
            </w:r>
          </w:p>
        </w:tc>
      </w:tr>
    </w:tbl>
    <w:p>
      <w:pPr>
        <w:pStyle w:val="BodyText"/>
        <w:spacing w:line="240" w:lineRule="auto" w:before="51"/>
        <w:ind w:right="1134"/>
        <w:jc w:val="left"/>
      </w:pPr>
      <w:r>
        <w:rPr/>
        <w:t>报告期内公司主要资产计量属性是否发生重大变化</w:t>
      </w:r>
    </w:p>
    <w:p>
      <w:pPr>
        <w:pStyle w:val="BodyText"/>
        <w:spacing w:line="240" w:lineRule="auto" w:before="117"/>
        <w:ind w:right="113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line="240" w:lineRule="auto" w:before="9"/>
        <w:rPr>
          <w:rFonts w:ascii="宋体" w:hAnsi="宋体" w:cs="宋体" w:eastAsia="宋体" w:hint="default"/>
          <w:sz w:val="25"/>
          <w:szCs w:val="25"/>
        </w:rPr>
      </w:pPr>
    </w:p>
    <w:p>
      <w:pPr>
        <w:pStyle w:val="Heading3"/>
        <w:spacing w:line="240" w:lineRule="auto"/>
        <w:ind w:right="1134"/>
        <w:jc w:val="left"/>
        <w:rPr>
          <w:b w:val="0"/>
          <w:bCs w:val="0"/>
        </w:rPr>
      </w:pPr>
      <w:bookmarkStart w:name="3、截至报告期末的资产权利受限情况" w:id="43"/>
      <w:bookmarkEnd w:id="43"/>
      <w:r>
        <w:rPr>
          <w:b w:val="0"/>
          <w:bCs w:val="0"/>
        </w:rPr>
      </w:r>
      <w:r>
        <w:rPr>
          <w:rFonts w:ascii="Times New Roman" w:hAnsi="Times New Roman" w:cs="Times New Roman" w:eastAsia="Times New Roman" w:hint="default"/>
        </w:rPr>
        <w:t>3</w:t>
      </w:r>
      <w:r>
        <w:rPr/>
        <w:t>、截至报告期末的资产权利受限情况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495" w:right="7601"/>
        <w:jc w:val="center"/>
      </w:pPr>
      <w:r>
        <w:rPr/>
        <w:t>（</w:t>
      </w:r>
      <w:r>
        <w:rPr>
          <w:rFonts w:ascii="Times New Roman" w:hAnsi="Times New Roman" w:cs="Times New Roman" w:eastAsia="Times New Roman" w:hint="default"/>
        </w:rPr>
        <w:t>1</w:t>
      </w:r>
      <w:r>
        <w:rPr/>
        <w:t>）受限制的货币资金明细如下：</w:t>
      </w:r>
    </w:p>
    <w:p>
      <w:pPr>
        <w:spacing w:line="240" w:lineRule="auto" w:before="12"/>
        <w:rPr>
          <w:rFonts w:ascii="宋体" w:hAnsi="宋体" w:cs="宋体" w:eastAsia="宋体" w:hint="default"/>
          <w:sz w:val="6"/>
          <w:szCs w:val="6"/>
        </w:rPr>
      </w:pPr>
    </w:p>
    <w:tbl>
      <w:tblPr>
        <w:tblW w:w="0" w:type="auto"/>
        <w:jc w:val="left"/>
        <w:tblInd w:w="146" w:type="dxa"/>
        <w:tblLayout w:type="fixed"/>
        <w:tblCellMar>
          <w:top w:w="0" w:type="dxa"/>
          <w:left w:w="0" w:type="dxa"/>
          <w:bottom w:w="0" w:type="dxa"/>
          <w:right w:w="0" w:type="dxa"/>
        </w:tblCellMar>
        <w:tblLook w:val="01E0"/>
      </w:tblPr>
      <w:tblGrid>
        <w:gridCol w:w="4114"/>
        <w:gridCol w:w="2747"/>
        <w:gridCol w:w="2746"/>
      </w:tblGrid>
      <w:tr>
        <w:trPr>
          <w:trHeight w:val="427" w:hRule="exact"/>
        </w:trPr>
        <w:tc>
          <w:tcPr>
            <w:tcW w:w="411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1869"/>
              <w:jc w:val="right"/>
              <w:rPr>
                <w:rFonts w:ascii="宋体" w:hAnsi="宋体" w:cs="宋体" w:eastAsia="宋体" w:hint="default"/>
                <w:sz w:val="18"/>
                <w:szCs w:val="18"/>
              </w:rPr>
            </w:pPr>
            <w:r>
              <w:rPr>
                <w:rFonts w:ascii="宋体" w:hAnsi="宋体" w:cs="宋体" w:eastAsia="宋体" w:hint="default"/>
                <w:sz w:val="18"/>
                <w:szCs w:val="18"/>
              </w:rPr>
              <w:t>项目</w:t>
            </w:r>
          </w:p>
        </w:tc>
        <w:tc>
          <w:tcPr>
            <w:tcW w:w="274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74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27" w:hRule="exact"/>
        </w:trPr>
        <w:tc>
          <w:tcPr>
            <w:tcW w:w="41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银行承兑汇票保证金</w:t>
            </w:r>
          </w:p>
        </w:tc>
        <w:tc>
          <w:tcPr>
            <w:tcW w:w="27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291,219.77</w:t>
            </w:r>
          </w:p>
        </w:tc>
        <w:tc>
          <w:tcPr>
            <w:tcW w:w="27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5,285,741.03</w:t>
            </w:r>
          </w:p>
        </w:tc>
      </w:tr>
      <w:tr>
        <w:trPr>
          <w:trHeight w:val="427" w:hRule="exact"/>
        </w:trPr>
        <w:tc>
          <w:tcPr>
            <w:tcW w:w="41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保函保证金</w:t>
            </w:r>
          </w:p>
        </w:tc>
        <w:tc>
          <w:tcPr>
            <w:tcW w:w="27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17,708,834.44</w:t>
            </w:r>
          </w:p>
        </w:tc>
        <w:tc>
          <w:tcPr>
            <w:tcW w:w="27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15,766,818.44</w:t>
            </w:r>
          </w:p>
        </w:tc>
      </w:tr>
      <w:tr>
        <w:trPr>
          <w:trHeight w:val="426" w:hRule="exact"/>
        </w:trPr>
        <w:tc>
          <w:tcPr>
            <w:tcW w:w="41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共管账户保证金</w:t>
            </w:r>
            <w:r>
              <w:rPr>
                <w:rFonts w:ascii="Times New Roman" w:hAnsi="Times New Roman" w:cs="Times New Roman" w:eastAsia="Times New Roman" w:hint="default"/>
                <w:sz w:val="18"/>
                <w:szCs w:val="18"/>
              </w:rPr>
              <w:t>*</w:t>
            </w:r>
          </w:p>
        </w:tc>
        <w:tc>
          <w:tcPr>
            <w:tcW w:w="27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5,000,000.00</w:t>
            </w:r>
          </w:p>
        </w:tc>
        <w:tc>
          <w:tcPr>
            <w:tcW w:w="27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w:t>
            </w:r>
          </w:p>
        </w:tc>
      </w:tr>
      <w:tr>
        <w:trPr>
          <w:trHeight w:val="428" w:hRule="exact"/>
        </w:trPr>
        <w:tc>
          <w:tcPr>
            <w:tcW w:w="41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869"/>
              <w:jc w:val="right"/>
              <w:rPr>
                <w:rFonts w:ascii="宋体" w:hAnsi="宋体" w:cs="宋体" w:eastAsia="宋体" w:hint="default"/>
                <w:sz w:val="18"/>
                <w:szCs w:val="18"/>
              </w:rPr>
            </w:pPr>
            <w:r>
              <w:rPr>
                <w:rFonts w:ascii="宋体" w:hAnsi="宋体" w:cs="宋体" w:eastAsia="宋体" w:hint="default"/>
                <w:sz w:val="18"/>
                <w:szCs w:val="18"/>
              </w:rPr>
              <w:t>合计</w:t>
            </w:r>
          </w:p>
        </w:tc>
        <w:tc>
          <w:tcPr>
            <w:tcW w:w="274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23,000,054.21</w:t>
            </w:r>
          </w:p>
        </w:tc>
        <w:tc>
          <w:tcPr>
            <w:tcW w:w="27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21,052,559.47</w:t>
            </w:r>
          </w:p>
        </w:tc>
      </w:tr>
    </w:tbl>
    <w:p>
      <w:pPr>
        <w:pStyle w:val="BodyText"/>
        <w:spacing w:line="307" w:lineRule="auto" w:before="51"/>
        <w:ind w:right="1122" w:firstLine="360"/>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月，本公司与珠海佳博科技股份有限公司股东签署《发行股份及支付现金购买资产协议》，并约定本公司及 陈建辉均应自本次交易获得本公司第三届第四次董事会议通过之日起五个工作日内向以本公司名义开立的浙商银行深圳分 行营业部共管账户内汇入</w:t>
      </w:r>
      <w:r>
        <w:rPr>
          <w:rFonts w:ascii="Times New Roman" w:hAnsi="Times New Roman" w:cs="Times New Roman" w:eastAsia="Times New Roman" w:hint="default"/>
        </w:rPr>
        <w:t>500.00</w:t>
      </w:r>
      <w:r>
        <w:rPr/>
        <w:t>万元的诚意金。陈建辉已于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26</w:t>
      </w:r>
      <w:r>
        <w:rPr/>
        <w:t>日汇入</w:t>
      </w:r>
      <w:r>
        <w:rPr>
          <w:rFonts w:ascii="Times New Roman" w:hAnsi="Times New Roman" w:cs="Times New Roman" w:eastAsia="Times New Roman" w:hint="default"/>
        </w:rPr>
        <w:t>500.00</w:t>
      </w:r>
      <w:r>
        <w:rPr/>
        <w:t>万元至共管账户（本公司于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 </w:t>
      </w:r>
      <w:r>
        <w:rPr/>
        <w:t>月</w:t>
      </w:r>
      <w:r>
        <w:rPr>
          <w:rFonts w:ascii="Times New Roman" w:hAnsi="Times New Roman" w:cs="Times New Roman" w:eastAsia="Times New Roman" w:hint="default"/>
        </w:rPr>
        <w:t>10</w:t>
      </w:r>
      <w:r>
        <w:rPr/>
        <w:t>日汇入</w:t>
      </w:r>
      <w:r>
        <w:rPr>
          <w:rFonts w:ascii="Times New Roman" w:hAnsi="Times New Roman" w:cs="Times New Roman" w:eastAsia="Times New Roman" w:hint="default"/>
        </w:rPr>
        <w:t>500.00</w:t>
      </w:r>
      <w:r>
        <w:rPr/>
        <w:t>万元至共管账户）。</w:t>
      </w:r>
    </w:p>
    <w:p>
      <w:pPr>
        <w:pStyle w:val="BodyText"/>
        <w:spacing w:line="240" w:lineRule="auto" w:before="46"/>
        <w:ind w:left="514" w:right="1134"/>
        <w:jc w:val="left"/>
      </w:pPr>
      <w:r>
        <w:rPr/>
        <w:t>（</w:t>
      </w:r>
      <w:r>
        <w:rPr>
          <w:rFonts w:ascii="Times New Roman" w:hAnsi="Times New Roman" w:cs="Times New Roman" w:eastAsia="Times New Roman" w:hint="default"/>
        </w:rPr>
        <w:t>2</w:t>
      </w:r>
      <w:r>
        <w:rPr/>
        <w:t>）期末公司已质押的应收票据</w:t>
      </w:r>
    </w:p>
    <w:p>
      <w:pPr>
        <w:spacing w:line="240" w:lineRule="auto" w:before="0"/>
        <w:rPr>
          <w:rFonts w:ascii="宋体" w:hAnsi="宋体" w:cs="宋体" w:eastAsia="宋体" w:hint="default"/>
          <w:sz w:val="7"/>
          <w:szCs w:val="7"/>
        </w:rPr>
      </w:pPr>
    </w:p>
    <w:tbl>
      <w:tblPr>
        <w:tblW w:w="0" w:type="auto"/>
        <w:jc w:val="left"/>
        <w:tblInd w:w="146" w:type="dxa"/>
        <w:tblLayout w:type="fixed"/>
        <w:tblCellMar>
          <w:top w:w="0" w:type="dxa"/>
          <w:left w:w="0" w:type="dxa"/>
          <w:bottom w:w="0" w:type="dxa"/>
          <w:right w:w="0" w:type="dxa"/>
        </w:tblCellMar>
        <w:tblLook w:val="01E0"/>
      </w:tblPr>
      <w:tblGrid>
        <w:gridCol w:w="4112"/>
        <w:gridCol w:w="5451"/>
      </w:tblGrid>
      <w:tr>
        <w:trPr>
          <w:trHeight w:val="427" w:hRule="exact"/>
        </w:trPr>
        <w:tc>
          <w:tcPr>
            <w:tcW w:w="411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1869"/>
              <w:jc w:val="right"/>
              <w:rPr>
                <w:rFonts w:ascii="宋体" w:hAnsi="宋体" w:cs="宋体" w:eastAsia="宋体" w:hint="default"/>
                <w:sz w:val="18"/>
                <w:szCs w:val="18"/>
              </w:rPr>
            </w:pPr>
            <w:r>
              <w:rPr>
                <w:rFonts w:ascii="宋体" w:hAnsi="宋体" w:cs="宋体" w:eastAsia="宋体" w:hint="default"/>
                <w:sz w:val="18"/>
                <w:szCs w:val="18"/>
              </w:rPr>
              <w:t>项目</w:t>
            </w:r>
          </w:p>
        </w:tc>
        <w:tc>
          <w:tcPr>
            <w:tcW w:w="545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期末已质押金额</w:t>
            </w:r>
          </w:p>
        </w:tc>
      </w:tr>
      <w:tr>
        <w:trPr>
          <w:trHeight w:val="427" w:hRule="exact"/>
        </w:trPr>
        <w:tc>
          <w:tcPr>
            <w:tcW w:w="4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54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right"/>
              <w:rPr>
                <w:rFonts w:ascii="Times New Roman" w:hAnsi="Times New Roman" w:cs="Times New Roman" w:eastAsia="Times New Roman" w:hint="default"/>
                <w:sz w:val="18"/>
                <w:szCs w:val="18"/>
              </w:rPr>
            </w:pPr>
            <w:r>
              <w:rPr>
                <w:rFonts w:ascii="Times New Roman"/>
                <w:spacing w:val="-1"/>
                <w:sz w:val="18"/>
              </w:rPr>
              <w:t>36,718,048.00</w:t>
            </w:r>
          </w:p>
        </w:tc>
      </w:tr>
      <w:tr>
        <w:trPr>
          <w:trHeight w:val="428" w:hRule="exact"/>
        </w:trPr>
        <w:tc>
          <w:tcPr>
            <w:tcW w:w="41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869"/>
              <w:jc w:val="right"/>
              <w:rPr>
                <w:rFonts w:ascii="宋体" w:hAnsi="宋体" w:cs="宋体" w:eastAsia="宋体" w:hint="default"/>
                <w:sz w:val="18"/>
                <w:szCs w:val="18"/>
              </w:rPr>
            </w:pPr>
            <w:r>
              <w:rPr>
                <w:rFonts w:ascii="宋体" w:hAnsi="宋体" w:cs="宋体" w:eastAsia="宋体" w:hint="default"/>
                <w:sz w:val="18"/>
                <w:szCs w:val="18"/>
              </w:rPr>
              <w:t>合计</w:t>
            </w:r>
          </w:p>
        </w:tc>
        <w:tc>
          <w:tcPr>
            <w:tcW w:w="54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36,718,048.00</w:t>
            </w:r>
          </w:p>
        </w:tc>
      </w:tr>
    </w:tbl>
    <w:p>
      <w:pPr>
        <w:pStyle w:val="BodyText"/>
        <w:spacing w:line="300" w:lineRule="auto" w:before="51"/>
        <w:ind w:right="1122" w:firstLine="360"/>
        <w:jc w:val="left"/>
      </w:pP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7</w:t>
      </w:r>
      <w:r>
        <w:rPr>
          <w:spacing w:val="-3"/>
        </w:rPr>
        <w:t>月</w:t>
      </w:r>
      <w:r>
        <w:rPr>
          <w:rFonts w:ascii="Times New Roman" w:hAnsi="Times New Roman" w:cs="Times New Roman" w:eastAsia="Times New Roman" w:hint="default"/>
          <w:spacing w:val="-3"/>
        </w:rPr>
        <w:t>3</w:t>
      </w:r>
      <w:r>
        <w:rPr>
          <w:spacing w:val="-3"/>
        </w:rPr>
        <w:t>日，本公司与浙商银行有限公司深圳分行签署了编号为（</w:t>
      </w:r>
      <w:r>
        <w:rPr>
          <w:rFonts w:ascii="Times New Roman" w:hAnsi="Times New Roman" w:cs="Times New Roman" w:eastAsia="Times New Roman" w:hint="default"/>
          <w:spacing w:val="-3"/>
        </w:rPr>
        <w:t>33100000</w:t>
      </w:r>
      <w:r>
        <w:rPr>
          <w:spacing w:val="-3"/>
        </w:rPr>
        <w:t>）浙商资产池字（</w:t>
      </w:r>
      <w:r>
        <w:rPr>
          <w:rFonts w:ascii="Times New Roman" w:hAnsi="Times New Roman" w:cs="Times New Roman" w:eastAsia="Times New Roman" w:hint="default"/>
          <w:spacing w:val="-3"/>
        </w:rPr>
        <w:t>2018</w:t>
      </w:r>
      <w:r>
        <w:rPr>
          <w:spacing w:val="-3"/>
        </w:rPr>
        <w:t>）第</w:t>
      </w:r>
      <w:r>
        <w:rPr>
          <w:rFonts w:ascii="Times New Roman" w:hAnsi="Times New Roman" w:cs="Times New Roman" w:eastAsia="Times New Roman" w:hint="default"/>
          <w:spacing w:val="-3"/>
        </w:rPr>
        <w:t>14968</w:t>
      </w:r>
      <w:r>
        <w:rPr>
          <w:spacing w:val="-3"/>
        </w:rPr>
        <w:t>号的《资</w:t>
      </w:r>
      <w:r>
        <w:rPr/>
        <w:t> 产池业务合作协议》、（</w:t>
      </w:r>
      <w:r>
        <w:rPr>
          <w:rFonts w:ascii="Times New Roman" w:hAnsi="Times New Roman" w:cs="Times New Roman" w:eastAsia="Times New Roman" w:hint="default"/>
        </w:rPr>
        <w:t>33100000</w:t>
      </w:r>
      <w:r>
        <w:rPr/>
        <w:t>）浙商票池字（</w:t>
      </w:r>
      <w:r>
        <w:rPr>
          <w:rFonts w:ascii="Times New Roman" w:hAnsi="Times New Roman" w:cs="Times New Roman" w:eastAsia="Times New Roman" w:hint="default"/>
        </w:rPr>
        <w:t>2018</w:t>
      </w:r>
      <w:r>
        <w:rPr/>
        <w:t>）第</w:t>
      </w:r>
      <w:r>
        <w:rPr>
          <w:rFonts w:ascii="Times New Roman" w:hAnsi="Times New Roman" w:cs="Times New Roman" w:eastAsia="Times New Roman" w:hint="default"/>
        </w:rPr>
        <w:t>14968</w:t>
      </w:r>
      <w:r>
        <w:rPr/>
        <w:t>号的《票据池业务合作协议》以及（</w:t>
      </w:r>
      <w:r>
        <w:rPr>
          <w:rFonts w:ascii="Times New Roman" w:hAnsi="Times New Roman" w:cs="Times New Roman" w:eastAsia="Times New Roman" w:hint="default"/>
        </w:rPr>
        <w:t>33100000</w:t>
      </w:r>
      <w:r>
        <w:rPr/>
        <w:t>）浙商资产</w:t>
      </w:r>
    </w:p>
    <w:p>
      <w:pPr>
        <w:spacing w:after="0" w:line="30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9" w:lineRule="auto" w:before="44"/>
        <w:ind w:right="1131"/>
        <w:jc w:val="both"/>
      </w:pPr>
      <w:r>
        <w:rPr/>
        <w:t>池质字（</w:t>
      </w:r>
      <w:r>
        <w:rPr>
          <w:rFonts w:ascii="Times New Roman" w:hAnsi="Times New Roman" w:cs="Times New Roman" w:eastAsia="Times New Roman" w:hint="default"/>
        </w:rPr>
        <w:t>2018</w:t>
      </w:r>
      <w:r>
        <w:rPr/>
        <w:t>）第</w:t>
      </w:r>
      <w:r>
        <w:rPr>
          <w:rFonts w:ascii="Times New Roman" w:hAnsi="Times New Roman" w:cs="Times New Roman" w:eastAsia="Times New Roman" w:hint="default"/>
        </w:rPr>
        <w:t>14969</w:t>
      </w:r>
      <w:r>
        <w:rPr/>
        <w:t>号的《资产池质押担保合同》，约定公司自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10</w:t>
      </w:r>
      <w:r>
        <w:rPr/>
        <w:t>日至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10</w:t>
      </w:r>
      <w:r>
        <w:rPr/>
        <w:t>日止向浙商银行有限公司 </w:t>
      </w:r>
      <w:r>
        <w:rPr>
          <w:spacing w:val="-2"/>
        </w:rPr>
        <w:t>深圳分行提交质押票据或其他质押资产进行质押申请，质押池融资额度根据资产池内质押资产和资产池保证金账户余额的变</w:t>
      </w:r>
      <w:r>
        <w:rPr>
          <w:spacing w:val="-64"/>
        </w:rPr>
        <w:t> </w:t>
      </w:r>
      <w:r>
        <w:rPr>
          <w:spacing w:val="-64"/>
        </w:rPr>
      </w:r>
      <w:r>
        <w:rPr/>
        <w:t>化而变化，最高额度不超过人民币</w:t>
      </w:r>
      <w:r>
        <w:rPr>
          <w:rFonts w:ascii="Times New Roman" w:hAnsi="Times New Roman" w:cs="Times New Roman" w:eastAsia="Times New Roman" w:hint="default"/>
        </w:rPr>
        <w:t>2</w:t>
      </w:r>
      <w:r>
        <w:rPr/>
        <w:t>亿元。</w:t>
      </w:r>
    </w:p>
    <w:p>
      <w:pPr>
        <w:pStyle w:val="BodyText"/>
        <w:spacing w:line="302" w:lineRule="auto" w:before="43"/>
        <w:ind w:right="1132" w:firstLine="420"/>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w:t>
      </w:r>
      <w:r>
        <w:rPr/>
        <w:t>日，本公司与宁波银行有限公司深圳分行签署了编号为</w:t>
      </w:r>
      <w:r>
        <w:rPr>
          <w:rFonts w:ascii="Times New Roman" w:hAnsi="Times New Roman" w:cs="Times New Roman" w:eastAsia="Times New Roman" w:hint="default"/>
        </w:rPr>
        <w:t>07301PC20188031</w:t>
      </w:r>
      <w:r>
        <w:rPr/>
        <w:t>号的《票据池业务合作及票据质 </w:t>
      </w:r>
      <w:r>
        <w:rPr>
          <w:spacing w:val="-2"/>
        </w:rPr>
        <w:t>押协议》，约定公司自</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11</w:t>
      </w:r>
      <w:r>
        <w:rPr>
          <w:spacing w:val="-2"/>
        </w:rPr>
        <w:t>月</w:t>
      </w:r>
      <w:r>
        <w:rPr>
          <w:rFonts w:ascii="Times New Roman" w:hAnsi="Times New Roman" w:cs="Times New Roman" w:eastAsia="Times New Roman" w:hint="default"/>
          <w:spacing w:val="-2"/>
        </w:rPr>
        <w:t>1</w:t>
      </w:r>
      <w:r>
        <w:rPr>
          <w:spacing w:val="-2"/>
        </w:rPr>
        <w:t>日签订之日起</w:t>
      </w:r>
      <w:r>
        <w:rPr>
          <w:rFonts w:ascii="Times New Roman" w:hAnsi="Times New Roman" w:cs="Times New Roman" w:eastAsia="Times New Roman" w:hint="default"/>
          <w:spacing w:val="-2"/>
        </w:rPr>
        <w:t>1</w:t>
      </w:r>
      <w:r>
        <w:rPr>
          <w:spacing w:val="-2"/>
        </w:rPr>
        <w:t>年内向宁波银行有限公司深圳分行提交质押票据进行质押申请，质押池融</w:t>
      </w:r>
      <w:r>
        <w:rPr>
          <w:spacing w:val="-58"/>
        </w:rPr>
        <w:t> </w:t>
      </w:r>
      <w:r>
        <w:rPr>
          <w:spacing w:val="-58"/>
        </w:rPr>
      </w:r>
      <w:r>
        <w:rPr/>
        <w:t>资额度根据资产池内质押资产和资产池保证金账户余额的变化而变化，最高额度不超过人民币</w:t>
      </w:r>
      <w:r>
        <w:rPr>
          <w:rFonts w:ascii="Times New Roman" w:hAnsi="Times New Roman" w:cs="Times New Roman" w:eastAsia="Times New Roman" w:hint="default"/>
        </w:rPr>
        <w:t>2</w:t>
      </w:r>
      <w:r>
        <w:rPr/>
        <w:t>亿元。</w:t>
      </w:r>
    </w:p>
    <w:p>
      <w:pPr>
        <w:spacing w:line="240" w:lineRule="auto" w:before="1"/>
        <w:rPr>
          <w:rFonts w:ascii="宋体" w:hAnsi="宋体" w:cs="宋体" w:eastAsia="宋体" w:hint="default"/>
          <w:sz w:val="20"/>
          <w:szCs w:val="20"/>
        </w:rPr>
      </w:pPr>
    </w:p>
    <w:p>
      <w:pPr>
        <w:pStyle w:val="Heading2"/>
        <w:spacing w:line="240" w:lineRule="auto"/>
        <w:ind w:right="0"/>
        <w:jc w:val="both"/>
        <w:rPr>
          <w:b w:val="0"/>
          <w:bCs w:val="0"/>
        </w:rPr>
      </w:pPr>
      <w:bookmarkStart w:name="五、投资状况分析" w:id="44"/>
      <w:bookmarkEnd w:id="44"/>
      <w:r>
        <w:rPr>
          <w:b w:val="0"/>
          <w:bCs w:val="0"/>
        </w:rPr>
      </w:r>
      <w:r>
        <w:rPr/>
        <w:t>五、投资状况分析</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0"/>
        <w:jc w:val="both"/>
        <w:rPr>
          <w:b w:val="0"/>
          <w:bCs w:val="0"/>
        </w:rPr>
      </w:pPr>
      <w:bookmarkStart w:name="1、总体情况" w:id="45"/>
      <w:bookmarkEnd w:id="45"/>
      <w:r>
        <w:rPr>
          <w:b w:val="0"/>
          <w:bCs w:val="0"/>
        </w:rPr>
      </w:r>
      <w:r>
        <w:rPr>
          <w:rFonts w:ascii="Times New Roman" w:hAnsi="Times New Roman" w:cs="Times New Roman" w:eastAsia="Times New Roman" w:hint="default"/>
        </w:rPr>
        <w:t>1</w:t>
      </w:r>
      <w:r>
        <w:rPr/>
        <w:t>、总体情况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报告期投资额（元）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0" w:right="0"/>
              <w:jc w:val="left"/>
              <w:rPr>
                <w:rFonts w:ascii="宋体" w:hAnsi="宋体" w:cs="宋体" w:eastAsia="宋体" w:hint="default"/>
                <w:sz w:val="18"/>
                <w:szCs w:val="18"/>
              </w:rPr>
            </w:pPr>
            <w:r>
              <w:rPr>
                <w:rFonts w:ascii="宋体" w:hAnsi="宋体" w:cs="宋体" w:eastAsia="宋体" w:hint="default"/>
                <w:sz w:val="18"/>
                <w:szCs w:val="18"/>
              </w:rPr>
              <w:t>上年同期投资额（元）</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变动幅度</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36,626,000.00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91,124,000.00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-59.81%</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报告期内获取的重大的股权投资情况" w:id="46"/>
      <w:bookmarkEnd w:id="46"/>
      <w:r>
        <w:rPr>
          <w:b w:val="0"/>
          <w:bCs w:val="0"/>
        </w:rPr>
      </w:r>
      <w:r>
        <w:rPr>
          <w:rFonts w:ascii="Times New Roman" w:hAnsi="Times New Roman" w:cs="Times New Roman" w:eastAsia="Times New Roman" w:hint="default"/>
        </w:rPr>
        <w:t>2</w:t>
      </w:r>
      <w:r>
        <w:rPr/>
        <w:t>、报告期内获取的重大的股权投资情况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3"/>
        <w:ind w:left="5856" w:right="1130"/>
        <w:jc w:val="right"/>
      </w:pPr>
      <w:r>
        <w:rPr/>
        <w:t>单位：元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134"/>
        <w:gridCol w:w="851"/>
        <w:gridCol w:w="425"/>
        <w:gridCol w:w="1134"/>
        <w:gridCol w:w="710"/>
        <w:gridCol w:w="425"/>
        <w:gridCol w:w="916"/>
        <w:gridCol w:w="503"/>
        <w:gridCol w:w="444"/>
        <w:gridCol w:w="454"/>
        <w:gridCol w:w="520"/>
        <w:gridCol w:w="425"/>
        <w:gridCol w:w="851"/>
        <w:gridCol w:w="877"/>
      </w:tblGrid>
      <w:tr>
        <w:trPr>
          <w:trHeight w:val="1026"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81" w:right="111" w:hanging="270"/>
              <w:jc w:val="left"/>
              <w:rPr>
                <w:rFonts w:ascii="宋体" w:hAnsi="宋体" w:cs="宋体" w:eastAsia="宋体" w:hint="default"/>
                <w:sz w:val="18"/>
                <w:szCs w:val="18"/>
              </w:rPr>
            </w:pPr>
            <w:r>
              <w:rPr>
                <w:rFonts w:ascii="宋体" w:hAnsi="宋体" w:cs="宋体" w:eastAsia="宋体" w:hint="default"/>
                <w:sz w:val="18"/>
                <w:szCs w:val="18"/>
              </w:rPr>
              <w:t>被投资公司 名称</w:t>
            </w:r>
          </w:p>
        </w:tc>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主要业务</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6" w:right="26"/>
              <w:jc w:val="left"/>
              <w:rPr>
                <w:rFonts w:ascii="宋体" w:hAnsi="宋体" w:cs="宋体" w:eastAsia="宋体" w:hint="default"/>
                <w:sz w:val="18"/>
                <w:szCs w:val="18"/>
              </w:rPr>
            </w:pPr>
            <w:r>
              <w:rPr>
                <w:rFonts w:ascii="宋体" w:hAnsi="宋体" w:cs="宋体" w:eastAsia="宋体" w:hint="default"/>
                <w:sz w:val="18"/>
                <w:szCs w:val="18"/>
              </w:rPr>
              <w:t>投资 方式</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02" w:right="0"/>
              <w:jc w:val="left"/>
              <w:rPr>
                <w:rFonts w:ascii="宋体" w:hAnsi="宋体" w:cs="宋体" w:eastAsia="宋体" w:hint="default"/>
                <w:sz w:val="18"/>
                <w:szCs w:val="18"/>
              </w:rPr>
            </w:pPr>
            <w:r>
              <w:rPr>
                <w:rFonts w:ascii="宋体" w:hAnsi="宋体" w:cs="宋体" w:eastAsia="宋体" w:hint="default"/>
                <w:sz w:val="18"/>
                <w:szCs w:val="18"/>
              </w:rPr>
              <w:t>投资金额</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60" w:right="77" w:hanging="181"/>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6" w:right="26"/>
              <w:jc w:val="left"/>
              <w:rPr>
                <w:rFonts w:ascii="宋体" w:hAnsi="宋体" w:cs="宋体" w:eastAsia="宋体" w:hint="default"/>
                <w:sz w:val="18"/>
                <w:szCs w:val="18"/>
              </w:rPr>
            </w:pPr>
            <w:r>
              <w:rPr>
                <w:rFonts w:ascii="宋体" w:hAnsi="宋体" w:cs="宋体" w:eastAsia="宋体" w:hint="default"/>
                <w:sz w:val="18"/>
                <w:szCs w:val="18"/>
              </w:rPr>
              <w:t>资金 来源</w:t>
            </w:r>
          </w:p>
        </w:tc>
        <w:tc>
          <w:tcPr>
            <w:tcW w:w="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83" w:right="0"/>
              <w:jc w:val="left"/>
              <w:rPr>
                <w:rFonts w:ascii="宋体" w:hAnsi="宋体" w:cs="宋体" w:eastAsia="宋体" w:hint="default"/>
                <w:sz w:val="18"/>
                <w:szCs w:val="18"/>
              </w:rPr>
            </w:pPr>
            <w:r>
              <w:rPr>
                <w:rFonts w:ascii="宋体" w:hAnsi="宋体" w:cs="宋体" w:eastAsia="宋体" w:hint="default"/>
                <w:sz w:val="18"/>
                <w:szCs w:val="18"/>
              </w:rPr>
              <w:t>合作方</w:t>
            </w:r>
          </w:p>
        </w:tc>
        <w:tc>
          <w:tcPr>
            <w:tcW w:w="5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66" w:right="65"/>
              <w:jc w:val="left"/>
              <w:rPr>
                <w:rFonts w:ascii="宋体" w:hAnsi="宋体" w:cs="宋体" w:eastAsia="宋体" w:hint="default"/>
                <w:sz w:val="18"/>
                <w:szCs w:val="18"/>
              </w:rPr>
            </w:pPr>
            <w:r>
              <w:rPr>
                <w:rFonts w:ascii="宋体" w:hAnsi="宋体" w:cs="宋体" w:eastAsia="宋体" w:hint="default"/>
                <w:sz w:val="18"/>
                <w:szCs w:val="18"/>
              </w:rPr>
              <w:t>投资 期限</w:t>
            </w:r>
          </w:p>
        </w:tc>
        <w:tc>
          <w:tcPr>
            <w:tcW w:w="4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5" w:right="36"/>
              <w:jc w:val="left"/>
              <w:rPr>
                <w:rFonts w:ascii="宋体" w:hAnsi="宋体" w:cs="宋体" w:eastAsia="宋体" w:hint="default"/>
                <w:sz w:val="18"/>
                <w:szCs w:val="18"/>
              </w:rPr>
            </w:pPr>
            <w:r>
              <w:rPr>
                <w:rFonts w:ascii="宋体" w:hAnsi="宋体" w:cs="宋体" w:eastAsia="宋体" w:hint="default"/>
                <w:sz w:val="18"/>
                <w:szCs w:val="18"/>
              </w:rPr>
              <w:t>产品 类型</w:t>
            </w:r>
          </w:p>
        </w:tc>
        <w:tc>
          <w:tcPr>
            <w:tcW w:w="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42" w:right="40"/>
              <w:jc w:val="left"/>
              <w:rPr>
                <w:rFonts w:ascii="宋体" w:hAnsi="宋体" w:cs="宋体" w:eastAsia="宋体" w:hint="default"/>
                <w:sz w:val="18"/>
                <w:szCs w:val="18"/>
              </w:rPr>
            </w:pPr>
            <w:r>
              <w:rPr>
                <w:rFonts w:ascii="宋体" w:hAnsi="宋体" w:cs="宋体" w:eastAsia="宋体" w:hint="default"/>
                <w:sz w:val="18"/>
                <w:szCs w:val="18"/>
              </w:rPr>
              <w:t>预计 收益</w:t>
            </w:r>
          </w:p>
        </w:tc>
        <w:tc>
          <w:tcPr>
            <w:tcW w:w="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75" w:right="72"/>
              <w:jc w:val="both"/>
              <w:rPr>
                <w:rFonts w:ascii="宋体" w:hAnsi="宋体" w:cs="宋体" w:eastAsia="宋体" w:hint="default"/>
                <w:sz w:val="18"/>
                <w:szCs w:val="18"/>
              </w:rPr>
            </w:pPr>
            <w:r>
              <w:rPr>
                <w:rFonts w:ascii="宋体" w:hAnsi="宋体" w:cs="宋体" w:eastAsia="宋体" w:hint="default"/>
                <w:sz w:val="18"/>
                <w:szCs w:val="18"/>
              </w:rPr>
              <w:t>本期 投资 盈亏</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6" w:right="26"/>
              <w:jc w:val="left"/>
              <w:rPr>
                <w:rFonts w:ascii="宋体" w:hAnsi="宋体" w:cs="宋体" w:eastAsia="宋体" w:hint="default"/>
                <w:sz w:val="18"/>
                <w:szCs w:val="18"/>
              </w:rPr>
            </w:pPr>
            <w:r>
              <w:rPr>
                <w:rFonts w:ascii="宋体" w:hAnsi="宋体" w:cs="宋体" w:eastAsia="宋体" w:hint="default"/>
                <w:sz w:val="18"/>
                <w:szCs w:val="18"/>
              </w:rPr>
              <w:t>是否 涉诉</w:t>
            </w:r>
          </w:p>
        </w:tc>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披露日期</w:t>
            </w:r>
          </w:p>
          <w:p>
            <w:pPr>
              <w:pStyle w:val="TableParagraph"/>
              <w:spacing w:line="240" w:lineRule="auto" w:before="77"/>
              <w:ind w:left="59" w:right="0"/>
              <w:jc w:val="left"/>
              <w:rPr>
                <w:rFonts w:ascii="宋体" w:hAnsi="宋体" w:cs="宋体" w:eastAsia="宋体" w:hint="default"/>
                <w:sz w:val="18"/>
                <w:szCs w:val="18"/>
              </w:rPr>
            </w:pPr>
            <w:r>
              <w:rPr>
                <w:rFonts w:ascii="宋体" w:hAnsi="宋体" w:cs="宋体" w:eastAsia="宋体" w:hint="default"/>
                <w:sz w:val="18"/>
                <w:szCs w:val="18"/>
              </w:rPr>
              <w:t>（如有）</w:t>
            </w:r>
          </w:p>
        </w:tc>
        <w:tc>
          <w:tcPr>
            <w:tcW w:w="8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3" w:right="0"/>
              <w:jc w:val="left"/>
              <w:rPr>
                <w:rFonts w:ascii="宋体" w:hAnsi="宋体" w:cs="宋体" w:eastAsia="宋体" w:hint="default"/>
                <w:sz w:val="18"/>
                <w:szCs w:val="18"/>
              </w:rPr>
            </w:pPr>
            <w:r>
              <w:rPr>
                <w:rFonts w:ascii="宋体" w:hAnsi="宋体" w:cs="宋体" w:eastAsia="宋体" w:hint="default"/>
                <w:sz w:val="18"/>
                <w:szCs w:val="18"/>
              </w:rPr>
              <w:t>披露索引</w:t>
            </w:r>
          </w:p>
          <w:p>
            <w:pPr>
              <w:pStyle w:val="TableParagraph"/>
              <w:spacing w:line="240" w:lineRule="auto" w:before="77"/>
              <w:ind w:left="73" w:right="0"/>
              <w:jc w:val="left"/>
              <w:rPr>
                <w:rFonts w:ascii="宋体" w:hAnsi="宋体" w:cs="宋体" w:eastAsia="宋体" w:hint="default"/>
                <w:sz w:val="18"/>
                <w:szCs w:val="18"/>
              </w:rPr>
            </w:pPr>
            <w:r>
              <w:rPr>
                <w:rFonts w:ascii="宋体" w:hAnsi="宋体" w:cs="宋体" w:eastAsia="宋体" w:hint="default"/>
                <w:sz w:val="18"/>
                <w:szCs w:val="18"/>
              </w:rPr>
              <w:t>（如有）</w:t>
            </w:r>
          </w:p>
        </w:tc>
      </w:tr>
      <w:tr>
        <w:trPr>
          <w:trHeight w:val="2274" w:hRule="exact"/>
        </w:trPr>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9" w:lineRule="auto"/>
              <w:ind w:left="22" w:right="201"/>
              <w:jc w:val="both"/>
              <w:rPr>
                <w:rFonts w:ascii="宋体" w:hAnsi="宋体" w:cs="宋体" w:eastAsia="宋体" w:hint="default"/>
                <w:sz w:val="18"/>
                <w:szCs w:val="18"/>
              </w:rPr>
            </w:pPr>
            <w:r>
              <w:rPr>
                <w:rFonts w:ascii="宋体" w:hAnsi="宋体" w:cs="宋体" w:eastAsia="宋体" w:hint="default"/>
                <w:sz w:val="18"/>
                <w:szCs w:val="18"/>
              </w:rPr>
              <w:t>香港乐乐高 支付技术有 限公司</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96"/>
              <w:jc w:val="both"/>
              <w:rPr>
                <w:rFonts w:ascii="宋体" w:hAnsi="宋体" w:cs="宋体" w:eastAsia="宋体" w:hint="default"/>
                <w:sz w:val="18"/>
                <w:szCs w:val="18"/>
              </w:rPr>
            </w:pPr>
            <w:r>
              <w:rPr>
                <w:rFonts w:ascii="宋体" w:hAnsi="宋体" w:cs="宋体" w:eastAsia="宋体" w:hint="default"/>
                <w:sz w:val="18"/>
                <w:szCs w:val="18"/>
              </w:rPr>
              <w:t>电子支付 应用相关 软硬件产 品、整体 解决方案 的开发及 服务</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新设</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6,380,000.00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100.00%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4"/>
              <w:ind w:left="22" w:right="30"/>
              <w:jc w:val="left"/>
              <w:rPr>
                <w:rFonts w:ascii="宋体" w:hAnsi="宋体" w:cs="宋体" w:eastAsia="宋体" w:hint="default"/>
                <w:sz w:val="18"/>
                <w:szCs w:val="18"/>
              </w:rPr>
            </w:pPr>
            <w:r>
              <w:rPr>
                <w:rFonts w:ascii="宋体" w:hAnsi="宋体" w:cs="宋体" w:eastAsia="宋体" w:hint="default"/>
                <w:sz w:val="18"/>
                <w:szCs w:val="18"/>
              </w:rPr>
              <w:t>自有 资金</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无</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85"/>
              <w:jc w:val="center"/>
              <w:rPr>
                <w:rFonts w:ascii="宋体" w:hAnsi="宋体" w:cs="宋体" w:eastAsia="宋体" w:hint="default"/>
                <w:sz w:val="18"/>
                <w:szCs w:val="18"/>
              </w:rPr>
            </w:pPr>
            <w:r>
              <w:rPr>
                <w:rFonts w:ascii="宋体" w:hAnsi="宋体" w:cs="宋体" w:eastAsia="宋体" w:hint="default"/>
                <w:sz w:val="18"/>
                <w:szCs w:val="18"/>
              </w:rPr>
              <w:t>长期</w:t>
            </w:r>
          </w:p>
        </w:tc>
        <w:tc>
          <w:tcPr>
            <w:tcW w:w="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2" w:right="49"/>
              <w:jc w:val="left"/>
              <w:rPr>
                <w:rFonts w:ascii="宋体" w:hAnsi="宋体" w:cs="宋体" w:eastAsia="宋体" w:hint="default"/>
                <w:sz w:val="18"/>
                <w:szCs w:val="18"/>
              </w:rPr>
            </w:pPr>
            <w:r>
              <w:rPr>
                <w:rFonts w:ascii="宋体" w:hAnsi="宋体" w:cs="宋体" w:eastAsia="宋体" w:hint="default"/>
                <w:sz w:val="18"/>
                <w:szCs w:val="18"/>
              </w:rPr>
              <w:t>软 件、 硬件 销售</w:t>
            </w:r>
          </w:p>
        </w:tc>
        <w:tc>
          <w:tcPr>
            <w:tcW w:w="454" w:type="dxa"/>
            <w:tcBorders>
              <w:top w:val="single" w:sz="4" w:space="0" w:color="000000"/>
              <w:left w:val="single" w:sz="4" w:space="0" w:color="000000"/>
              <w:bottom w:val="single" w:sz="4" w:space="0" w:color="000000"/>
              <w:right w:val="single" w:sz="4" w:space="0" w:color="000000"/>
            </w:tcBorders>
          </w:tcPr>
          <w:p>
            <w:pP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10"/>
              <w:jc w:val="right"/>
              <w:rPr>
                <w:rFonts w:ascii="宋体" w:hAnsi="宋体" w:cs="宋体" w:eastAsia="宋体" w:hint="default"/>
                <w:sz w:val="18"/>
                <w:szCs w:val="18"/>
              </w:rPr>
            </w:pPr>
            <w:r>
              <w:rPr>
                <w:rFonts w:ascii="宋体" w:hAnsi="宋体" w:cs="宋体" w:eastAsia="宋体" w:hint="default"/>
                <w:sz w:val="18"/>
                <w:szCs w:val="18"/>
              </w:rPr>
              <w:t>否</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4"/>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05</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2" w:right="23"/>
              <w:jc w:val="left"/>
              <w:rPr>
                <w:rFonts w:ascii="宋体" w:hAnsi="宋体" w:cs="宋体" w:eastAsia="宋体" w:hint="default"/>
                <w:sz w:val="18"/>
                <w:szCs w:val="18"/>
              </w:rPr>
            </w:pPr>
            <w:r>
              <w:rPr>
                <w:rFonts w:ascii="宋体" w:hAnsi="宋体" w:cs="宋体" w:eastAsia="宋体" w:hint="default"/>
                <w:sz w:val="18"/>
                <w:szCs w:val="18"/>
              </w:rPr>
              <w:t>巨潮资讯 </w:t>
            </w:r>
            <w:r>
              <w:rPr>
                <w:rFonts w:ascii="宋体" w:hAnsi="宋体" w:cs="宋体" w:eastAsia="宋体" w:hint="default"/>
                <w:spacing w:val="-16"/>
                <w:sz w:val="18"/>
                <w:szCs w:val="18"/>
              </w:rPr>
              <w:t>网，公告编</w:t>
            </w:r>
            <w:r>
              <w:rPr>
                <w:rFonts w:ascii="宋体" w:hAnsi="宋体" w:cs="宋体" w:eastAsia="宋体" w:hint="default"/>
                <w:sz w:val="18"/>
                <w:szCs w:val="18"/>
              </w:rPr>
              <w:t> 号：</w:t>
            </w:r>
          </w:p>
          <w:p>
            <w:pPr>
              <w:pStyle w:val="TableParagraph"/>
              <w:spacing w:line="240" w:lineRule="auto" w:before="60"/>
              <w:ind w:left="22" w:right="0"/>
              <w:jc w:val="left"/>
              <w:rPr>
                <w:rFonts w:ascii="Times New Roman" w:hAnsi="Times New Roman" w:cs="Times New Roman" w:eastAsia="Times New Roman" w:hint="default"/>
                <w:sz w:val="18"/>
                <w:szCs w:val="18"/>
              </w:rPr>
            </w:pPr>
            <w:r>
              <w:rPr>
                <w:rFonts w:ascii="Times New Roman"/>
                <w:sz w:val="18"/>
              </w:rPr>
              <w:t>2018-043</w:t>
            </w:r>
          </w:p>
        </w:tc>
      </w:tr>
      <w:tr>
        <w:trPr>
          <w:trHeight w:val="1338" w:hRule="exact"/>
        </w:trPr>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01"/>
              <w:jc w:val="both"/>
              <w:rPr>
                <w:rFonts w:ascii="宋体" w:hAnsi="宋体" w:cs="宋体" w:eastAsia="宋体" w:hint="default"/>
                <w:sz w:val="18"/>
                <w:szCs w:val="18"/>
              </w:rPr>
            </w:pPr>
            <w:r>
              <w:rPr>
                <w:rFonts w:ascii="宋体" w:hAnsi="宋体" w:cs="宋体" w:eastAsia="宋体" w:hint="default"/>
                <w:sz w:val="18"/>
                <w:szCs w:val="18"/>
              </w:rPr>
              <w:t>杭州清科优 博讯投资管 理合伙企业</w:t>
            </w:r>
          </w:p>
          <w:p>
            <w:pPr>
              <w:pStyle w:val="TableParagraph"/>
              <w:spacing w:line="240" w:lineRule="auto" w:before="20"/>
              <w:ind w:left="22" w:right="0"/>
              <w:jc w:val="both"/>
              <w:rPr>
                <w:rFonts w:ascii="宋体" w:hAnsi="宋体" w:cs="宋体" w:eastAsia="宋体" w:hint="default"/>
                <w:sz w:val="18"/>
                <w:szCs w:val="18"/>
              </w:rPr>
            </w:pPr>
            <w:r>
              <w:rPr>
                <w:rFonts w:ascii="宋体" w:hAnsi="宋体" w:cs="宋体" w:eastAsia="宋体" w:hint="default"/>
                <w:sz w:val="18"/>
                <w:szCs w:val="18"/>
              </w:rPr>
              <w:t>（有限合伙）</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2" w:right="96"/>
              <w:jc w:val="left"/>
              <w:rPr>
                <w:rFonts w:ascii="宋体" w:hAnsi="宋体" w:cs="宋体" w:eastAsia="宋体" w:hint="default"/>
                <w:sz w:val="18"/>
                <w:szCs w:val="18"/>
              </w:rPr>
            </w:pPr>
            <w:r>
              <w:rPr>
                <w:rFonts w:ascii="宋体" w:hAnsi="宋体" w:cs="宋体" w:eastAsia="宋体" w:hint="default"/>
                <w:sz w:val="18"/>
                <w:szCs w:val="18"/>
              </w:rPr>
              <w:t>投资管 理、股权 投资</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7"/>
              <w:jc w:val="center"/>
              <w:rPr>
                <w:rFonts w:ascii="宋体" w:hAnsi="宋体" w:cs="宋体" w:eastAsia="宋体" w:hint="default"/>
                <w:sz w:val="18"/>
                <w:szCs w:val="18"/>
              </w:rPr>
            </w:pPr>
            <w:r>
              <w:rPr>
                <w:rFonts w:ascii="宋体" w:hAnsi="宋体" w:cs="宋体" w:eastAsia="宋体" w:hint="default"/>
                <w:sz w:val="18"/>
                <w:szCs w:val="18"/>
              </w:rPr>
              <w:t>新设</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60,000,000.00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29.27%</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2" w:right="30"/>
              <w:jc w:val="left"/>
              <w:rPr>
                <w:rFonts w:ascii="宋体" w:hAnsi="宋体" w:cs="宋体" w:eastAsia="宋体" w:hint="default"/>
                <w:sz w:val="18"/>
                <w:szCs w:val="18"/>
              </w:rPr>
            </w:pPr>
            <w:r>
              <w:rPr>
                <w:rFonts w:ascii="宋体" w:hAnsi="宋体" w:cs="宋体" w:eastAsia="宋体" w:hint="default"/>
                <w:sz w:val="18"/>
                <w:szCs w:val="18"/>
              </w:rPr>
              <w:t>自有 资金</w:t>
            </w:r>
          </w:p>
        </w:tc>
        <w:tc>
          <w:tcPr>
            <w:tcW w:w="91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4" w:right="161"/>
              <w:jc w:val="both"/>
              <w:rPr>
                <w:rFonts w:ascii="宋体" w:hAnsi="宋体" w:cs="宋体" w:eastAsia="宋体" w:hint="default"/>
                <w:sz w:val="18"/>
                <w:szCs w:val="18"/>
              </w:rPr>
            </w:pPr>
            <w:r>
              <w:rPr>
                <w:rFonts w:ascii="宋体" w:hAnsi="宋体" w:cs="宋体" w:eastAsia="宋体" w:hint="default"/>
                <w:sz w:val="18"/>
                <w:szCs w:val="18"/>
              </w:rPr>
              <w:t>深圳市博 通思创咨 询有限公 司</w:t>
            </w:r>
          </w:p>
        </w:tc>
        <w:tc>
          <w:tcPr>
            <w:tcW w:w="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85"/>
              <w:jc w:val="center"/>
              <w:rPr>
                <w:rFonts w:ascii="宋体" w:hAnsi="宋体" w:cs="宋体" w:eastAsia="宋体" w:hint="default"/>
                <w:sz w:val="18"/>
                <w:szCs w:val="18"/>
              </w:rPr>
            </w:pPr>
            <w:r>
              <w:rPr>
                <w:rFonts w:ascii="宋体" w:hAnsi="宋体" w:cs="宋体" w:eastAsia="宋体" w:hint="default"/>
                <w:sz w:val="18"/>
                <w:szCs w:val="18"/>
              </w:rPr>
              <w:t>长期</w:t>
            </w:r>
          </w:p>
        </w:tc>
        <w:tc>
          <w:tcPr>
            <w:tcW w:w="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c>
          <w:tcPr>
            <w:tcW w:w="454" w:type="dxa"/>
            <w:tcBorders>
              <w:top w:val="single" w:sz="4" w:space="0" w:color="000000"/>
              <w:left w:val="single" w:sz="4" w:space="0" w:color="000000"/>
              <w:bottom w:val="single" w:sz="4" w:space="0" w:color="000000"/>
              <w:right w:val="single" w:sz="4" w:space="0" w:color="000000"/>
            </w:tcBorders>
          </w:tcPr>
          <w:p>
            <w:pP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10"/>
              <w:jc w:val="right"/>
              <w:rPr>
                <w:rFonts w:ascii="宋体" w:hAnsi="宋体" w:cs="宋体" w:eastAsia="宋体" w:hint="default"/>
                <w:sz w:val="18"/>
                <w:szCs w:val="18"/>
              </w:rPr>
            </w:pPr>
            <w:r>
              <w:rPr>
                <w:rFonts w:ascii="宋体" w:hAnsi="宋体" w:cs="宋体" w:eastAsia="宋体" w:hint="default"/>
                <w:sz w:val="18"/>
                <w:szCs w:val="18"/>
              </w:rPr>
              <w:t>否</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巨潮资讯 </w:t>
            </w:r>
            <w:r>
              <w:rPr>
                <w:rFonts w:ascii="宋体" w:hAnsi="宋体" w:cs="宋体" w:eastAsia="宋体" w:hint="default"/>
                <w:spacing w:val="-16"/>
                <w:sz w:val="18"/>
                <w:szCs w:val="18"/>
              </w:rPr>
              <w:t>网，公告编</w:t>
            </w:r>
            <w:r>
              <w:rPr>
                <w:rFonts w:ascii="宋体" w:hAnsi="宋体" w:cs="宋体" w:eastAsia="宋体" w:hint="default"/>
                <w:sz w:val="18"/>
                <w:szCs w:val="18"/>
              </w:rPr>
              <w:t> 号：</w:t>
            </w:r>
          </w:p>
          <w:p>
            <w:pPr>
              <w:pStyle w:val="TableParagraph"/>
              <w:spacing w:line="240" w:lineRule="auto" w:before="60"/>
              <w:ind w:left="22" w:right="0"/>
              <w:jc w:val="left"/>
              <w:rPr>
                <w:rFonts w:ascii="Times New Roman" w:hAnsi="Times New Roman" w:cs="Times New Roman" w:eastAsia="Times New Roman" w:hint="default"/>
                <w:sz w:val="18"/>
                <w:szCs w:val="18"/>
              </w:rPr>
            </w:pPr>
            <w:r>
              <w:rPr>
                <w:rFonts w:ascii="Times New Roman"/>
                <w:sz w:val="18"/>
              </w:rPr>
              <w:t>2018-048</w:t>
            </w:r>
          </w:p>
        </w:tc>
      </w:tr>
      <w:tr>
        <w:trPr>
          <w:trHeight w:val="402" w:hRule="exact"/>
        </w:trPr>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134" w:type="dxa"/>
            <w:tcBorders>
              <w:top w:val="single" w:sz="4" w:space="0" w:color="000000"/>
              <w:left w:val="single" w:sz="4" w:space="0" w:color="000000"/>
              <w:bottom w:val="single" w:sz="4" w:space="0" w:color="000000"/>
              <w:right w:val="single" w:sz="10" w:space="0" w:color="D2D2D2"/>
            </w:tcBorders>
          </w:tcPr>
          <w:p>
            <w:pPr>
              <w:pStyle w:val="TableParagraph"/>
              <w:spacing w:line="240" w:lineRule="auto" w:before="91"/>
              <w:ind w:right="13"/>
              <w:jc w:val="right"/>
              <w:rPr>
                <w:rFonts w:ascii="Times New Roman" w:hAnsi="Times New Roman" w:cs="Times New Roman" w:eastAsia="Times New Roman" w:hint="default"/>
                <w:sz w:val="18"/>
                <w:szCs w:val="18"/>
              </w:rPr>
            </w:pPr>
            <w:r>
              <w:rPr>
                <w:rFonts w:ascii="Times New Roman"/>
                <w:spacing w:val="-1"/>
                <w:sz w:val="18"/>
              </w:rPr>
              <w:t>66,380,000.00</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5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4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6" w:right="0"/>
              <w:jc w:val="left"/>
              <w:rPr>
                <w:rFonts w:ascii="Times New Roman" w:hAnsi="Times New Roman" w:cs="Times New Roman" w:eastAsia="Times New Roman" w:hint="default"/>
                <w:sz w:val="18"/>
                <w:szCs w:val="18"/>
              </w:rPr>
            </w:pPr>
            <w:r>
              <w:rPr>
                <w:rFonts w:ascii="Times New Roman"/>
                <w:sz w:val="18"/>
              </w:rPr>
              <w:t>0.00</w:t>
            </w:r>
          </w:p>
        </w:tc>
        <w:tc>
          <w:tcPr>
            <w:tcW w:w="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46"/>
              <w:jc w:val="right"/>
              <w:rPr>
                <w:rFonts w:ascii="Times New Roman" w:hAnsi="Times New Roman" w:cs="Times New Roman" w:eastAsia="Times New Roman" w:hint="default"/>
                <w:sz w:val="18"/>
                <w:szCs w:val="18"/>
              </w:rPr>
            </w:pPr>
            <w:r>
              <w:rPr>
                <w:rFonts w:ascii="Times New Roman"/>
                <w:sz w:val="18"/>
              </w:rPr>
              <w:t>--</w:t>
            </w:r>
          </w:p>
        </w:tc>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3、报告期内正在进行的重大的非股权投资情况" w:id="47"/>
      <w:bookmarkEnd w:id="47"/>
      <w:r>
        <w:rPr>
          <w:b w:val="0"/>
          <w:bCs w:val="0"/>
        </w:rPr>
      </w:r>
      <w:r>
        <w:rPr>
          <w:rFonts w:ascii="Times New Roman" w:hAnsi="Times New Roman" w:cs="Times New Roman" w:eastAsia="Times New Roman" w:hint="default"/>
        </w:rPr>
        <w:t>3</w:t>
      </w:r>
      <w:r>
        <w:rPr/>
        <w:t>、报告期内正在进行的重大的非股权投资情况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1"/>
        <w:rPr>
          <w:rFonts w:ascii="宋体" w:hAnsi="宋体" w:cs="宋体" w:eastAsia="宋体" w:hint="default"/>
          <w:sz w:val="25"/>
          <w:szCs w:val="25"/>
        </w:rPr>
      </w:pPr>
    </w:p>
    <w:p>
      <w:pPr>
        <w:pStyle w:val="Heading3"/>
        <w:spacing w:line="240" w:lineRule="auto"/>
        <w:ind w:right="1134"/>
        <w:jc w:val="left"/>
        <w:rPr>
          <w:b w:val="0"/>
          <w:bCs w:val="0"/>
        </w:rPr>
      </w:pPr>
      <w:bookmarkStart w:name="4、以公允价值计量的金融资产" w:id="48"/>
      <w:bookmarkEnd w:id="48"/>
      <w:r>
        <w:rPr>
          <w:b w:val="0"/>
          <w:bCs w:val="0"/>
        </w:rPr>
      </w:r>
      <w:r>
        <w:rPr>
          <w:rFonts w:ascii="Times New Roman" w:hAnsi="Times New Roman" w:cs="Times New Roman" w:eastAsia="Times New Roman" w:hint="default"/>
        </w:rPr>
        <w:t>4</w:t>
      </w:r>
      <w:r>
        <w:rPr/>
        <w:t>、以公允价值计量的金融资产</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left="5856" w:right="1130"/>
        <w:jc w:val="right"/>
      </w:pPr>
      <w:r>
        <w:rPr/>
        <w:t>单位：元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88"/>
        <w:gridCol w:w="895"/>
        <w:gridCol w:w="1088"/>
        <w:gridCol w:w="1180"/>
        <w:gridCol w:w="1194"/>
        <w:gridCol w:w="955"/>
        <w:gridCol w:w="957"/>
        <w:gridCol w:w="956"/>
        <w:gridCol w:w="955"/>
      </w:tblGrid>
      <w:tr>
        <w:trPr>
          <w:trHeight w:val="1026" w:hRule="exact"/>
        </w:trPr>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27" w:right="0"/>
              <w:jc w:val="left"/>
              <w:rPr>
                <w:rFonts w:ascii="宋体" w:hAnsi="宋体" w:cs="宋体" w:eastAsia="宋体" w:hint="default"/>
                <w:sz w:val="18"/>
                <w:szCs w:val="18"/>
              </w:rPr>
            </w:pPr>
            <w:r>
              <w:rPr>
                <w:rFonts w:ascii="宋体" w:hAnsi="宋体" w:cs="宋体" w:eastAsia="宋体" w:hint="default"/>
                <w:sz w:val="18"/>
                <w:szCs w:val="18"/>
              </w:rPr>
              <w:t>资产类别</w:t>
            </w:r>
          </w:p>
        </w:tc>
        <w:tc>
          <w:tcPr>
            <w:tcW w:w="8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61" w:right="83" w:hanging="180"/>
              <w:jc w:val="left"/>
              <w:rPr>
                <w:rFonts w:ascii="宋体" w:hAnsi="宋体" w:cs="宋体" w:eastAsia="宋体" w:hint="default"/>
                <w:sz w:val="18"/>
                <w:szCs w:val="18"/>
              </w:rPr>
            </w:pPr>
            <w:r>
              <w:rPr>
                <w:rFonts w:ascii="宋体" w:hAnsi="宋体" w:cs="宋体" w:eastAsia="宋体" w:hint="default"/>
                <w:sz w:val="18"/>
                <w:szCs w:val="18"/>
              </w:rPr>
              <w:t>初始投资 成本</w:t>
            </w:r>
          </w:p>
        </w:tc>
        <w:tc>
          <w:tcPr>
            <w:tcW w:w="10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88" w:right="89"/>
              <w:jc w:val="left"/>
              <w:rPr>
                <w:rFonts w:ascii="宋体" w:hAnsi="宋体" w:cs="宋体" w:eastAsia="宋体" w:hint="default"/>
                <w:sz w:val="18"/>
                <w:szCs w:val="18"/>
              </w:rPr>
            </w:pPr>
            <w:r>
              <w:rPr>
                <w:rFonts w:ascii="宋体" w:hAnsi="宋体" w:cs="宋体" w:eastAsia="宋体" w:hint="default"/>
                <w:sz w:val="18"/>
                <w:szCs w:val="18"/>
              </w:rPr>
              <w:t>本期公允价 值变动损益</w:t>
            </w:r>
          </w:p>
        </w:tc>
        <w:tc>
          <w:tcPr>
            <w:tcW w:w="1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4" w:right="45"/>
              <w:jc w:val="center"/>
              <w:rPr>
                <w:rFonts w:ascii="宋体" w:hAnsi="宋体" w:cs="宋体" w:eastAsia="宋体" w:hint="default"/>
                <w:sz w:val="18"/>
                <w:szCs w:val="18"/>
              </w:rPr>
            </w:pPr>
            <w:r>
              <w:rPr>
                <w:rFonts w:ascii="宋体" w:hAnsi="宋体" w:cs="宋体" w:eastAsia="宋体" w:hint="default"/>
                <w:sz w:val="18"/>
                <w:szCs w:val="18"/>
              </w:rPr>
              <w:t>计入权益的累 计公允价值变 动</w:t>
            </w:r>
          </w:p>
        </w:tc>
        <w:tc>
          <w:tcPr>
            <w:tcW w:w="1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411" w:right="50" w:hanging="360"/>
              <w:jc w:val="left"/>
              <w:rPr>
                <w:rFonts w:ascii="宋体" w:hAnsi="宋体" w:cs="宋体" w:eastAsia="宋体" w:hint="default"/>
                <w:sz w:val="18"/>
                <w:szCs w:val="18"/>
              </w:rPr>
            </w:pPr>
            <w:r>
              <w:rPr>
                <w:rFonts w:ascii="宋体" w:hAnsi="宋体" w:cs="宋体" w:eastAsia="宋体" w:hint="default"/>
                <w:sz w:val="18"/>
                <w:szCs w:val="18"/>
              </w:rPr>
              <w:t>报告期内购入 金额</w:t>
            </w:r>
          </w:p>
        </w:tc>
        <w:tc>
          <w:tcPr>
            <w:tcW w:w="9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02" w:right="20" w:hanging="180"/>
              <w:jc w:val="left"/>
              <w:rPr>
                <w:rFonts w:ascii="宋体" w:hAnsi="宋体" w:cs="宋体" w:eastAsia="宋体" w:hint="default"/>
                <w:sz w:val="18"/>
                <w:szCs w:val="18"/>
              </w:rPr>
            </w:pPr>
            <w:r>
              <w:rPr>
                <w:rFonts w:ascii="宋体" w:hAnsi="宋体" w:cs="宋体" w:eastAsia="宋体" w:hint="default"/>
                <w:sz w:val="18"/>
                <w:szCs w:val="18"/>
              </w:rPr>
              <w:t>报告期内售 出金额</w:t>
            </w:r>
          </w:p>
        </w:tc>
        <w:tc>
          <w:tcPr>
            <w:tcW w:w="9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384" w:right="21" w:hanging="361"/>
              <w:jc w:val="left"/>
              <w:rPr>
                <w:rFonts w:ascii="宋体" w:hAnsi="宋体" w:cs="宋体" w:eastAsia="宋体" w:hint="default"/>
                <w:sz w:val="18"/>
                <w:szCs w:val="18"/>
              </w:rPr>
            </w:pPr>
            <w:r>
              <w:rPr>
                <w:rFonts w:ascii="宋体" w:hAnsi="宋体" w:cs="宋体" w:eastAsia="宋体" w:hint="default"/>
                <w:sz w:val="18"/>
                <w:szCs w:val="18"/>
              </w:rPr>
              <w:t>累计投资收 益</w:t>
            </w:r>
          </w:p>
        </w:tc>
        <w:tc>
          <w:tcPr>
            <w:tcW w:w="9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12"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9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12" w:right="0"/>
              <w:jc w:val="left"/>
              <w:rPr>
                <w:rFonts w:ascii="宋体" w:hAnsi="宋体" w:cs="宋体" w:eastAsia="宋体" w:hint="default"/>
                <w:sz w:val="18"/>
                <w:szCs w:val="18"/>
              </w:rPr>
            </w:pPr>
            <w:r>
              <w:rPr>
                <w:rFonts w:ascii="宋体" w:hAnsi="宋体" w:cs="宋体" w:eastAsia="宋体" w:hint="default"/>
                <w:sz w:val="18"/>
                <w:szCs w:val="18"/>
              </w:rPr>
              <w:t>资金来源</w:t>
            </w:r>
          </w:p>
        </w:tc>
      </w:tr>
      <w:tr>
        <w:trPr>
          <w:trHeight w:val="71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金融衍生工具</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1" w:right="0"/>
              <w:jc w:val="left"/>
              <w:rPr>
                <w:rFonts w:ascii="Times New Roman" w:hAnsi="Times New Roman" w:cs="Times New Roman" w:eastAsia="Times New Roman" w:hint="default"/>
                <w:sz w:val="18"/>
                <w:szCs w:val="18"/>
              </w:rPr>
            </w:pPr>
            <w:r>
              <w:rPr>
                <w:rFonts w:ascii="Times New Roman"/>
                <w:sz w:val="18"/>
              </w:rPr>
              <w:t>137,167,60</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0.00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1,628,397.10</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137,167,600.00</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1,628,397.1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自有资金</w:t>
            </w:r>
          </w:p>
        </w:tc>
      </w:tr>
      <w:tr>
        <w:trPr>
          <w:trHeight w:val="714"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8" w:right="0"/>
              <w:jc w:val="left"/>
              <w:rPr>
                <w:rFonts w:ascii="Times New Roman" w:hAnsi="Times New Roman" w:cs="Times New Roman" w:eastAsia="Times New Roman" w:hint="default"/>
                <w:sz w:val="18"/>
                <w:szCs w:val="18"/>
              </w:rPr>
            </w:pPr>
            <w:r>
              <w:rPr>
                <w:rFonts w:ascii="Times New Roman"/>
                <w:sz w:val="18"/>
              </w:rPr>
              <w:t>112,200,00</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0.00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1,664,820.06</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1,664,820.0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150"/>
              <w:jc w:val="left"/>
              <w:rPr>
                <w:rFonts w:ascii="宋体" w:hAnsi="宋体" w:cs="宋体" w:eastAsia="宋体" w:hint="default"/>
                <w:sz w:val="18"/>
                <w:szCs w:val="18"/>
              </w:rPr>
            </w:pPr>
            <w:r>
              <w:rPr>
                <w:rFonts w:ascii="宋体" w:hAnsi="宋体" w:cs="宋体" w:eastAsia="宋体" w:hint="default"/>
                <w:sz w:val="18"/>
                <w:szCs w:val="18"/>
              </w:rPr>
              <w:t>自有资金</w:t>
            </w:r>
            <w:r>
              <w:rPr>
                <w:rFonts w:ascii="Times New Roman" w:hAnsi="Times New Roman" w:cs="Times New Roman" w:eastAsia="Times New Roman" w:hint="default"/>
                <w:sz w:val="18"/>
                <w:szCs w:val="18"/>
              </w:rPr>
              <w:t>/ </w:t>
            </w:r>
            <w:r>
              <w:rPr>
                <w:rFonts w:ascii="宋体" w:hAnsi="宋体" w:cs="宋体" w:eastAsia="宋体" w:hint="default"/>
                <w:sz w:val="18"/>
                <w:szCs w:val="18"/>
              </w:rPr>
              <w:t>募集资金</w:t>
            </w:r>
          </w:p>
        </w:tc>
      </w:tr>
      <w:tr>
        <w:trPr>
          <w:trHeight w:val="715" w:hRule="exact"/>
        </w:trPr>
        <w:tc>
          <w:tcPr>
            <w:tcW w:w="1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1" w:right="0"/>
              <w:jc w:val="left"/>
              <w:rPr>
                <w:rFonts w:ascii="Times New Roman" w:hAnsi="Times New Roman" w:cs="Times New Roman" w:eastAsia="Times New Roman" w:hint="default"/>
                <w:sz w:val="18"/>
                <w:szCs w:val="18"/>
              </w:rPr>
            </w:pPr>
            <w:r>
              <w:rPr>
                <w:rFonts w:ascii="Times New Roman"/>
                <w:sz w:val="18"/>
              </w:rPr>
              <w:t>249,367,60</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0.00</w:t>
            </w:r>
          </w:p>
        </w:tc>
        <w:tc>
          <w:tcPr>
            <w:tcW w:w="1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3,293,217.16</w:t>
            </w:r>
          </w:p>
        </w:tc>
        <w:tc>
          <w:tcPr>
            <w:tcW w:w="1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0.00</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137,167,600.00</w:t>
            </w:r>
          </w:p>
        </w:tc>
        <w:tc>
          <w:tcPr>
            <w:tcW w:w="9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9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3,293,217.1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6</w:t>
            </w:r>
          </w:p>
        </w:tc>
        <w:tc>
          <w:tcPr>
            <w:tcW w:w="9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5、募集资金使用情况" w:id="49"/>
      <w:bookmarkEnd w:id="49"/>
      <w:r>
        <w:rPr>
          <w:b w:val="0"/>
          <w:bCs w:val="0"/>
        </w:rPr>
      </w:r>
      <w:r>
        <w:rPr>
          <w:rFonts w:ascii="Times New Roman" w:hAnsi="Times New Roman" w:cs="Times New Roman" w:eastAsia="Times New Roman" w:hint="default"/>
        </w:rPr>
        <w:t>5</w:t>
      </w:r>
      <w:r>
        <w:rPr/>
        <w:t>、募集资金使用情况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right="1134"/>
        <w:jc w:val="left"/>
        <w:rPr>
          <w:b w:val="0"/>
          <w:bCs w:val="0"/>
        </w:rPr>
      </w:pPr>
      <w:bookmarkStart w:name="（1）募集资金总体使用情况" w:id="50"/>
      <w:bookmarkEnd w:id="50"/>
      <w:r>
        <w:rPr>
          <w:b w:val="0"/>
          <w:bCs w:val="0"/>
        </w:rPr>
      </w:r>
      <w:r>
        <w:rPr/>
        <w:t>（</w:t>
      </w:r>
      <w:r>
        <w:rPr>
          <w:rFonts w:ascii="Times New Roman" w:hAnsi="Times New Roman" w:cs="Times New Roman" w:eastAsia="Times New Roman" w:hint="default"/>
        </w:rPr>
        <w:t>1</w:t>
      </w:r>
      <w:r>
        <w:rPr/>
        <w:t>）募集资金总体使用情况</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5856" w:right="1130"/>
        <w:jc w:val="right"/>
      </w:pPr>
      <w:r>
        <w:rPr/>
        <w:t>单位：万元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866"/>
        <w:gridCol w:w="870"/>
        <w:gridCol w:w="870"/>
        <w:gridCol w:w="870"/>
        <w:gridCol w:w="870"/>
        <w:gridCol w:w="869"/>
        <w:gridCol w:w="870"/>
        <w:gridCol w:w="870"/>
        <w:gridCol w:w="870"/>
        <w:gridCol w:w="965"/>
        <w:gridCol w:w="774"/>
      </w:tblGrid>
      <w:tr>
        <w:trPr>
          <w:trHeight w:val="1338"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募集年份</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募集方式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249" w:right="68" w:hanging="180"/>
              <w:jc w:val="left"/>
              <w:rPr>
                <w:rFonts w:ascii="宋体" w:hAnsi="宋体" w:cs="宋体" w:eastAsia="宋体" w:hint="default"/>
                <w:sz w:val="18"/>
                <w:szCs w:val="18"/>
              </w:rPr>
            </w:pPr>
            <w:r>
              <w:rPr>
                <w:rFonts w:ascii="宋体" w:hAnsi="宋体" w:cs="宋体" w:eastAsia="宋体" w:hint="default"/>
                <w:sz w:val="18"/>
                <w:szCs w:val="18"/>
              </w:rPr>
              <w:t>募集资金 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69" w:right="68"/>
              <w:jc w:val="both"/>
              <w:rPr>
                <w:rFonts w:ascii="宋体" w:hAnsi="宋体" w:cs="宋体" w:eastAsia="宋体" w:hint="default"/>
                <w:sz w:val="18"/>
                <w:szCs w:val="18"/>
              </w:rPr>
            </w:pPr>
            <w:r>
              <w:rPr>
                <w:rFonts w:ascii="宋体" w:hAnsi="宋体" w:cs="宋体" w:eastAsia="宋体" w:hint="default"/>
                <w:sz w:val="18"/>
                <w:szCs w:val="18"/>
              </w:rPr>
              <w:t>本期已使 用募集资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69" w:right="69"/>
              <w:jc w:val="both"/>
              <w:rPr>
                <w:rFonts w:ascii="宋体" w:hAnsi="宋体" w:cs="宋体" w:eastAsia="宋体" w:hint="default"/>
                <w:sz w:val="18"/>
                <w:szCs w:val="18"/>
              </w:rPr>
            </w:pPr>
            <w:r>
              <w:rPr>
                <w:rFonts w:ascii="宋体" w:hAnsi="宋体" w:cs="宋体" w:eastAsia="宋体" w:hint="default"/>
                <w:sz w:val="18"/>
                <w:szCs w:val="18"/>
              </w:rPr>
              <w:t>已累计使 用募集资 金总额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68" w:right="68"/>
              <w:jc w:val="both"/>
              <w:rPr>
                <w:rFonts w:ascii="宋体" w:hAnsi="宋体" w:cs="宋体" w:eastAsia="宋体" w:hint="default"/>
                <w:sz w:val="18"/>
                <w:szCs w:val="18"/>
              </w:rPr>
            </w:pPr>
            <w:r>
              <w:rPr>
                <w:rFonts w:ascii="宋体" w:hAnsi="宋体" w:cs="宋体" w:eastAsia="宋体" w:hint="default"/>
                <w:sz w:val="18"/>
                <w:szCs w:val="18"/>
              </w:rPr>
              <w:t>报告期内 变更用途 的募集资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69" w:right="68"/>
              <w:jc w:val="center"/>
              <w:rPr>
                <w:rFonts w:ascii="宋体" w:hAnsi="宋体" w:cs="宋体" w:eastAsia="宋体" w:hint="default"/>
                <w:sz w:val="18"/>
                <w:szCs w:val="18"/>
              </w:rPr>
            </w:pPr>
            <w:r>
              <w:rPr>
                <w:rFonts w:ascii="宋体" w:hAnsi="宋体" w:cs="宋体" w:eastAsia="宋体" w:hint="default"/>
                <w:sz w:val="18"/>
                <w:szCs w:val="18"/>
              </w:rPr>
              <w:t>累计变更 用途的募 集资金总 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69" w:right="68"/>
              <w:jc w:val="both"/>
              <w:rPr>
                <w:rFonts w:ascii="宋体" w:hAnsi="宋体" w:cs="宋体" w:eastAsia="宋体" w:hint="default"/>
                <w:sz w:val="18"/>
                <w:szCs w:val="18"/>
              </w:rPr>
            </w:pPr>
            <w:r>
              <w:rPr>
                <w:rFonts w:ascii="宋体" w:hAnsi="宋体" w:cs="宋体" w:eastAsia="宋体" w:hint="default"/>
                <w:sz w:val="18"/>
                <w:szCs w:val="18"/>
              </w:rPr>
              <w:t>累计变更 用途的募 集资金总 额比例</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69" w:right="68"/>
              <w:jc w:val="center"/>
              <w:rPr>
                <w:rFonts w:ascii="宋体" w:hAnsi="宋体" w:cs="宋体" w:eastAsia="宋体" w:hint="default"/>
                <w:sz w:val="18"/>
                <w:szCs w:val="18"/>
              </w:rPr>
            </w:pPr>
            <w:r>
              <w:rPr>
                <w:rFonts w:ascii="宋体" w:hAnsi="宋体" w:cs="宋体" w:eastAsia="宋体" w:hint="default"/>
                <w:sz w:val="18"/>
                <w:szCs w:val="18"/>
              </w:rPr>
              <w:t>尚未使用 募集资金 总额</w:t>
            </w:r>
          </w:p>
        </w:tc>
        <w:tc>
          <w:tcPr>
            <w:tcW w:w="9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26" w:right="26"/>
              <w:jc w:val="center"/>
              <w:rPr>
                <w:rFonts w:ascii="宋体" w:hAnsi="宋体" w:cs="宋体" w:eastAsia="宋体" w:hint="default"/>
                <w:sz w:val="18"/>
                <w:szCs w:val="18"/>
              </w:rPr>
            </w:pPr>
            <w:r>
              <w:rPr>
                <w:rFonts w:ascii="宋体" w:hAnsi="宋体" w:cs="宋体" w:eastAsia="宋体" w:hint="default"/>
                <w:sz w:val="18"/>
                <w:szCs w:val="18"/>
              </w:rPr>
              <w:t>尚未使用募 集资金用途 及去向</w:t>
            </w:r>
          </w:p>
        </w:tc>
        <w:tc>
          <w:tcPr>
            <w:tcW w:w="7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11" w:right="110"/>
              <w:jc w:val="both"/>
              <w:rPr>
                <w:rFonts w:ascii="宋体" w:hAnsi="宋体" w:cs="宋体" w:eastAsia="宋体" w:hint="default"/>
                <w:sz w:val="18"/>
                <w:szCs w:val="18"/>
              </w:rPr>
            </w:pPr>
            <w:r>
              <w:rPr>
                <w:rFonts w:ascii="宋体" w:hAnsi="宋体" w:cs="宋体" w:eastAsia="宋体" w:hint="default"/>
                <w:sz w:val="18"/>
                <w:szCs w:val="18"/>
              </w:rPr>
              <w:t>闲置两 年以上 募集资 金金额</w:t>
            </w:r>
          </w:p>
        </w:tc>
      </w:tr>
      <w:tr>
        <w:trPr>
          <w:trHeight w:val="1338"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2016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2" w:right="115"/>
              <w:jc w:val="left"/>
              <w:rPr>
                <w:rFonts w:ascii="宋体" w:hAnsi="宋体" w:cs="宋体" w:eastAsia="宋体" w:hint="default"/>
                <w:sz w:val="18"/>
                <w:szCs w:val="18"/>
              </w:rPr>
            </w:pPr>
            <w:r>
              <w:rPr>
                <w:rFonts w:ascii="宋体" w:hAnsi="宋体" w:cs="宋体" w:eastAsia="宋体" w:hint="default"/>
                <w:sz w:val="18"/>
                <w:szCs w:val="18"/>
              </w:rPr>
              <w:t>首次公开 发行股票</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93" w:right="0"/>
              <w:jc w:val="center"/>
              <w:rPr>
                <w:rFonts w:ascii="Times New Roman" w:hAnsi="Times New Roman" w:cs="Times New Roman" w:eastAsia="Times New Roman" w:hint="default"/>
                <w:sz w:val="18"/>
                <w:szCs w:val="18"/>
              </w:rPr>
            </w:pPr>
            <w:r>
              <w:rPr>
                <w:rFonts w:ascii="Times New Roman"/>
                <w:sz w:val="18"/>
              </w:rPr>
              <w:t>22,447.12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3,692.66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20,720.7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6,200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27.62%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2,204.7</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30"/>
              <w:jc w:val="both"/>
              <w:rPr>
                <w:rFonts w:ascii="宋体" w:hAnsi="宋体" w:cs="宋体" w:eastAsia="宋体" w:hint="default"/>
                <w:sz w:val="18"/>
                <w:szCs w:val="18"/>
              </w:rPr>
            </w:pPr>
            <w:r>
              <w:rPr>
                <w:rFonts w:ascii="宋体" w:hAnsi="宋体" w:cs="宋体" w:eastAsia="宋体" w:hint="default"/>
                <w:sz w:val="18"/>
                <w:szCs w:val="18"/>
              </w:rPr>
              <w:t>存放于募集 资金专用账 户和理财专 用账户中</w:t>
            </w:r>
          </w:p>
        </w:tc>
        <w:tc>
          <w:tcPr>
            <w:tcW w:w="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87" w:right="0"/>
              <w:jc w:val="center"/>
              <w:rPr>
                <w:rFonts w:ascii="Times New Roman" w:hAnsi="Times New Roman" w:cs="Times New Roman" w:eastAsia="Times New Roman" w:hint="default"/>
                <w:sz w:val="18"/>
                <w:szCs w:val="18"/>
              </w:rPr>
            </w:pPr>
            <w:r>
              <w:rPr>
                <w:rFonts w:ascii="Times New Roman"/>
                <w:sz w:val="18"/>
              </w:rPr>
              <w:t>1,934.22</w:t>
            </w:r>
          </w:p>
        </w:tc>
      </w:tr>
      <w:tr>
        <w:trPr>
          <w:trHeight w:val="403"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81" w:right="0"/>
              <w:jc w:val="center"/>
              <w:rPr>
                <w:rFonts w:ascii="Times New Roman" w:hAnsi="Times New Roman" w:cs="Times New Roman" w:eastAsia="Times New Roman" w:hint="default"/>
                <w:sz w:val="18"/>
                <w:szCs w:val="18"/>
              </w:rPr>
            </w:pPr>
            <w:r>
              <w:rPr>
                <w:rFonts w:ascii="Times New Roman"/>
                <w:sz w:val="18"/>
              </w:rPr>
              <w:t>22,447.12</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3,692.66</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20,720.7</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6,200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27.62%</w:t>
            </w:r>
          </w:p>
        </w:tc>
        <w:tc>
          <w:tcPr>
            <w:tcW w:w="870"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2"/>
              <w:ind w:right="9"/>
              <w:jc w:val="right"/>
              <w:rPr>
                <w:rFonts w:ascii="Times New Roman" w:hAnsi="Times New Roman" w:cs="Times New Roman" w:eastAsia="Times New Roman" w:hint="default"/>
                <w:sz w:val="18"/>
                <w:szCs w:val="18"/>
              </w:rPr>
            </w:pPr>
            <w:r>
              <w:rPr>
                <w:rFonts w:ascii="Times New Roman"/>
                <w:sz w:val="18"/>
              </w:rPr>
              <w:t>2,204.7</w:t>
            </w:r>
          </w:p>
        </w:tc>
        <w:tc>
          <w:tcPr>
            <w:tcW w:w="9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77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75" w:right="0"/>
              <w:jc w:val="center"/>
              <w:rPr>
                <w:rFonts w:ascii="Times New Roman" w:hAnsi="Times New Roman" w:cs="Times New Roman" w:eastAsia="Times New Roman" w:hint="default"/>
                <w:sz w:val="18"/>
                <w:szCs w:val="18"/>
              </w:rPr>
            </w:pPr>
            <w:r>
              <w:rPr>
                <w:rFonts w:ascii="Times New Roman"/>
                <w:sz w:val="18"/>
              </w:rPr>
              <w:t>1,934.22</w:t>
            </w:r>
          </w:p>
        </w:tc>
      </w:tr>
      <w:tr>
        <w:trPr>
          <w:trHeight w:val="401" w:hRule="exact"/>
        </w:trPr>
        <w:tc>
          <w:tcPr>
            <w:tcW w:w="9564"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2900" w:hRule="exact"/>
        </w:trPr>
        <w:tc>
          <w:tcPr>
            <w:tcW w:w="9564" w:type="dxa"/>
            <w:gridSpan w:val="11"/>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28" w:firstLine="360"/>
              <w:jc w:val="left"/>
              <w:rPr>
                <w:rFonts w:ascii="宋体" w:hAnsi="宋体" w:cs="宋体" w:eastAsia="宋体" w:hint="default"/>
                <w:sz w:val="18"/>
                <w:szCs w:val="18"/>
              </w:rPr>
            </w:pPr>
            <w:r>
              <w:rPr>
                <w:rFonts w:ascii="宋体" w:hAnsi="宋体" w:cs="宋体" w:eastAsia="宋体" w:hint="default"/>
                <w:sz w:val="18"/>
                <w:szCs w:val="18"/>
              </w:rPr>
              <w:t>深圳市优博讯科技股份有限公司（以下简称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优博讯</w:t>
            </w:r>
            <w:r>
              <w:rPr>
                <w:rFonts w:ascii="Times New Roman" w:hAnsi="Times New Roman" w:cs="Times New Roman" w:eastAsia="Times New Roman" w:hint="default"/>
                <w:sz w:val="18"/>
                <w:szCs w:val="18"/>
              </w:rPr>
              <w:t>”</w:t>
            </w:r>
            <w:r>
              <w:rPr>
                <w:rFonts w:ascii="宋体" w:hAnsi="宋体" w:cs="宋体" w:eastAsia="宋体" w:hint="default"/>
                <w:sz w:val="18"/>
                <w:szCs w:val="18"/>
              </w:rPr>
              <w:t>或</w:t>
            </w:r>
            <w:r>
              <w:rPr>
                <w:rFonts w:ascii="Times New Roman" w:hAnsi="Times New Roman" w:cs="Times New Roman" w:eastAsia="Times New Roman" w:hint="default"/>
                <w:sz w:val="18"/>
                <w:szCs w:val="18"/>
              </w:rPr>
              <w:t>“</w:t>
            </w:r>
            <w:r>
              <w:rPr>
                <w:rFonts w:ascii="宋体" w:hAnsi="宋体" w:cs="宋体" w:eastAsia="宋体" w:hint="default"/>
                <w:sz w:val="18"/>
                <w:szCs w:val="18"/>
              </w:rPr>
              <w:t>公司</w:t>
            </w:r>
            <w:r>
              <w:rPr>
                <w:rFonts w:ascii="Times New Roman" w:hAnsi="Times New Roman" w:cs="Times New Roman" w:eastAsia="Times New Roman" w:hint="default"/>
                <w:sz w:val="18"/>
                <w:szCs w:val="18"/>
              </w:rPr>
              <w:t>”</w:t>
            </w:r>
            <w:r>
              <w:rPr>
                <w:rFonts w:ascii="宋体" w:hAnsi="宋体" w:cs="宋体" w:eastAsia="宋体" w:hint="default"/>
                <w:sz w:val="18"/>
                <w:szCs w:val="18"/>
              </w:rPr>
              <w:t>）经中国证券监督管理委员会《关于核准深圳市优博讯 </w:t>
            </w:r>
            <w:r>
              <w:rPr>
                <w:rFonts w:ascii="宋体" w:hAnsi="宋体" w:cs="宋体" w:eastAsia="宋体" w:hint="default"/>
                <w:spacing w:val="-3"/>
                <w:sz w:val="18"/>
                <w:szCs w:val="18"/>
              </w:rPr>
              <w:t>科技股份有限公司首次公开发行股票的批复》（证监许可</w:t>
            </w:r>
            <w:r>
              <w:rPr>
                <w:rFonts w:ascii="Times New Roman" w:hAnsi="Times New Roman" w:cs="Times New Roman" w:eastAsia="Times New Roman" w:hint="default"/>
                <w:spacing w:val="-3"/>
                <w:sz w:val="18"/>
                <w:szCs w:val="18"/>
              </w:rPr>
              <w:t>[2016]1637</w:t>
            </w:r>
            <w:r>
              <w:rPr>
                <w:rFonts w:ascii="Times New Roman" w:hAnsi="Times New Roman" w:cs="Times New Roman" w:eastAsia="Times New Roman" w:hint="default"/>
                <w:sz w:val="18"/>
                <w:szCs w:val="18"/>
              </w:rPr>
              <w:t> </w:t>
            </w:r>
            <w:r>
              <w:rPr>
                <w:rFonts w:ascii="宋体" w:hAnsi="宋体" w:cs="宋体" w:eastAsia="宋体" w:hint="default"/>
                <w:w w:val="99"/>
                <w:sz w:val="18"/>
                <w:szCs w:val="18"/>
              </w:rPr>
              <w:t>号文）核准，向社会公开发行人民币普通股（</w:t>
            </w:r>
            <w:r>
              <w:rPr>
                <w:rFonts w:ascii="Times New Roman" w:hAnsi="Times New Roman" w:cs="Times New Roman" w:eastAsia="Times New Roman" w:hint="default"/>
                <w:w w:val="99"/>
                <w:sz w:val="18"/>
                <w:szCs w:val="18"/>
              </w:rPr>
              <w:t>A </w:t>
            </w:r>
            <w:r>
              <w:rPr>
                <w:rFonts w:ascii="宋体" w:hAnsi="宋体" w:cs="宋体" w:eastAsia="宋体" w:hint="default"/>
                <w:sz w:val="18"/>
                <w:szCs w:val="18"/>
              </w:rPr>
              <w:t>股）</w:t>
            </w:r>
            <w:r>
              <w:rPr>
                <w:rFonts w:ascii="宋体" w:hAnsi="宋体" w:cs="宋体" w:eastAsia="宋体" w:hint="default"/>
                <w:spacing w:val="-78"/>
                <w:sz w:val="18"/>
                <w:szCs w:val="18"/>
              </w:rPr>
              <w:t> </w:t>
            </w:r>
            <w:r>
              <w:rPr>
                <w:rFonts w:ascii="Times New Roman" w:hAnsi="Times New Roman" w:cs="Times New Roman" w:eastAsia="Times New Roman" w:hint="default"/>
                <w:sz w:val="18"/>
                <w:szCs w:val="18"/>
              </w:rPr>
              <w:t>2,000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万股，募集资金总额人民币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267,200,000.00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元，扣除发行费用人民币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42,728,800.00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元，实际募集资金净额为人民币</w:t>
            </w:r>
          </w:p>
          <w:p>
            <w:pPr>
              <w:pStyle w:val="TableParagraph"/>
              <w:spacing w:line="240" w:lineRule="auto" w:before="1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224,471,200.00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元。以上募集资金已经大华会计师事务所（特殊普通合伙）审验，并于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日出具了大华验字</w:t>
            </w:r>
          </w:p>
          <w:p>
            <w:pPr>
              <w:pStyle w:val="TableParagraph"/>
              <w:spacing w:line="240" w:lineRule="auto" w:before="63"/>
              <w:ind w:left="22" w:right="0"/>
              <w:jc w:val="left"/>
              <w:rPr>
                <w:rFonts w:ascii="宋体" w:hAnsi="宋体" w:cs="宋体" w:eastAsia="宋体" w:hint="default"/>
                <w:sz w:val="18"/>
                <w:szCs w:val="18"/>
              </w:rPr>
            </w:pPr>
            <w:r>
              <w:rPr>
                <w:rFonts w:ascii="Times New Roman" w:hAnsi="Times New Roman" w:cs="Times New Roman" w:eastAsia="Times New Roman" w:hint="default"/>
                <w:w w:val="99"/>
                <w:sz w:val="18"/>
                <w:szCs w:val="18"/>
              </w:rPr>
              <w:t>[2016</w:t>
            </w:r>
            <w:r>
              <w:rPr>
                <w:rFonts w:ascii="Times New Roman" w:hAnsi="Times New Roman" w:cs="Times New Roman" w:eastAsia="Times New Roman" w:hint="default"/>
                <w:spacing w:val="-2"/>
                <w:w w:val="99"/>
                <w:sz w:val="18"/>
                <w:szCs w:val="18"/>
              </w:rPr>
              <w:t>]</w:t>
            </w:r>
            <w:r>
              <w:rPr>
                <w:rFonts w:ascii="Times New Roman" w:hAnsi="Times New Roman" w:cs="Times New Roman" w:eastAsia="Times New Roman" w:hint="default"/>
                <w:w w:val="99"/>
                <w:sz w:val="18"/>
                <w:szCs w:val="18"/>
              </w:rPr>
              <w:t>000778</w:t>
            </w:r>
            <w:r>
              <w:rPr>
                <w:rFonts w:ascii="Times New Roman" w:hAnsi="Times New Roman" w:cs="Times New Roman" w:eastAsia="Times New Roman" w:hint="default"/>
                <w:spacing w:val="1"/>
                <w:w w:val="99"/>
                <w:sz w:val="18"/>
                <w:szCs w:val="18"/>
              </w:rPr>
              <w:t> </w:t>
            </w:r>
            <w:r>
              <w:rPr>
                <w:rFonts w:ascii="宋体" w:hAnsi="宋体" w:cs="宋体" w:eastAsia="宋体" w:hint="default"/>
                <w:w w:val="99"/>
                <w:sz w:val="18"/>
                <w:szCs w:val="18"/>
              </w:rPr>
              <w:t>号《验资报告</w:t>
            </w:r>
            <w:r>
              <w:rPr>
                <w:rFonts w:ascii="宋体" w:hAnsi="宋体" w:cs="宋体" w:eastAsia="宋体" w:hint="default"/>
                <w:spacing w:val="-90"/>
                <w:w w:val="99"/>
                <w:sz w:val="18"/>
                <w:szCs w:val="18"/>
              </w:rPr>
              <w:t>》</w:t>
            </w:r>
            <w:r>
              <w:rPr>
                <w:rFonts w:ascii="宋体" w:hAnsi="宋体" w:cs="宋体" w:eastAsia="宋体" w:hint="default"/>
                <w:w w:val="99"/>
                <w:sz w:val="18"/>
                <w:szCs w:val="18"/>
              </w:rPr>
              <w:t>。截止</w:t>
            </w:r>
            <w:r>
              <w:rPr>
                <w:rFonts w:ascii="宋体" w:hAnsi="宋体" w:cs="宋体" w:eastAsia="宋体" w:hint="default"/>
                <w:spacing w:val="-46"/>
                <w:w w:val="99"/>
                <w:sz w:val="18"/>
                <w:szCs w:val="18"/>
              </w:rPr>
              <w:t> </w:t>
            </w:r>
            <w:r>
              <w:rPr>
                <w:rFonts w:ascii="Times New Roman" w:hAnsi="Times New Roman" w:cs="Times New Roman" w:eastAsia="Times New Roman" w:hint="default"/>
                <w:w w:val="99"/>
                <w:sz w:val="18"/>
                <w:szCs w:val="18"/>
              </w:rPr>
              <w:t>2018</w:t>
            </w:r>
            <w:r>
              <w:rPr>
                <w:rFonts w:ascii="Times New Roman" w:hAnsi="Times New Roman" w:cs="Times New Roman" w:eastAsia="Times New Roman" w:hint="default"/>
                <w:spacing w:val="-1"/>
                <w:w w:val="99"/>
                <w:sz w:val="18"/>
                <w:szCs w:val="18"/>
              </w:rPr>
              <w:t> </w:t>
            </w:r>
            <w:r>
              <w:rPr>
                <w:rFonts w:ascii="宋体" w:hAnsi="宋体" w:cs="宋体" w:eastAsia="宋体" w:hint="default"/>
                <w:w w:val="99"/>
                <w:sz w:val="18"/>
                <w:szCs w:val="18"/>
              </w:rPr>
              <w:t>年</w:t>
            </w:r>
            <w:r>
              <w:rPr>
                <w:rFonts w:ascii="宋体" w:hAnsi="宋体" w:cs="宋体" w:eastAsia="宋体" w:hint="default"/>
                <w:spacing w:val="-45"/>
                <w:w w:val="99"/>
                <w:sz w:val="18"/>
                <w:szCs w:val="18"/>
              </w:rPr>
              <w:t> </w:t>
            </w:r>
            <w:r>
              <w:rPr>
                <w:rFonts w:ascii="Times New Roman" w:hAnsi="Times New Roman" w:cs="Times New Roman" w:eastAsia="Times New Roman" w:hint="default"/>
                <w:w w:val="99"/>
                <w:sz w:val="18"/>
                <w:szCs w:val="18"/>
              </w:rPr>
              <w:t>12</w:t>
            </w:r>
            <w:r>
              <w:rPr>
                <w:rFonts w:ascii="Times New Roman" w:hAnsi="Times New Roman" w:cs="Times New Roman" w:eastAsia="Times New Roman" w:hint="default"/>
                <w:spacing w:val="-1"/>
                <w:w w:val="99"/>
                <w:sz w:val="18"/>
                <w:szCs w:val="18"/>
              </w:rPr>
              <w:t> </w:t>
            </w:r>
            <w:r>
              <w:rPr>
                <w:rFonts w:ascii="宋体" w:hAnsi="宋体" w:cs="宋体" w:eastAsia="宋体" w:hint="default"/>
                <w:w w:val="99"/>
                <w:sz w:val="18"/>
                <w:szCs w:val="18"/>
              </w:rPr>
              <w:t>月</w:t>
            </w:r>
            <w:r>
              <w:rPr>
                <w:rFonts w:ascii="宋体" w:hAnsi="宋体" w:cs="宋体" w:eastAsia="宋体" w:hint="default"/>
                <w:spacing w:val="-46"/>
                <w:w w:val="99"/>
                <w:sz w:val="18"/>
                <w:szCs w:val="18"/>
              </w:rPr>
              <w:t> </w:t>
            </w:r>
            <w:r>
              <w:rPr>
                <w:rFonts w:ascii="Times New Roman" w:hAnsi="Times New Roman" w:cs="Times New Roman" w:eastAsia="Times New Roman" w:hint="default"/>
                <w:w w:val="99"/>
                <w:sz w:val="18"/>
                <w:szCs w:val="18"/>
              </w:rPr>
              <w:t>31</w:t>
            </w:r>
            <w:r>
              <w:rPr>
                <w:rFonts w:ascii="Times New Roman" w:hAnsi="Times New Roman" w:cs="Times New Roman" w:eastAsia="Times New Roman" w:hint="default"/>
                <w:spacing w:val="-1"/>
                <w:w w:val="99"/>
                <w:sz w:val="18"/>
                <w:szCs w:val="18"/>
              </w:rPr>
              <w:t> </w:t>
            </w:r>
            <w:r>
              <w:rPr>
                <w:rFonts w:ascii="宋体" w:hAnsi="宋体" w:cs="宋体" w:eastAsia="宋体" w:hint="default"/>
                <w:w w:val="99"/>
                <w:sz w:val="18"/>
                <w:szCs w:val="18"/>
              </w:rPr>
              <w:t>日，</w:t>
            </w:r>
            <w:r>
              <w:rPr>
                <w:rFonts w:ascii="宋体" w:hAnsi="宋体" w:cs="宋体" w:eastAsia="宋体" w:hint="default"/>
                <w:spacing w:val="1"/>
                <w:w w:val="99"/>
                <w:sz w:val="18"/>
                <w:szCs w:val="18"/>
              </w:rPr>
              <w:t>公</w:t>
            </w:r>
            <w:r>
              <w:rPr>
                <w:rFonts w:ascii="宋体" w:hAnsi="宋体" w:cs="宋体" w:eastAsia="宋体" w:hint="default"/>
                <w:w w:val="99"/>
                <w:sz w:val="18"/>
                <w:szCs w:val="18"/>
              </w:rPr>
              <w:t>司对募集资金项目累计投入</w:t>
            </w:r>
            <w:r>
              <w:rPr>
                <w:rFonts w:ascii="宋体" w:hAnsi="宋体" w:cs="宋体" w:eastAsia="宋体" w:hint="default"/>
                <w:spacing w:val="-46"/>
                <w:w w:val="99"/>
                <w:sz w:val="18"/>
                <w:szCs w:val="18"/>
              </w:rPr>
              <w:t> </w:t>
            </w:r>
            <w:r>
              <w:rPr>
                <w:rFonts w:ascii="Times New Roman" w:hAnsi="Times New Roman" w:cs="Times New Roman" w:eastAsia="Times New Roman" w:hint="default"/>
                <w:w w:val="99"/>
                <w:sz w:val="18"/>
                <w:szCs w:val="18"/>
              </w:rPr>
              <w:t>207,207,00</w:t>
            </w:r>
            <w:r>
              <w:rPr>
                <w:rFonts w:ascii="Times New Roman" w:hAnsi="Times New Roman" w:cs="Times New Roman" w:eastAsia="Times New Roman" w:hint="default"/>
                <w:spacing w:val="-2"/>
                <w:w w:val="99"/>
                <w:sz w:val="18"/>
                <w:szCs w:val="18"/>
              </w:rPr>
              <w:t>3</w:t>
            </w:r>
            <w:r>
              <w:rPr>
                <w:rFonts w:ascii="Times New Roman" w:hAnsi="Times New Roman" w:cs="Times New Roman" w:eastAsia="Times New Roman" w:hint="default"/>
                <w:w w:val="99"/>
                <w:sz w:val="18"/>
                <w:szCs w:val="18"/>
              </w:rPr>
              <w:t>.25 </w:t>
            </w:r>
            <w:r>
              <w:rPr>
                <w:rFonts w:ascii="宋体" w:hAnsi="宋体" w:cs="宋体" w:eastAsia="宋体" w:hint="default"/>
                <w:w w:val="99"/>
                <w:sz w:val="18"/>
                <w:szCs w:val="18"/>
              </w:rPr>
              <w:t>元，其中：公司使</w:t>
            </w:r>
            <w:r>
              <w:rPr>
                <w:rFonts w:ascii="宋体" w:hAnsi="宋体" w:cs="宋体" w:eastAsia="宋体" w:hint="default"/>
                <w:sz w:val="18"/>
                <w:szCs w:val="18"/>
              </w:rPr>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用募集资金人民币</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147,164,309.81</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元直接投入承诺投资项目；使用募集资金人民币</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60,042,693.44</w:t>
            </w:r>
            <w:r>
              <w:rPr>
                <w:rFonts w:ascii="Times New Roman" w:hAnsi="Times New Roman" w:cs="Times New Roman" w:eastAsia="Times New Roman" w:hint="default"/>
                <w:spacing w:val="-8"/>
                <w:sz w:val="18"/>
                <w:szCs w:val="18"/>
              </w:rPr>
              <w:t> </w:t>
            </w:r>
            <w:r>
              <w:rPr>
                <w:rFonts w:ascii="宋体" w:hAnsi="宋体" w:cs="宋体" w:eastAsia="宋体" w:hint="default"/>
                <w:spacing w:val="-5"/>
                <w:sz w:val="18"/>
                <w:szCs w:val="18"/>
              </w:rPr>
              <w:t>元补充流动资金。于</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2016</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r>
              <w:rPr>
                <w:rFonts w:ascii="宋体" w:hAnsi="宋体" w:cs="宋体" w:eastAsia="宋体" w:hint="default"/>
                <w:spacing w:val="-2"/>
                <w:sz w:val="18"/>
                <w:szCs w:val="18"/>
              </w:rPr>
              <w:t>起</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日止会</w:t>
            </w:r>
            <w:r>
              <w:rPr>
                <w:rFonts w:ascii="宋体" w:hAnsi="宋体" w:cs="宋体" w:eastAsia="宋体" w:hint="default"/>
                <w:spacing w:val="-2"/>
                <w:sz w:val="18"/>
                <w:szCs w:val="18"/>
              </w:rPr>
              <w:t>计</w:t>
            </w:r>
            <w:r>
              <w:rPr>
                <w:rFonts w:ascii="宋体" w:hAnsi="宋体" w:cs="宋体" w:eastAsia="宋体" w:hint="default"/>
                <w:sz w:val="18"/>
                <w:szCs w:val="18"/>
              </w:rPr>
              <w:t>期间使用募集资金人民币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170,280,35</w:t>
            </w:r>
            <w:r>
              <w:rPr>
                <w:rFonts w:ascii="Times New Roman" w:hAnsi="Times New Roman" w:cs="Times New Roman" w:eastAsia="Times New Roman" w:hint="default"/>
                <w:spacing w:val="-2"/>
                <w:sz w:val="18"/>
                <w:szCs w:val="18"/>
              </w:rPr>
              <w:t>9</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宋体" w:hAnsi="宋体" w:cs="宋体" w:eastAsia="宋体" w:hint="default"/>
                <w:spacing w:val="-92"/>
                <w:sz w:val="18"/>
                <w:szCs w:val="18"/>
              </w:rPr>
              <w:t>；</w:t>
            </w:r>
            <w:r>
              <w:rPr>
                <w:rFonts w:ascii="宋体" w:hAnsi="宋体" w:cs="宋体" w:eastAsia="宋体" w:hint="default"/>
                <w:sz w:val="18"/>
                <w:szCs w:val="18"/>
              </w:rPr>
              <w:t>本年度使用募集资金</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36,926,</w:t>
            </w:r>
            <w:r>
              <w:rPr>
                <w:rFonts w:ascii="Times New Roman" w:hAnsi="Times New Roman" w:cs="Times New Roman" w:eastAsia="Times New Roman" w:hint="default"/>
                <w:spacing w:val="-2"/>
                <w:sz w:val="18"/>
                <w:szCs w:val="18"/>
              </w:rPr>
              <w:t>6</w:t>
            </w:r>
            <w:r>
              <w:rPr>
                <w:rFonts w:ascii="Times New Roman" w:hAnsi="Times New Roman" w:cs="Times New Roman" w:eastAsia="Times New Roman" w:hint="default"/>
                <w:sz w:val="18"/>
                <w:szCs w:val="18"/>
              </w:rPr>
              <w:t>44.</w:t>
            </w:r>
            <w:r>
              <w:rPr>
                <w:rFonts w:ascii="Times New Roman" w:hAnsi="Times New Roman" w:cs="Times New Roman" w:eastAsia="Times New Roman" w:hint="default"/>
                <w:spacing w:val="-8"/>
                <w:sz w:val="18"/>
                <w:szCs w:val="18"/>
              </w:rPr>
              <w:t>1</w:t>
            </w:r>
            <w:r>
              <w:rPr>
                <w:rFonts w:ascii="Times New Roman" w:hAnsi="Times New Roman" w:cs="Times New Roman" w:eastAsia="Times New Roman" w:hint="default"/>
                <w:sz w:val="18"/>
                <w:szCs w:val="18"/>
              </w:rPr>
              <w:t>1</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元。</w:t>
            </w:r>
            <w:r>
              <w:rPr>
                <w:rFonts w:ascii="宋体" w:hAnsi="宋体" w:cs="宋体" w:eastAsia="宋体" w:hint="default"/>
                <w:spacing w:val="-1"/>
                <w:sz w:val="18"/>
                <w:szCs w:val="18"/>
              </w:rPr>
              <w:t> </w:t>
            </w:r>
            <w:r>
              <w:rPr>
                <w:rFonts w:ascii="宋体" w:hAnsi="宋体" w:cs="宋体" w:eastAsia="宋体" w:hint="default"/>
                <w:sz w:val="18"/>
                <w:szCs w:val="18"/>
              </w:rPr>
              <w:t>截止</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日，募集资金余额为人民币</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22,046,978.72</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元，其中募集资金存放期间产生利息收入净额为人</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1,121,508</w:t>
            </w:r>
            <w:r>
              <w:rPr>
                <w:rFonts w:ascii="Times New Roman" w:hAnsi="Times New Roman" w:cs="Times New Roman" w:eastAsia="Times New Roman" w:hint="default"/>
                <w:spacing w:val="-1"/>
                <w:sz w:val="18"/>
                <w:szCs w:val="18"/>
              </w:rPr>
              <w:t>.</w:t>
            </w:r>
            <w:r>
              <w:rPr>
                <w:rFonts w:ascii="Times New Roman" w:hAnsi="Times New Roman" w:cs="Times New Roman" w:eastAsia="Times New Roman" w:hint="default"/>
                <w:sz w:val="18"/>
                <w:szCs w:val="18"/>
              </w:rPr>
              <w:t>97 </w:t>
            </w:r>
            <w:r>
              <w:rPr>
                <w:rFonts w:ascii="宋体" w:hAnsi="宋体" w:cs="宋体" w:eastAsia="宋体" w:hint="default"/>
                <w:sz w:val="18"/>
                <w:szCs w:val="18"/>
              </w:rPr>
              <w:t>元（扣除相关的手续费和账户维护费</w:t>
            </w:r>
            <w:r>
              <w:rPr>
                <w:rFonts w:ascii="宋体" w:hAnsi="宋体" w:cs="宋体" w:eastAsia="宋体" w:hint="default"/>
                <w:spacing w:val="-90"/>
                <w:sz w:val="18"/>
                <w:szCs w:val="18"/>
              </w:rPr>
              <w:t>）</w:t>
            </w:r>
            <w:r>
              <w:rPr>
                <w:rFonts w:ascii="宋体" w:hAnsi="宋体" w:cs="宋体" w:eastAsia="宋体" w:hint="default"/>
                <w:sz w:val="18"/>
                <w:szCs w:val="18"/>
              </w:rPr>
              <w:t>，募集资金保本理财收益金额</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3,644,60</w:t>
            </w:r>
            <w:r>
              <w:rPr>
                <w:rFonts w:ascii="Times New Roman" w:hAnsi="Times New Roman" w:cs="Times New Roman" w:eastAsia="Times New Roman" w:hint="default"/>
                <w:spacing w:val="-2"/>
                <w:sz w:val="18"/>
                <w:szCs w:val="18"/>
              </w:rPr>
              <w:t>6</w:t>
            </w:r>
            <w:r>
              <w:rPr>
                <w:rFonts w:ascii="Times New Roman" w:hAnsi="Times New Roman" w:cs="Times New Roman" w:eastAsia="Times New Roman" w:hint="default"/>
                <w:sz w:val="18"/>
                <w:szCs w:val="18"/>
              </w:rPr>
              <w:t>.00 </w:t>
            </w:r>
            <w:r>
              <w:rPr>
                <w:rFonts w:ascii="宋体" w:hAnsi="宋体" w:cs="宋体" w:eastAsia="宋体" w:hint="default"/>
                <w:sz w:val="18"/>
                <w:szCs w:val="18"/>
              </w:rPr>
              <w:t>元。</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募集资金承诺项目情况" w:id="51"/>
      <w:bookmarkEnd w:id="51"/>
      <w:r>
        <w:rPr>
          <w:b w:val="0"/>
          <w:bCs w:val="0"/>
        </w:rPr>
      </w:r>
      <w:r>
        <w:rPr/>
        <w:t>（</w:t>
      </w:r>
      <w:r>
        <w:rPr>
          <w:rFonts w:ascii="Times New Roman" w:hAnsi="Times New Roman" w:cs="Times New Roman" w:eastAsia="Times New Roman" w:hint="default"/>
        </w:rPr>
        <w:t>2</w:t>
      </w:r>
      <w:r>
        <w:rPr/>
        <w:t>）募集资金承诺项目情况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left="5856" w:right="1130"/>
        <w:jc w:val="right"/>
      </w:pPr>
      <w:r>
        <w:rPr/>
        <w:t>单位：万元</w:t>
      </w:r>
    </w:p>
    <w:p>
      <w:pPr>
        <w:spacing w:line="240" w:lineRule="auto" w:before="0"/>
        <w:rPr>
          <w:rFonts w:ascii="宋体" w:hAnsi="宋体" w:cs="宋体" w:eastAsia="宋体" w:hint="default"/>
          <w:sz w:val="8"/>
          <w:szCs w:val="8"/>
        </w:rPr>
      </w:pPr>
    </w:p>
    <w:tbl>
      <w:tblPr>
        <w:tblW w:w="0" w:type="auto"/>
        <w:jc w:val="left"/>
        <w:tblInd w:w="182" w:type="dxa"/>
        <w:tblLayout w:type="fixed"/>
        <w:tblCellMar>
          <w:top w:w="0" w:type="dxa"/>
          <w:left w:w="0" w:type="dxa"/>
          <w:bottom w:w="0" w:type="dxa"/>
          <w:right w:w="0" w:type="dxa"/>
        </w:tblCellMar>
        <w:tblLook w:val="01E0"/>
      </w:tblPr>
      <w:tblGrid>
        <w:gridCol w:w="1128"/>
        <w:gridCol w:w="568"/>
        <w:gridCol w:w="992"/>
        <w:gridCol w:w="992"/>
        <w:gridCol w:w="850"/>
        <w:gridCol w:w="852"/>
        <w:gridCol w:w="708"/>
        <w:gridCol w:w="708"/>
        <w:gridCol w:w="852"/>
        <w:gridCol w:w="850"/>
        <w:gridCol w:w="566"/>
        <w:gridCol w:w="504"/>
      </w:tblGrid>
      <w:tr>
        <w:trPr>
          <w:trHeight w:val="2274" w:hRule="exact"/>
        </w:trPr>
        <w:tc>
          <w:tcPr>
            <w:tcW w:w="11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109" w:right="107"/>
              <w:jc w:val="center"/>
              <w:rPr>
                <w:rFonts w:ascii="宋体" w:hAnsi="宋体" w:cs="宋体" w:eastAsia="宋体" w:hint="default"/>
                <w:sz w:val="18"/>
                <w:szCs w:val="18"/>
              </w:rPr>
            </w:pPr>
            <w:r>
              <w:rPr>
                <w:rFonts w:ascii="宋体" w:hAnsi="宋体" w:cs="宋体" w:eastAsia="宋体" w:hint="default"/>
                <w:sz w:val="18"/>
                <w:szCs w:val="18"/>
              </w:rPr>
              <w:t>承诺投资项 目和超募资 金投向</w:t>
            </w:r>
          </w:p>
        </w:tc>
        <w:tc>
          <w:tcPr>
            <w:tcW w:w="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53" w:right="53" w:firstLine="45"/>
              <w:jc w:val="both"/>
              <w:rPr>
                <w:rFonts w:ascii="宋体" w:hAnsi="宋体" w:cs="宋体" w:eastAsia="宋体" w:hint="default"/>
                <w:sz w:val="18"/>
                <w:szCs w:val="18"/>
              </w:rPr>
            </w:pPr>
            <w:r>
              <w:rPr>
                <w:rFonts w:ascii="宋体" w:hAnsi="宋体" w:cs="宋体" w:eastAsia="宋体" w:hint="default"/>
                <w:sz w:val="18"/>
                <w:szCs w:val="18"/>
              </w:rPr>
              <w:t>是否 已变 更项 目</w:t>
            </w:r>
            <w:r>
              <w:rPr>
                <w:rFonts w:ascii="宋体" w:hAnsi="宋体" w:cs="宋体" w:eastAsia="宋体" w:hint="default"/>
                <w:sz w:val="18"/>
                <w:szCs w:val="18"/>
              </w:rPr>
              <w:t>(</w:t>
            </w:r>
            <w:r>
              <w:rPr>
                <w:rFonts w:ascii="宋体" w:hAnsi="宋体" w:cs="宋体" w:eastAsia="宋体" w:hint="default"/>
                <w:sz w:val="18"/>
                <w:szCs w:val="18"/>
              </w:rPr>
              <w:t>含 部分 变更</w:t>
            </w:r>
            <w:r>
              <w:rPr>
                <w:rFonts w:ascii="宋体" w:hAnsi="宋体" w:cs="宋体" w:eastAsia="宋体" w:hint="default"/>
                <w:sz w:val="18"/>
                <w:szCs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40" w:right="41"/>
              <w:jc w:val="left"/>
              <w:rPr>
                <w:rFonts w:ascii="宋体" w:hAnsi="宋体" w:cs="宋体" w:eastAsia="宋体" w:hint="default"/>
                <w:sz w:val="18"/>
                <w:szCs w:val="18"/>
              </w:rPr>
            </w:pPr>
            <w:r>
              <w:rPr>
                <w:rFonts w:ascii="宋体" w:hAnsi="宋体" w:cs="宋体" w:eastAsia="宋体" w:hint="default"/>
                <w:sz w:val="18"/>
                <w:szCs w:val="18"/>
              </w:rPr>
              <w:t>募集资金承 诺投资总额</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176" w:right="38" w:hanging="135"/>
              <w:jc w:val="left"/>
              <w:rPr>
                <w:rFonts w:ascii="宋体" w:hAnsi="宋体" w:cs="宋体" w:eastAsia="宋体" w:hint="default"/>
                <w:sz w:val="18"/>
                <w:szCs w:val="18"/>
              </w:rPr>
            </w:pPr>
            <w:r>
              <w:rPr>
                <w:rFonts w:ascii="宋体" w:hAnsi="宋体" w:cs="宋体" w:eastAsia="宋体" w:hint="default"/>
                <w:sz w:val="18"/>
                <w:szCs w:val="18"/>
              </w:rPr>
              <w:t>调整后投资 总额</w:t>
            </w:r>
            <w:r>
              <w:rPr>
                <w:rFonts w:ascii="宋体" w:hAnsi="宋体" w:cs="宋体" w:eastAsia="宋体" w:hint="default"/>
                <w:sz w:val="18"/>
                <w:szCs w:val="18"/>
              </w:rPr>
              <w:t>(1)</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60" w:right="59"/>
              <w:jc w:val="left"/>
              <w:rPr>
                <w:rFonts w:ascii="宋体" w:hAnsi="宋体" w:cs="宋体" w:eastAsia="宋体" w:hint="default"/>
                <w:sz w:val="18"/>
                <w:szCs w:val="18"/>
              </w:rPr>
            </w:pPr>
            <w:r>
              <w:rPr>
                <w:rFonts w:ascii="宋体" w:hAnsi="宋体" w:cs="宋体" w:eastAsia="宋体" w:hint="default"/>
                <w:sz w:val="18"/>
                <w:szCs w:val="18"/>
              </w:rPr>
              <w:t>本报告期 投入金额</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61" w:right="59"/>
              <w:jc w:val="both"/>
              <w:rPr>
                <w:rFonts w:ascii="宋体" w:hAnsi="宋体" w:cs="宋体" w:eastAsia="宋体" w:hint="default"/>
                <w:sz w:val="18"/>
                <w:szCs w:val="18"/>
              </w:rPr>
            </w:pPr>
            <w:r>
              <w:rPr>
                <w:rFonts w:ascii="宋体" w:hAnsi="宋体" w:cs="宋体" w:eastAsia="宋体" w:hint="default"/>
                <w:sz w:val="18"/>
                <w:szCs w:val="18"/>
              </w:rPr>
              <w:t>截至期末 累计投入 金额</w:t>
            </w:r>
            <w:r>
              <w:rPr>
                <w:rFonts w:ascii="宋体" w:hAnsi="宋体" w:cs="宋体" w:eastAsia="宋体" w:hint="default"/>
                <w:sz w:val="18"/>
                <w:szCs w:val="18"/>
              </w:rPr>
              <w:t>(2)</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3" w:right="32" w:firstLine="45"/>
              <w:jc w:val="both"/>
              <w:rPr>
                <w:rFonts w:ascii="宋体" w:hAnsi="宋体" w:cs="宋体" w:eastAsia="宋体" w:hint="default"/>
                <w:sz w:val="18"/>
                <w:szCs w:val="18"/>
              </w:rPr>
            </w:pPr>
            <w:r>
              <w:rPr>
                <w:rFonts w:ascii="宋体" w:hAnsi="宋体" w:cs="宋体" w:eastAsia="宋体" w:hint="default"/>
                <w:sz w:val="18"/>
                <w:szCs w:val="18"/>
              </w:rPr>
              <w:t>截至期 末投资 进度</w:t>
            </w:r>
            <w:r>
              <w:rPr>
                <w:rFonts w:ascii="宋体" w:hAnsi="宋体" w:cs="宋体" w:eastAsia="宋体" w:hint="default"/>
                <w:sz w:val="18"/>
                <w:szCs w:val="18"/>
              </w:rPr>
              <w:t>(3)</w:t>
            </w:r>
          </w:p>
          <w:p>
            <w:pPr>
              <w:pStyle w:val="TableParagraph"/>
              <w:spacing w:line="319" w:lineRule="auto" w:before="19"/>
              <w:ind w:left="33" w:right="32" w:firstLine="225"/>
              <w:jc w:val="left"/>
              <w:rPr>
                <w:rFonts w:ascii="宋体" w:hAnsi="宋体" w:cs="宋体" w:eastAsia="宋体" w:hint="default"/>
                <w:sz w:val="18"/>
                <w:szCs w:val="18"/>
              </w:rPr>
            </w:pPr>
            <w:r>
              <w:rPr>
                <w:rFonts w:ascii="宋体" w:hAnsi="宋体" w:cs="宋体" w:eastAsia="宋体" w:hint="default"/>
                <w:sz w:val="18"/>
                <w:szCs w:val="18"/>
              </w:rPr>
              <w:t>＝ </w:t>
            </w:r>
            <w:r>
              <w:rPr>
                <w:rFonts w:ascii="宋体" w:hAnsi="宋体" w:cs="宋体" w:eastAsia="宋体" w:hint="default"/>
                <w:sz w:val="18"/>
                <w:szCs w:val="18"/>
              </w:rPr>
              <w:t>(2)/(1)</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79" w:right="77"/>
              <w:jc w:val="center"/>
              <w:rPr>
                <w:rFonts w:ascii="宋体" w:hAnsi="宋体" w:cs="宋体" w:eastAsia="宋体" w:hint="default"/>
                <w:sz w:val="18"/>
                <w:szCs w:val="18"/>
              </w:rPr>
            </w:pPr>
            <w:r>
              <w:rPr>
                <w:rFonts w:ascii="宋体" w:hAnsi="宋体" w:cs="宋体" w:eastAsia="宋体" w:hint="default"/>
                <w:sz w:val="18"/>
                <w:szCs w:val="18"/>
              </w:rPr>
              <w:t>项目达 到预定 可使用 状态日 期</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61" w:right="59"/>
              <w:jc w:val="center"/>
              <w:rPr>
                <w:rFonts w:ascii="宋体" w:hAnsi="宋体" w:cs="宋体" w:eastAsia="宋体" w:hint="default"/>
                <w:sz w:val="18"/>
                <w:szCs w:val="18"/>
              </w:rPr>
            </w:pPr>
            <w:r>
              <w:rPr>
                <w:rFonts w:ascii="宋体" w:hAnsi="宋体" w:cs="宋体" w:eastAsia="宋体" w:hint="default"/>
                <w:sz w:val="18"/>
                <w:szCs w:val="18"/>
              </w:rPr>
              <w:t>本报告期 实现的效 益</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9" w:lineRule="auto"/>
              <w:ind w:left="59" w:right="59"/>
              <w:jc w:val="center"/>
              <w:rPr>
                <w:rFonts w:ascii="宋体" w:hAnsi="宋体" w:cs="宋体" w:eastAsia="宋体" w:hint="default"/>
                <w:sz w:val="18"/>
                <w:szCs w:val="18"/>
              </w:rPr>
            </w:pPr>
            <w:r>
              <w:rPr>
                <w:rFonts w:ascii="宋体" w:hAnsi="宋体" w:cs="宋体" w:eastAsia="宋体" w:hint="default"/>
                <w:sz w:val="18"/>
                <w:szCs w:val="18"/>
              </w:rPr>
              <w:t>截止报告 期末累计 实现的效 益</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9" w:lineRule="auto"/>
              <w:ind w:left="98" w:right="96"/>
              <w:jc w:val="both"/>
              <w:rPr>
                <w:rFonts w:ascii="宋体" w:hAnsi="宋体" w:cs="宋体" w:eastAsia="宋体" w:hint="default"/>
                <w:sz w:val="18"/>
                <w:szCs w:val="18"/>
              </w:rPr>
            </w:pPr>
            <w:r>
              <w:rPr>
                <w:rFonts w:ascii="宋体" w:hAnsi="宋体" w:cs="宋体" w:eastAsia="宋体" w:hint="default"/>
                <w:sz w:val="18"/>
                <w:szCs w:val="18"/>
              </w:rPr>
              <w:t>是否 达到 预计 效益</w:t>
            </w:r>
          </w:p>
        </w:tc>
        <w:tc>
          <w:tcPr>
            <w:tcW w:w="5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7" w:right="65"/>
              <w:jc w:val="both"/>
              <w:rPr>
                <w:rFonts w:ascii="宋体" w:hAnsi="宋体" w:cs="宋体" w:eastAsia="宋体" w:hint="default"/>
                <w:sz w:val="18"/>
                <w:szCs w:val="18"/>
              </w:rPr>
            </w:pPr>
            <w:r>
              <w:rPr>
                <w:rFonts w:ascii="宋体" w:hAnsi="宋体" w:cs="宋体" w:eastAsia="宋体" w:hint="default"/>
                <w:sz w:val="18"/>
                <w:szCs w:val="18"/>
              </w:rPr>
              <w:t>项目 可行 性是 否发 生重 大变 化</w:t>
            </w:r>
          </w:p>
        </w:tc>
      </w:tr>
      <w:tr>
        <w:trPr>
          <w:trHeight w:val="401" w:hRule="exact"/>
        </w:trPr>
        <w:tc>
          <w:tcPr>
            <w:tcW w:w="9571"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1338"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5"/>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、智能移动 终端产品扩 产及技术改 造项目</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7,204.4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2,604.4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1,114.05</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2,525.66</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96.98%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3" w:right="0"/>
              <w:jc w:val="left"/>
              <w:rPr>
                <w:rFonts w:ascii="宋体" w:hAnsi="宋体" w:cs="宋体" w:eastAsia="宋体" w:hint="default"/>
                <w:sz w:val="18"/>
                <w:szCs w:val="18"/>
              </w:rPr>
            </w:pPr>
            <w:r>
              <w:rPr>
                <w:rFonts w:ascii="宋体" w:hAnsi="宋体" w:cs="宋体" w:eastAsia="宋体" w:hint="default"/>
                <w:sz w:val="18"/>
                <w:szCs w:val="18"/>
              </w:rPr>
              <w:t>03</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p>
          <w:p>
            <w:pPr>
              <w:pStyle w:val="TableParagraph"/>
              <w:spacing w:line="240" w:lineRule="auto" w:before="77"/>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988.31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988.31</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102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105"/>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、研发中心 建设项目</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3,535.88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1,935.88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947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1,244.33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64.28%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3" w:right="0"/>
              <w:jc w:val="left"/>
              <w:rPr>
                <w:rFonts w:ascii="宋体" w:hAnsi="宋体" w:cs="宋体" w:eastAsia="宋体" w:hint="default"/>
                <w:sz w:val="18"/>
                <w:szCs w:val="18"/>
              </w:rPr>
            </w:pPr>
            <w:r>
              <w:rPr>
                <w:rFonts w:ascii="宋体" w:hAnsi="宋体" w:cs="宋体" w:eastAsia="宋体" w:hint="default"/>
                <w:sz w:val="18"/>
                <w:szCs w:val="18"/>
              </w:rPr>
              <w:t>09</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30</w:t>
            </w:r>
          </w:p>
          <w:p>
            <w:pPr>
              <w:pStyle w:val="TableParagraph"/>
              <w:spacing w:line="240" w:lineRule="auto" w:before="77"/>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173"/>
              <w:jc w:val="left"/>
              <w:rPr>
                <w:rFonts w:ascii="宋体" w:hAnsi="宋体" w:cs="宋体" w:eastAsia="宋体" w:hint="default"/>
                <w:sz w:val="18"/>
                <w:szCs w:val="18"/>
              </w:rPr>
            </w:pPr>
            <w:r>
              <w:rPr>
                <w:rFonts w:ascii="宋体" w:hAnsi="宋体" w:cs="宋体" w:eastAsia="宋体" w:hint="default"/>
                <w:sz w:val="18"/>
                <w:szCs w:val="18"/>
              </w:rPr>
              <w:t>不适 用</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4"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1026"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105"/>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、营销服务 网络项目</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5,706.84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5,706.84</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1,631.62</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4,746.44</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20"/>
              <w:jc w:val="right"/>
              <w:rPr>
                <w:rFonts w:ascii="宋体" w:hAnsi="宋体" w:cs="宋体" w:eastAsia="宋体" w:hint="default"/>
                <w:sz w:val="18"/>
                <w:szCs w:val="18"/>
              </w:rPr>
            </w:pPr>
            <w:r>
              <w:rPr>
                <w:rFonts w:ascii="宋体"/>
                <w:sz w:val="18"/>
              </w:rPr>
              <w:t>83.17%</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3" w:right="0"/>
              <w:jc w:val="left"/>
              <w:rPr>
                <w:rFonts w:ascii="宋体" w:hAnsi="宋体" w:cs="宋体" w:eastAsia="宋体" w:hint="default"/>
                <w:sz w:val="18"/>
                <w:szCs w:val="18"/>
              </w:rPr>
            </w:pPr>
            <w:r>
              <w:rPr>
                <w:rFonts w:ascii="宋体" w:hAnsi="宋体" w:cs="宋体" w:eastAsia="宋体" w:hint="default"/>
                <w:sz w:val="18"/>
                <w:szCs w:val="18"/>
              </w:rPr>
              <w:t>09</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30</w:t>
            </w:r>
          </w:p>
          <w:p>
            <w:pPr>
              <w:pStyle w:val="TableParagraph"/>
              <w:spacing w:line="240" w:lineRule="auto" w:before="77"/>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2" w:right="173"/>
              <w:jc w:val="left"/>
              <w:rPr>
                <w:rFonts w:ascii="宋体" w:hAnsi="宋体" w:cs="宋体" w:eastAsia="宋体" w:hint="default"/>
                <w:sz w:val="18"/>
                <w:szCs w:val="18"/>
              </w:rPr>
            </w:pPr>
            <w:r>
              <w:rPr>
                <w:rFonts w:ascii="宋体" w:hAnsi="宋体" w:cs="宋体" w:eastAsia="宋体" w:hint="default"/>
                <w:sz w:val="18"/>
                <w:szCs w:val="18"/>
              </w:rPr>
              <w:t>不适 用</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4"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105"/>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、补充流动 资金</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6,000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6,000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6,004.27</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z w:val="18"/>
              </w:rPr>
              <w:t>100.07%</w:t>
            </w:r>
          </w:p>
        </w:tc>
        <w:tc>
          <w:tcPr>
            <w:tcW w:w="708"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173"/>
              <w:jc w:val="left"/>
              <w:rPr>
                <w:rFonts w:ascii="宋体" w:hAnsi="宋体" w:cs="宋体" w:eastAsia="宋体" w:hint="default"/>
                <w:sz w:val="18"/>
                <w:szCs w:val="18"/>
              </w:rPr>
            </w:pPr>
            <w:r>
              <w:rPr>
                <w:rFonts w:ascii="宋体" w:hAnsi="宋体" w:cs="宋体" w:eastAsia="宋体" w:hint="default"/>
                <w:sz w:val="18"/>
                <w:szCs w:val="18"/>
              </w:rPr>
              <w:t>不适 用</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4" w:right="108"/>
              <w:jc w:val="left"/>
              <w:rPr>
                <w:rFonts w:ascii="宋体" w:hAnsi="宋体" w:cs="宋体" w:eastAsia="宋体" w:hint="default"/>
                <w:sz w:val="18"/>
                <w:szCs w:val="18"/>
              </w:rPr>
            </w:pPr>
            <w:r>
              <w:rPr>
                <w:rFonts w:ascii="宋体" w:hAnsi="宋体" w:cs="宋体" w:eastAsia="宋体" w:hint="default"/>
                <w:sz w:val="18"/>
                <w:szCs w:val="18"/>
              </w:rPr>
              <w:t>不适 用</w:t>
            </w:r>
          </w:p>
        </w:tc>
      </w:tr>
      <w:tr>
        <w:trPr>
          <w:trHeight w:val="1338"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05"/>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、收购深圳 市瑞柏泰电 子有限公司 </w:t>
            </w:r>
            <w:r>
              <w:rPr>
                <w:rFonts w:ascii="宋体" w:hAnsi="宋体" w:cs="宋体" w:eastAsia="宋体" w:hint="default"/>
                <w:sz w:val="18"/>
                <w:szCs w:val="18"/>
              </w:rPr>
              <w:t>51%</w:t>
            </w:r>
            <w:r>
              <w:rPr>
                <w:rFonts w:ascii="宋体" w:hAnsi="宋体" w:cs="宋体" w:eastAsia="宋体" w:hint="default"/>
                <w:sz w:val="18"/>
                <w:szCs w:val="18"/>
              </w:rPr>
              <w:t>股权项目</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6,200</w:t>
            </w: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6,200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100.00%</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w:t>
            </w:r>
          </w:p>
          <w:p>
            <w:pPr>
              <w:pStyle w:val="TableParagraph"/>
              <w:spacing w:line="240" w:lineRule="auto" w:before="75"/>
              <w:ind w:left="23" w:right="0"/>
              <w:jc w:val="left"/>
              <w:rPr>
                <w:rFonts w:ascii="宋体" w:hAnsi="宋体" w:cs="宋体" w:eastAsia="宋体" w:hint="default"/>
                <w:sz w:val="18"/>
                <w:szCs w:val="18"/>
              </w:rPr>
            </w:pPr>
            <w:r>
              <w:rPr>
                <w:rFonts w:ascii="宋体" w:hAnsi="宋体" w:cs="宋体" w:eastAsia="宋体" w:hint="default"/>
                <w:sz w:val="18"/>
                <w:szCs w:val="18"/>
              </w:rPr>
              <w:t>08</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01</w:t>
            </w:r>
          </w:p>
          <w:p>
            <w:pPr>
              <w:pStyle w:val="TableParagraph"/>
              <w:spacing w:line="240" w:lineRule="auto" w:before="77"/>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21"/>
              <w:jc w:val="right"/>
              <w:rPr>
                <w:rFonts w:ascii="宋体" w:hAnsi="宋体" w:cs="宋体" w:eastAsia="宋体" w:hint="default"/>
                <w:sz w:val="18"/>
                <w:szCs w:val="18"/>
              </w:rPr>
            </w:pPr>
            <w:r>
              <w:rPr>
                <w:rFonts w:ascii="宋体"/>
                <w:sz w:val="18"/>
              </w:rPr>
              <w:t>2,656.72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right="20"/>
              <w:jc w:val="right"/>
              <w:rPr>
                <w:rFonts w:ascii="宋体" w:hAnsi="宋体" w:cs="宋体" w:eastAsia="宋体" w:hint="default"/>
                <w:sz w:val="18"/>
                <w:szCs w:val="18"/>
              </w:rPr>
            </w:pPr>
            <w:r>
              <w:rPr>
                <w:rFonts w:ascii="宋体"/>
                <w:sz w:val="18"/>
              </w:rPr>
              <w:t>5,076.85</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5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4" w:right="108"/>
              <w:jc w:val="left"/>
              <w:rPr>
                <w:rFonts w:ascii="宋体" w:hAnsi="宋体" w:cs="宋体" w:eastAsia="宋体" w:hint="default"/>
                <w:sz w:val="18"/>
                <w:szCs w:val="18"/>
              </w:rPr>
            </w:pPr>
            <w:r>
              <w:rPr>
                <w:rFonts w:ascii="宋体" w:hAnsi="宋体" w:cs="宋体" w:eastAsia="宋体" w:hint="default"/>
                <w:sz w:val="18"/>
                <w:szCs w:val="18"/>
              </w:rPr>
              <w:t>不适 用</w:t>
            </w:r>
          </w:p>
        </w:tc>
      </w:tr>
      <w:tr>
        <w:trPr>
          <w:trHeight w:val="162" w:hRule="exact"/>
        </w:trPr>
        <w:tc>
          <w:tcPr>
            <w:tcW w:w="112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22" w:right="195"/>
              <w:jc w:val="left"/>
              <w:rPr>
                <w:rFonts w:ascii="宋体" w:hAnsi="宋体" w:cs="宋体" w:eastAsia="宋体" w:hint="default"/>
                <w:sz w:val="18"/>
                <w:szCs w:val="18"/>
              </w:rPr>
            </w:pPr>
            <w:r>
              <w:rPr>
                <w:rFonts w:ascii="宋体" w:hAnsi="宋体" w:cs="宋体" w:eastAsia="宋体" w:hint="default"/>
                <w:sz w:val="18"/>
                <w:szCs w:val="18"/>
              </w:rPr>
              <w:t>承诺投资项 目小计</w:t>
            </w:r>
          </w:p>
        </w:tc>
        <w:tc>
          <w:tcPr>
            <w:tcW w:w="568" w:type="dxa"/>
            <w:tcBorders>
              <w:top w:val="single" w:sz="4" w:space="0" w:color="000000"/>
              <w:left w:val="single" w:sz="4" w:space="0" w:color="000000"/>
              <w:bottom w:val="nil" w:sz="6" w:space="0" w:color="auto"/>
              <w:right w:val="single" w:sz="4" w:space="0" w:color="000000"/>
            </w:tcBorders>
            <w:shd w:val="clear" w:color="auto" w:fill="D2D2D2"/>
          </w:tcPr>
          <w:p>
            <w:pPr/>
          </w:p>
        </w:tc>
        <w:tc>
          <w:tcPr>
            <w:tcW w:w="992"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3" w:right="0"/>
              <w:jc w:val="left"/>
              <w:rPr>
                <w:rFonts w:ascii="宋体" w:hAnsi="宋体" w:cs="宋体" w:eastAsia="宋体" w:hint="default"/>
                <w:sz w:val="18"/>
                <w:szCs w:val="18"/>
              </w:rPr>
            </w:pPr>
            <w:r>
              <w:rPr>
                <w:rFonts w:ascii="宋体"/>
                <w:sz w:val="18"/>
              </w:rPr>
              <w:t>22,447.12</w:t>
            </w:r>
          </w:p>
        </w:tc>
        <w:tc>
          <w:tcPr>
            <w:tcW w:w="99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9" w:right="0"/>
              <w:jc w:val="left"/>
              <w:rPr>
                <w:rFonts w:ascii="宋体" w:hAnsi="宋体" w:cs="宋体" w:eastAsia="宋体" w:hint="default"/>
                <w:sz w:val="18"/>
                <w:szCs w:val="18"/>
              </w:rPr>
            </w:pPr>
            <w:r>
              <w:rPr>
                <w:rFonts w:ascii="宋体"/>
                <w:sz w:val="18"/>
              </w:rPr>
              <w:t>22,447.12</w:t>
            </w:r>
          </w:p>
        </w:tc>
        <w:tc>
          <w:tcPr>
            <w:tcW w:w="85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97" w:right="0"/>
              <w:jc w:val="left"/>
              <w:rPr>
                <w:rFonts w:ascii="宋体" w:hAnsi="宋体" w:cs="宋体" w:eastAsia="宋体" w:hint="default"/>
                <w:sz w:val="18"/>
                <w:szCs w:val="18"/>
              </w:rPr>
            </w:pPr>
            <w:r>
              <w:rPr>
                <w:rFonts w:ascii="宋体"/>
                <w:sz w:val="18"/>
              </w:rPr>
              <w:t>3,692.67</w:t>
            </w:r>
          </w:p>
        </w:tc>
        <w:tc>
          <w:tcPr>
            <w:tcW w:w="852" w:type="dxa"/>
            <w:vMerge w:val="restart"/>
            <w:tcBorders>
              <w:top w:val="single" w:sz="4" w:space="0" w:color="000000"/>
              <w:left w:val="single" w:sz="4" w:space="0" w:color="000000"/>
              <w:right w:val="single" w:sz="9" w:space="0" w:color="D2D2D2"/>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99" w:right="0"/>
              <w:jc w:val="left"/>
              <w:rPr>
                <w:rFonts w:ascii="宋体" w:hAnsi="宋体" w:cs="宋体" w:eastAsia="宋体" w:hint="default"/>
                <w:sz w:val="18"/>
                <w:szCs w:val="18"/>
              </w:rPr>
            </w:pPr>
            <w:r>
              <w:rPr>
                <w:rFonts w:ascii="宋体"/>
                <w:sz w:val="18"/>
              </w:rPr>
              <w:t>20,720.7</w:t>
            </w:r>
          </w:p>
        </w:tc>
        <w:tc>
          <w:tcPr>
            <w:tcW w:w="708"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 w:type="dxa"/>
            <w:tcBorders>
              <w:top w:val="single" w:sz="4" w:space="0" w:color="000000"/>
              <w:left w:val="single" w:sz="4" w:space="0" w:color="000000"/>
              <w:bottom w:val="nil" w:sz="6" w:space="0" w:color="auto"/>
              <w:right w:val="single" w:sz="4" w:space="0" w:color="000000"/>
            </w:tcBorders>
            <w:shd w:val="clear" w:color="auto" w:fill="D2D2D2"/>
          </w:tcPr>
          <w:p>
            <w:pPr/>
          </w:p>
        </w:tc>
        <w:tc>
          <w:tcPr>
            <w:tcW w:w="852" w:type="dxa"/>
            <w:vMerge w:val="restart"/>
            <w:tcBorders>
              <w:top w:val="single" w:sz="4" w:space="0" w:color="000000"/>
              <w:left w:val="single" w:sz="9" w:space="0" w:color="D2D2D2"/>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92" w:right="0"/>
              <w:jc w:val="left"/>
              <w:rPr>
                <w:rFonts w:ascii="宋体" w:hAnsi="宋体" w:cs="宋体" w:eastAsia="宋体" w:hint="default"/>
                <w:sz w:val="18"/>
                <w:szCs w:val="18"/>
              </w:rPr>
            </w:pPr>
            <w:r>
              <w:rPr>
                <w:rFonts w:ascii="宋体"/>
                <w:sz w:val="18"/>
              </w:rPr>
              <w:t>3,645.03</w:t>
            </w:r>
          </w:p>
        </w:tc>
        <w:tc>
          <w:tcPr>
            <w:tcW w:w="850" w:type="dxa"/>
            <w:vMerge w:val="restart"/>
            <w:tcBorders>
              <w:top w:val="single" w:sz="4" w:space="0" w:color="000000"/>
              <w:left w:val="single" w:sz="4" w:space="0" w:color="000000"/>
              <w:right w:val="single" w:sz="9" w:space="0" w:color="D2D2D2"/>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97" w:right="0"/>
              <w:jc w:val="left"/>
              <w:rPr>
                <w:rFonts w:ascii="宋体" w:hAnsi="宋体" w:cs="宋体" w:eastAsia="宋体" w:hint="default"/>
                <w:sz w:val="18"/>
                <w:szCs w:val="18"/>
              </w:rPr>
            </w:pPr>
            <w:r>
              <w:rPr>
                <w:rFonts w:ascii="宋体"/>
                <w:sz w:val="18"/>
              </w:rPr>
              <w:t>6,065.16</w:t>
            </w:r>
          </w:p>
        </w:tc>
        <w:tc>
          <w:tcPr>
            <w:tcW w:w="566" w:type="dxa"/>
            <w:tcBorders>
              <w:top w:val="single" w:sz="4" w:space="0" w:color="000000"/>
              <w:left w:val="single" w:sz="4" w:space="0" w:color="000000"/>
              <w:bottom w:val="nil" w:sz="6" w:space="0" w:color="auto"/>
              <w:right w:val="single" w:sz="4" w:space="0" w:color="000000"/>
            </w:tcBorders>
            <w:shd w:val="clear" w:color="auto" w:fill="D2D2D2"/>
          </w:tcPr>
          <w:p>
            <w:pPr/>
          </w:p>
        </w:tc>
        <w:tc>
          <w:tcPr>
            <w:tcW w:w="504"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391" w:hRule="exact"/>
        </w:trPr>
        <w:tc>
          <w:tcPr>
            <w:tcW w:w="1128" w:type="dxa"/>
            <w:vMerge/>
            <w:tcBorders>
              <w:left w:val="single" w:sz="4" w:space="0" w:color="000000"/>
              <w:right w:val="single" w:sz="4" w:space="0" w:color="000000"/>
            </w:tcBorders>
            <w:shd w:val="clear" w:color="auto" w:fill="D2D2D2"/>
          </w:tcPr>
          <w:p>
            <w:pPr/>
          </w:p>
        </w:tc>
        <w:tc>
          <w:tcPr>
            <w:tcW w:w="56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sz w:val="18"/>
              </w:rPr>
              <w:t>--</w:t>
            </w:r>
          </w:p>
        </w:tc>
        <w:tc>
          <w:tcPr>
            <w:tcW w:w="992" w:type="dxa"/>
            <w:vMerge/>
            <w:tcBorders>
              <w:left w:val="single" w:sz="9" w:space="0" w:color="D2D2D2"/>
              <w:right w:val="single" w:sz="4" w:space="0" w:color="000000"/>
            </w:tcBorders>
          </w:tcPr>
          <w:p>
            <w:pPr/>
          </w:p>
        </w:tc>
        <w:tc>
          <w:tcPr>
            <w:tcW w:w="992"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852" w:type="dxa"/>
            <w:vMerge/>
            <w:tcBorders>
              <w:left w:val="single" w:sz="4" w:space="0" w:color="000000"/>
              <w:right w:val="single" w:sz="9" w:space="0" w:color="D2D2D2"/>
            </w:tcBorders>
          </w:tcPr>
          <w:p>
            <w:pPr/>
          </w:p>
        </w:tc>
        <w:tc>
          <w:tcPr>
            <w:tcW w:w="7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sz w:val="18"/>
              </w:rPr>
              <w:t>--</w:t>
            </w:r>
          </w:p>
        </w:tc>
        <w:tc>
          <w:tcPr>
            <w:tcW w:w="70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59" w:right="0"/>
              <w:jc w:val="left"/>
              <w:rPr>
                <w:rFonts w:ascii="宋体" w:hAnsi="宋体" w:cs="宋体" w:eastAsia="宋体" w:hint="default"/>
                <w:sz w:val="18"/>
                <w:szCs w:val="18"/>
              </w:rPr>
            </w:pPr>
            <w:r>
              <w:rPr>
                <w:rFonts w:ascii="宋体"/>
                <w:sz w:val="18"/>
              </w:rPr>
              <w:t>--</w:t>
            </w:r>
          </w:p>
        </w:tc>
        <w:tc>
          <w:tcPr>
            <w:tcW w:w="852" w:type="dxa"/>
            <w:vMerge/>
            <w:tcBorders>
              <w:left w:val="single" w:sz="9" w:space="0" w:color="D2D2D2"/>
              <w:right w:val="single" w:sz="4" w:space="0" w:color="000000"/>
            </w:tcBorders>
          </w:tcPr>
          <w:p>
            <w:pPr/>
          </w:p>
        </w:tc>
        <w:tc>
          <w:tcPr>
            <w:tcW w:w="850" w:type="dxa"/>
            <w:vMerge/>
            <w:tcBorders>
              <w:left w:val="single" w:sz="4" w:space="0" w:color="000000"/>
              <w:right w:val="single" w:sz="9" w:space="0" w:color="D2D2D2"/>
            </w:tcBorders>
          </w:tcPr>
          <w:p>
            <w:pPr/>
          </w:p>
        </w:tc>
        <w:tc>
          <w:tcPr>
            <w:tcW w:w="56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86"/>
              <w:jc w:val="right"/>
              <w:rPr>
                <w:rFonts w:ascii="宋体" w:hAnsi="宋体" w:cs="宋体" w:eastAsia="宋体" w:hint="default"/>
                <w:sz w:val="18"/>
                <w:szCs w:val="18"/>
              </w:rPr>
            </w:pPr>
            <w:r>
              <w:rPr>
                <w:rFonts w:ascii="宋体"/>
                <w:sz w:val="18"/>
              </w:rPr>
              <w:t>--</w:t>
            </w:r>
          </w:p>
        </w:tc>
        <w:tc>
          <w:tcPr>
            <w:tcW w:w="50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155"/>
              <w:jc w:val="right"/>
              <w:rPr>
                <w:rFonts w:ascii="宋体" w:hAnsi="宋体" w:cs="宋体" w:eastAsia="宋体" w:hint="default"/>
                <w:sz w:val="18"/>
                <w:szCs w:val="18"/>
              </w:rPr>
            </w:pPr>
            <w:r>
              <w:rPr>
                <w:rFonts w:ascii="宋体"/>
                <w:sz w:val="18"/>
              </w:rPr>
              <w:t>--</w:t>
            </w:r>
          </w:p>
        </w:tc>
      </w:tr>
      <w:tr>
        <w:trPr>
          <w:trHeight w:val="167" w:hRule="exact"/>
        </w:trPr>
        <w:tc>
          <w:tcPr>
            <w:tcW w:w="1128" w:type="dxa"/>
            <w:vMerge/>
            <w:tcBorders>
              <w:left w:val="single" w:sz="4" w:space="0" w:color="000000"/>
              <w:bottom w:val="single" w:sz="4" w:space="0" w:color="000000"/>
              <w:right w:val="single" w:sz="4" w:space="0" w:color="000000"/>
            </w:tcBorders>
            <w:shd w:val="clear" w:color="auto" w:fill="D2D2D2"/>
          </w:tcPr>
          <w:p>
            <w:pPr/>
          </w:p>
        </w:tc>
        <w:tc>
          <w:tcPr>
            <w:tcW w:w="568" w:type="dxa"/>
            <w:tcBorders>
              <w:top w:val="nil" w:sz="6" w:space="0" w:color="auto"/>
              <w:left w:val="single" w:sz="4" w:space="0" w:color="000000"/>
              <w:bottom w:val="single" w:sz="4" w:space="0" w:color="000000"/>
              <w:right w:val="single" w:sz="4" w:space="0" w:color="000000"/>
            </w:tcBorders>
            <w:shd w:val="clear" w:color="auto" w:fill="D2D2D2"/>
          </w:tcPr>
          <w:p>
            <w:pPr/>
          </w:p>
        </w:tc>
        <w:tc>
          <w:tcPr>
            <w:tcW w:w="992" w:type="dxa"/>
            <w:vMerge/>
            <w:tcBorders>
              <w:left w:val="single" w:sz="9" w:space="0" w:color="D2D2D2"/>
              <w:bottom w:val="single" w:sz="4" w:space="0" w:color="000000"/>
              <w:right w:val="single" w:sz="4" w:space="0" w:color="000000"/>
            </w:tcBorders>
          </w:tcPr>
          <w:p>
            <w:pPr/>
          </w:p>
        </w:tc>
        <w:tc>
          <w:tcPr>
            <w:tcW w:w="992"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9" w:space="0" w:color="D2D2D2"/>
            </w:tcBorders>
          </w:tcPr>
          <w:p>
            <w:pPr/>
          </w:p>
        </w:tc>
        <w:tc>
          <w:tcPr>
            <w:tcW w:w="708" w:type="dxa"/>
            <w:tcBorders>
              <w:top w:val="nil" w:sz="6" w:space="0" w:color="auto"/>
              <w:left w:val="single" w:sz="4" w:space="0" w:color="000000"/>
              <w:bottom w:val="single" w:sz="4" w:space="0" w:color="000000"/>
              <w:right w:val="single" w:sz="4" w:space="0" w:color="000000"/>
            </w:tcBorders>
            <w:shd w:val="clear" w:color="auto" w:fill="D2D2D2"/>
          </w:tcPr>
          <w:p>
            <w:pPr/>
          </w:p>
        </w:tc>
        <w:tc>
          <w:tcPr>
            <w:tcW w:w="708" w:type="dxa"/>
            <w:tcBorders>
              <w:top w:val="nil" w:sz="6" w:space="0" w:color="auto"/>
              <w:left w:val="single" w:sz="4" w:space="0" w:color="000000"/>
              <w:bottom w:val="single" w:sz="4" w:space="0" w:color="000000"/>
              <w:right w:val="single" w:sz="4" w:space="0" w:color="000000"/>
            </w:tcBorders>
            <w:shd w:val="clear" w:color="auto" w:fill="D2D2D2"/>
          </w:tcPr>
          <w:p>
            <w:pPr/>
          </w:p>
        </w:tc>
        <w:tc>
          <w:tcPr>
            <w:tcW w:w="852" w:type="dxa"/>
            <w:vMerge/>
            <w:tcBorders>
              <w:left w:val="single" w:sz="9" w:space="0" w:color="D2D2D2"/>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9" w:space="0" w:color="D2D2D2"/>
            </w:tcBorders>
          </w:tcPr>
          <w:p>
            <w:pPr/>
          </w:p>
        </w:tc>
        <w:tc>
          <w:tcPr>
            <w:tcW w:w="566" w:type="dxa"/>
            <w:tcBorders>
              <w:top w:val="nil" w:sz="6" w:space="0" w:color="auto"/>
              <w:left w:val="single" w:sz="4" w:space="0" w:color="000000"/>
              <w:bottom w:val="single" w:sz="4" w:space="0" w:color="000000"/>
              <w:right w:val="single" w:sz="4" w:space="0" w:color="000000"/>
            </w:tcBorders>
            <w:shd w:val="clear" w:color="auto" w:fill="D2D2D2"/>
          </w:tcPr>
          <w:p>
            <w:pPr/>
          </w:p>
        </w:tc>
        <w:tc>
          <w:tcPr>
            <w:tcW w:w="504"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96" w:hRule="exact"/>
        </w:trPr>
        <w:tc>
          <w:tcPr>
            <w:tcW w:w="9571"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2"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402" w:hRule="exact"/>
        </w:trPr>
        <w:tc>
          <w:tcPr>
            <w:tcW w:w="1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568"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50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9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22,447.12</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22,447.12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3,692.67</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20,720.7</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sz w:val="18"/>
              </w:rPr>
              <w:t>--</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9" w:right="0"/>
              <w:jc w:val="left"/>
              <w:rPr>
                <w:rFonts w:ascii="宋体" w:hAnsi="宋体" w:cs="宋体" w:eastAsia="宋体" w:hint="default"/>
                <w:sz w:val="18"/>
                <w:szCs w:val="18"/>
              </w:rPr>
            </w:pPr>
            <w:r>
              <w:rPr>
                <w:rFonts w:ascii="宋体"/>
                <w:sz w:val="18"/>
              </w:rPr>
              <w:t>--</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3,645.03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6,065.16</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86"/>
              <w:jc w:val="right"/>
              <w:rPr>
                <w:rFonts w:ascii="宋体" w:hAnsi="宋体" w:cs="宋体" w:eastAsia="宋体" w:hint="default"/>
                <w:sz w:val="18"/>
                <w:szCs w:val="18"/>
              </w:rPr>
            </w:pPr>
            <w:r>
              <w:rPr>
                <w:rFonts w:ascii="宋体"/>
                <w:sz w:val="18"/>
              </w:rPr>
              <w:t>--</w:t>
            </w:r>
          </w:p>
        </w:tc>
        <w:tc>
          <w:tcPr>
            <w:tcW w:w="5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55"/>
              <w:jc w:val="right"/>
              <w:rPr>
                <w:rFonts w:ascii="宋体" w:hAnsi="宋体" w:cs="宋体" w:eastAsia="宋体" w:hint="default"/>
                <w:sz w:val="18"/>
                <w:szCs w:val="18"/>
              </w:rPr>
            </w:pPr>
            <w:r>
              <w:rPr>
                <w:rFonts w:ascii="宋体"/>
                <w:sz w:val="18"/>
              </w:rPr>
              <w:t>--</w:t>
            </w:r>
          </w:p>
        </w:tc>
      </w:tr>
      <w:tr>
        <w:trPr>
          <w:trHeight w:val="3291" w:hRule="exact"/>
        </w:trPr>
        <w:tc>
          <w:tcPr>
            <w:tcW w:w="169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316" w:lineRule="auto"/>
              <w:ind w:left="22" w:right="41"/>
              <w:jc w:val="left"/>
              <w:rPr>
                <w:rFonts w:ascii="宋体" w:hAnsi="宋体" w:cs="宋体" w:eastAsia="宋体" w:hint="default"/>
                <w:sz w:val="18"/>
                <w:szCs w:val="18"/>
              </w:rPr>
            </w:pPr>
            <w:r>
              <w:rPr>
                <w:rFonts w:ascii="宋体" w:hAnsi="宋体" w:cs="宋体" w:eastAsia="宋体" w:hint="default"/>
                <w:sz w:val="18"/>
                <w:szCs w:val="18"/>
              </w:rPr>
              <w:t>未达到计划进度或预 计收益的情况和原因</w:t>
            </w:r>
          </w:p>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（分具体项目）</w:t>
            </w:r>
          </w:p>
        </w:tc>
        <w:tc>
          <w:tcPr>
            <w:tcW w:w="7875" w:type="dxa"/>
            <w:gridSpan w:val="10"/>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21" w:firstLine="360"/>
              <w:jc w:val="left"/>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8</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24</w:t>
            </w:r>
            <w:r>
              <w:rPr>
                <w:rFonts w:ascii="宋体" w:hAnsi="宋体" w:cs="宋体" w:eastAsia="宋体" w:hint="default"/>
                <w:spacing w:val="-46"/>
                <w:sz w:val="18"/>
                <w:szCs w:val="18"/>
              </w:rPr>
              <w:t> </w:t>
            </w:r>
            <w:r>
              <w:rPr>
                <w:rFonts w:ascii="宋体" w:hAnsi="宋体" w:cs="宋体" w:eastAsia="宋体" w:hint="default"/>
                <w:sz w:val="18"/>
                <w:szCs w:val="18"/>
              </w:rPr>
              <w:t>日召开的第二届董事会第二十二次会议审议通过了《关于部分募集资金 </w:t>
            </w:r>
            <w:r>
              <w:rPr>
                <w:rFonts w:ascii="宋体" w:hAnsi="宋体" w:cs="宋体" w:eastAsia="宋体" w:hint="default"/>
                <w:spacing w:val="-3"/>
                <w:sz w:val="18"/>
                <w:szCs w:val="18"/>
              </w:rPr>
              <w:t>投资项目延期的议案》，公司结合目前募集资金投资项目的实施进度情况，在项目实施主体、募集资</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pacing w:val="-5"/>
                <w:sz w:val="18"/>
                <w:szCs w:val="18"/>
              </w:rPr>
              <w:t>金投资用途及投资规模不发生变更的情况下，对募集资金投资项目“研发中心建设项目”、“营销服</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务网络项目”的预计可使用状态时间进行调整至</w:t>
            </w:r>
            <w:r>
              <w:rPr>
                <w:rFonts w:ascii="宋体" w:hAnsi="宋体" w:cs="宋体" w:eastAsia="宋体" w:hint="default"/>
                <w:spacing w:val="-46"/>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宋体" w:hAnsi="宋体" w:cs="宋体" w:eastAsia="宋体" w:hint="default"/>
                <w:sz w:val="18"/>
                <w:szCs w:val="18"/>
              </w:rPr>
              <w:t>9</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30</w:t>
            </w:r>
            <w:r>
              <w:rPr>
                <w:rFonts w:ascii="宋体" w:hAnsi="宋体" w:cs="宋体" w:eastAsia="宋体" w:hint="default"/>
                <w:spacing w:val="-46"/>
                <w:sz w:val="18"/>
                <w:szCs w:val="18"/>
              </w:rPr>
              <w:t> </w:t>
            </w:r>
            <w:r>
              <w:rPr>
                <w:rFonts w:ascii="宋体" w:hAnsi="宋体" w:cs="宋体" w:eastAsia="宋体" w:hint="default"/>
                <w:sz w:val="18"/>
                <w:szCs w:val="18"/>
              </w:rPr>
              <w:t>日。</w:t>
            </w:r>
          </w:p>
          <w:p>
            <w:pPr>
              <w:pStyle w:val="TableParagraph"/>
              <w:spacing w:line="319" w:lineRule="auto" w:before="57"/>
              <w:ind w:left="22" w:right="20" w:firstLine="360"/>
              <w:jc w:val="both"/>
              <w:rPr>
                <w:rFonts w:ascii="宋体" w:hAnsi="宋体" w:cs="宋体" w:eastAsia="宋体" w:hint="default"/>
                <w:sz w:val="18"/>
                <w:szCs w:val="18"/>
              </w:rPr>
            </w:pPr>
            <w:r>
              <w:rPr>
                <w:rFonts w:ascii="宋体" w:hAnsi="宋体" w:cs="宋体" w:eastAsia="宋体" w:hint="default"/>
                <w:sz w:val="18"/>
                <w:szCs w:val="18"/>
              </w:rPr>
              <w:t>智能移动终端产品扩产与技术改造项目在</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日达到预定可使用状态，</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4</w:t>
            </w:r>
            <w:r>
              <w:rPr>
                <w:rFonts w:ascii="宋体" w:hAnsi="宋体" w:cs="宋体" w:eastAsia="宋体" w:hint="default"/>
                <w:spacing w:val="-46"/>
                <w:sz w:val="18"/>
                <w:szCs w:val="18"/>
              </w:rPr>
              <w:t> </w:t>
            </w:r>
            <w:r>
              <w:rPr>
                <w:rFonts w:ascii="宋体" w:hAnsi="宋体" w:cs="宋体" w:eastAsia="宋体" w:hint="default"/>
                <w:sz w:val="18"/>
                <w:szCs w:val="18"/>
              </w:rPr>
              <w:t>月 至截止日本项目实际产能利用率达到</w:t>
            </w:r>
            <w:r>
              <w:rPr>
                <w:rFonts w:ascii="宋体" w:hAnsi="宋体" w:cs="宋体" w:eastAsia="宋体" w:hint="default"/>
                <w:spacing w:val="-40"/>
                <w:sz w:val="18"/>
                <w:szCs w:val="18"/>
              </w:rPr>
              <w:t> </w:t>
            </w:r>
            <w:r>
              <w:rPr>
                <w:rFonts w:ascii="宋体" w:hAnsi="宋体" w:cs="宋体" w:eastAsia="宋体" w:hint="default"/>
                <w:spacing w:val="-3"/>
                <w:sz w:val="18"/>
                <w:szCs w:val="18"/>
              </w:rPr>
              <w:t>100%</w:t>
            </w:r>
            <w:r>
              <w:rPr>
                <w:rFonts w:ascii="宋体" w:hAnsi="宋体" w:cs="宋体" w:eastAsia="宋体" w:hint="default"/>
                <w:spacing w:val="-3"/>
                <w:sz w:val="18"/>
                <w:szCs w:val="18"/>
              </w:rPr>
              <w:t>，实际实现净利润为</w:t>
            </w:r>
            <w:r>
              <w:rPr>
                <w:rFonts w:ascii="宋体" w:hAnsi="宋体" w:cs="宋体" w:eastAsia="宋体" w:hint="default"/>
                <w:spacing w:val="-40"/>
                <w:sz w:val="18"/>
                <w:szCs w:val="18"/>
              </w:rPr>
              <w:t> </w:t>
            </w:r>
            <w:r>
              <w:rPr>
                <w:rFonts w:ascii="宋体" w:hAnsi="宋体" w:cs="宋体" w:eastAsia="宋体" w:hint="default"/>
                <w:sz w:val="18"/>
                <w:szCs w:val="18"/>
              </w:rPr>
              <w:t>988.31</w:t>
            </w:r>
            <w:r>
              <w:rPr>
                <w:rFonts w:ascii="宋体" w:hAnsi="宋体" w:cs="宋体" w:eastAsia="宋体" w:hint="default"/>
                <w:spacing w:val="-38"/>
                <w:sz w:val="18"/>
                <w:szCs w:val="18"/>
              </w:rPr>
              <w:t> </w:t>
            </w:r>
            <w:r>
              <w:rPr>
                <w:rFonts w:ascii="宋体" w:hAnsi="宋体" w:cs="宋体" w:eastAsia="宋体" w:hint="default"/>
                <w:spacing w:val="-3"/>
                <w:sz w:val="18"/>
                <w:szCs w:val="18"/>
              </w:rPr>
              <w:t>万元，因承诺效益预计售价较</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高，本项目产能利用率达到承诺水平，但实际实现净利润未达到承诺效益。</w:t>
            </w:r>
          </w:p>
          <w:p>
            <w:pPr>
              <w:pStyle w:val="TableParagraph"/>
              <w:spacing w:line="319" w:lineRule="auto" w:before="57"/>
              <w:ind w:left="22" w:right="56" w:firstLine="360"/>
              <w:jc w:val="both"/>
              <w:rPr>
                <w:rFonts w:ascii="宋体" w:hAnsi="宋体" w:cs="宋体" w:eastAsia="宋体" w:hint="default"/>
                <w:sz w:val="18"/>
                <w:szCs w:val="18"/>
              </w:rPr>
            </w:pPr>
            <w:r>
              <w:rPr>
                <w:rFonts w:ascii="宋体" w:hAnsi="宋体" w:cs="宋体" w:eastAsia="宋体" w:hint="default"/>
                <w:sz w:val="18"/>
                <w:szCs w:val="18"/>
              </w:rPr>
              <w:t>收购深圳市瑞柏泰电子有限公司</w:t>
            </w:r>
            <w:r>
              <w:rPr>
                <w:rFonts w:ascii="宋体" w:hAnsi="宋体" w:cs="宋体" w:eastAsia="宋体" w:hint="default"/>
                <w:spacing w:val="-46"/>
                <w:sz w:val="18"/>
                <w:szCs w:val="18"/>
              </w:rPr>
              <w:t> </w:t>
            </w:r>
            <w:r>
              <w:rPr>
                <w:rFonts w:ascii="宋体" w:hAnsi="宋体" w:cs="宋体" w:eastAsia="宋体" w:hint="default"/>
                <w:sz w:val="18"/>
                <w:szCs w:val="18"/>
              </w:rPr>
              <w:t>51%</w:t>
            </w:r>
            <w:r>
              <w:rPr>
                <w:rFonts w:ascii="宋体" w:hAnsi="宋体" w:cs="宋体" w:eastAsia="宋体" w:hint="default"/>
                <w:sz w:val="18"/>
                <w:szCs w:val="18"/>
              </w:rPr>
              <w:t>股权项目承诺的</w:t>
            </w:r>
            <w:r>
              <w:rPr>
                <w:rFonts w:ascii="宋体" w:hAnsi="宋体" w:cs="宋体" w:eastAsia="宋体" w:hint="default"/>
                <w:spacing w:val="-46"/>
                <w:sz w:val="18"/>
                <w:szCs w:val="18"/>
              </w:rPr>
              <w:t> </w:t>
            </w:r>
            <w:r>
              <w:rPr>
                <w:rFonts w:ascii="宋体" w:hAnsi="宋体" w:cs="宋体" w:eastAsia="宋体" w:hint="default"/>
                <w:sz w:val="18"/>
                <w:szCs w:val="18"/>
              </w:rPr>
              <w:t>2017</w:t>
            </w:r>
            <w:r>
              <w:rPr>
                <w:rFonts w:ascii="宋体" w:hAnsi="宋体" w:cs="宋体" w:eastAsia="宋体" w:hint="default"/>
                <w:spacing w:val="-45"/>
                <w:sz w:val="18"/>
                <w:szCs w:val="18"/>
              </w:rPr>
              <w:t> </w:t>
            </w:r>
            <w:r>
              <w:rPr>
                <w:rFonts w:ascii="宋体" w:hAnsi="宋体" w:cs="宋体" w:eastAsia="宋体" w:hint="default"/>
                <w:sz w:val="18"/>
                <w:szCs w:val="18"/>
              </w:rPr>
              <w:t>年度、</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年度及</w:t>
            </w:r>
            <w:r>
              <w:rPr>
                <w:rFonts w:ascii="宋体" w:hAnsi="宋体" w:cs="宋体" w:eastAsia="宋体" w:hint="default"/>
                <w:spacing w:val="-46"/>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年度的净利 润分别不低于</w:t>
            </w:r>
            <w:r>
              <w:rPr>
                <w:rFonts w:ascii="宋体" w:hAnsi="宋体" w:cs="宋体" w:eastAsia="宋体" w:hint="default"/>
                <w:spacing w:val="-46"/>
                <w:sz w:val="18"/>
                <w:szCs w:val="18"/>
              </w:rPr>
              <w:t> </w:t>
            </w:r>
            <w:r>
              <w:rPr>
                <w:rFonts w:ascii="宋体" w:hAnsi="宋体" w:cs="宋体" w:eastAsia="宋体" w:hint="default"/>
                <w:sz w:val="18"/>
                <w:szCs w:val="18"/>
              </w:rPr>
              <w:t>2,400</w:t>
            </w:r>
            <w:r>
              <w:rPr>
                <w:rFonts w:ascii="宋体" w:hAnsi="宋体" w:cs="宋体" w:eastAsia="宋体" w:hint="default"/>
                <w:spacing w:val="-46"/>
                <w:sz w:val="18"/>
                <w:szCs w:val="18"/>
              </w:rPr>
              <w:t> </w:t>
            </w:r>
            <w:r>
              <w:rPr>
                <w:rFonts w:ascii="宋体" w:hAnsi="宋体" w:cs="宋体" w:eastAsia="宋体" w:hint="default"/>
                <w:sz w:val="18"/>
                <w:szCs w:val="18"/>
              </w:rPr>
              <w:t>万元、</w:t>
            </w:r>
            <w:r>
              <w:rPr>
                <w:rFonts w:ascii="宋体" w:hAnsi="宋体" w:cs="宋体" w:eastAsia="宋体" w:hint="default"/>
                <w:sz w:val="18"/>
                <w:szCs w:val="18"/>
              </w:rPr>
              <w:t>2,800</w:t>
            </w:r>
            <w:r>
              <w:rPr>
                <w:rFonts w:ascii="宋体" w:hAnsi="宋体" w:cs="宋体" w:eastAsia="宋体" w:hint="default"/>
                <w:spacing w:val="-46"/>
                <w:sz w:val="18"/>
                <w:szCs w:val="18"/>
              </w:rPr>
              <w:t> </w:t>
            </w:r>
            <w:r>
              <w:rPr>
                <w:rFonts w:ascii="宋体" w:hAnsi="宋体" w:cs="宋体" w:eastAsia="宋体" w:hint="default"/>
                <w:sz w:val="18"/>
                <w:szCs w:val="18"/>
              </w:rPr>
              <w:t>万元和</w:t>
            </w:r>
            <w:r>
              <w:rPr>
                <w:rFonts w:ascii="宋体" w:hAnsi="宋体" w:cs="宋体" w:eastAsia="宋体" w:hint="default"/>
                <w:spacing w:val="-46"/>
                <w:sz w:val="18"/>
                <w:szCs w:val="18"/>
              </w:rPr>
              <w:t> </w:t>
            </w:r>
            <w:r>
              <w:rPr>
                <w:rFonts w:ascii="宋体" w:hAnsi="宋体" w:cs="宋体" w:eastAsia="宋体" w:hint="default"/>
                <w:sz w:val="18"/>
                <w:szCs w:val="18"/>
              </w:rPr>
              <w:t>3,100</w:t>
            </w:r>
            <w:r>
              <w:rPr>
                <w:rFonts w:ascii="宋体" w:hAnsi="宋体" w:cs="宋体" w:eastAsia="宋体" w:hint="default"/>
                <w:spacing w:val="-46"/>
                <w:sz w:val="18"/>
                <w:szCs w:val="18"/>
              </w:rPr>
              <w:t> </w:t>
            </w:r>
            <w:r>
              <w:rPr>
                <w:rFonts w:ascii="宋体" w:hAnsi="宋体" w:cs="宋体" w:eastAsia="宋体" w:hint="default"/>
                <w:sz w:val="18"/>
                <w:szCs w:val="18"/>
              </w:rPr>
              <w:t>万元，</w:t>
            </w:r>
            <w:r>
              <w:rPr>
                <w:rFonts w:ascii="宋体" w:hAnsi="宋体" w:cs="宋体" w:eastAsia="宋体" w:hint="default"/>
                <w:sz w:val="18"/>
                <w:szCs w:val="18"/>
              </w:rPr>
              <w:t>2017</w:t>
            </w:r>
            <w:r>
              <w:rPr>
                <w:rFonts w:ascii="宋体" w:hAnsi="宋体" w:cs="宋体" w:eastAsia="宋体" w:hint="default"/>
                <w:spacing w:val="-45"/>
                <w:sz w:val="18"/>
                <w:szCs w:val="18"/>
              </w:rPr>
              <w:t> </w:t>
            </w:r>
            <w:r>
              <w:rPr>
                <w:rFonts w:ascii="宋体" w:hAnsi="宋体" w:cs="宋体" w:eastAsia="宋体" w:hint="default"/>
                <w:sz w:val="18"/>
                <w:szCs w:val="18"/>
              </w:rPr>
              <w:t>年度、</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年度实际实现的净利润分别 为</w:t>
            </w:r>
            <w:r>
              <w:rPr>
                <w:rFonts w:ascii="宋体" w:hAnsi="宋体" w:cs="宋体" w:eastAsia="宋体" w:hint="default"/>
                <w:spacing w:val="-46"/>
                <w:sz w:val="18"/>
                <w:szCs w:val="18"/>
              </w:rPr>
              <w:t> </w:t>
            </w:r>
            <w:r>
              <w:rPr>
                <w:rFonts w:ascii="宋体" w:hAnsi="宋体" w:cs="宋体" w:eastAsia="宋体" w:hint="default"/>
                <w:sz w:val="18"/>
                <w:szCs w:val="18"/>
              </w:rPr>
              <w:t>2,420.13</w:t>
            </w:r>
            <w:r>
              <w:rPr>
                <w:rFonts w:ascii="宋体" w:hAnsi="宋体" w:cs="宋体" w:eastAsia="宋体" w:hint="default"/>
                <w:spacing w:val="-46"/>
                <w:sz w:val="18"/>
                <w:szCs w:val="18"/>
              </w:rPr>
              <w:t> </w:t>
            </w:r>
            <w:r>
              <w:rPr>
                <w:rFonts w:ascii="宋体" w:hAnsi="宋体" w:cs="宋体" w:eastAsia="宋体" w:hint="default"/>
                <w:sz w:val="18"/>
                <w:szCs w:val="18"/>
              </w:rPr>
              <w:t>万元、</w:t>
            </w:r>
            <w:r>
              <w:rPr>
                <w:rFonts w:ascii="宋体" w:hAnsi="宋体" w:cs="宋体" w:eastAsia="宋体" w:hint="default"/>
                <w:sz w:val="18"/>
                <w:szCs w:val="18"/>
              </w:rPr>
              <w:t>2,656.72 </w:t>
            </w:r>
            <w:r>
              <w:rPr>
                <w:rFonts w:ascii="宋体" w:hAnsi="宋体" w:cs="宋体" w:eastAsia="宋体" w:hint="default"/>
                <w:sz w:val="18"/>
                <w:szCs w:val="18"/>
              </w:rPr>
              <w:t>万元，截止日实际承诺业绩完成率达到</w:t>
            </w:r>
            <w:r>
              <w:rPr>
                <w:rFonts w:ascii="宋体" w:hAnsi="宋体" w:cs="宋体" w:eastAsia="宋体" w:hint="default"/>
                <w:spacing w:val="-46"/>
                <w:sz w:val="18"/>
                <w:szCs w:val="18"/>
              </w:rPr>
              <w:t> </w:t>
            </w:r>
            <w:r>
              <w:rPr>
                <w:rFonts w:ascii="宋体" w:hAnsi="宋体" w:cs="宋体" w:eastAsia="宋体" w:hint="default"/>
                <w:sz w:val="18"/>
                <w:szCs w:val="18"/>
              </w:rPr>
              <w:t>97.63%</w:t>
            </w:r>
            <w:r>
              <w:rPr>
                <w:rFonts w:ascii="宋体" w:hAnsi="宋体" w:cs="宋体" w:eastAsia="宋体" w:hint="default"/>
                <w:sz w:val="18"/>
                <w:szCs w:val="18"/>
              </w:rPr>
              <w:t>。</w:t>
            </w:r>
          </w:p>
        </w:tc>
      </w:tr>
    </w:tbl>
    <w:p>
      <w:pPr>
        <w:spacing w:after="0" w:line="319" w:lineRule="auto"/>
        <w:jc w:val="both"/>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6"/>
          <w:szCs w:val="16"/>
        </w:rPr>
      </w:pPr>
    </w:p>
    <w:p>
      <w:pPr>
        <w:pStyle w:val="BodyText"/>
        <w:spacing w:line="240" w:lineRule="auto"/>
        <w:ind w:left="5856" w:right="1103"/>
        <w:jc w:val="right"/>
      </w:pPr>
      <w:r>
        <w:rPr/>
        <w:pict>
          <v:shape style="position:absolute;margin-left:58.139999pt;margin-top:-18.648272pt;width:479.3pt;height:538.15pt;mso-position-horizontal-relative:page;mso-position-vertical-relative:paragraph;z-index:11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96"/>
                    <w:gridCol w:w="7875"/>
                  </w:tblGrid>
                  <w:tr>
                    <w:trPr>
                      <w:trHeight w:val="3210" w:hRule="exact"/>
                    </w:trPr>
                    <w:tc>
                      <w:tcPr>
                        <w:tcW w:w="1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2"/>
                          <w:ind w:left="22" w:right="41"/>
                          <w:jc w:val="left"/>
                          <w:rPr>
                            <w:rFonts w:ascii="宋体" w:hAnsi="宋体" w:cs="宋体" w:eastAsia="宋体" w:hint="default"/>
                            <w:sz w:val="18"/>
                            <w:szCs w:val="18"/>
                          </w:rPr>
                        </w:pPr>
                        <w:r>
                          <w:rPr>
                            <w:rFonts w:ascii="宋体" w:hAnsi="宋体" w:cs="宋体" w:eastAsia="宋体" w:hint="default"/>
                            <w:sz w:val="18"/>
                            <w:szCs w:val="18"/>
                          </w:rPr>
                          <w:t>项目可行性发生重大 变化的情况说明</w:t>
                        </w:r>
                      </w:p>
                    </w:tc>
                    <w:tc>
                      <w:tcPr>
                        <w:tcW w:w="7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智能移动终端产品扩产及技术改造项目原计划在深圳市南山区购置</w:t>
                        </w:r>
                        <w:r>
                          <w:rPr>
                            <w:rFonts w:ascii="宋体" w:hAnsi="宋体" w:cs="宋体" w:eastAsia="宋体" w:hint="default"/>
                            <w:spacing w:val="-45"/>
                            <w:sz w:val="18"/>
                            <w:szCs w:val="18"/>
                          </w:rPr>
                          <w:t> </w:t>
                        </w:r>
                        <w:r>
                          <w:rPr>
                            <w:rFonts w:ascii="宋体" w:hAnsi="宋体" w:cs="宋体" w:eastAsia="宋体" w:hint="default"/>
                            <w:sz w:val="18"/>
                            <w:szCs w:val="18"/>
                          </w:rPr>
                          <w:t>900</w:t>
                        </w:r>
                        <w:r>
                          <w:rPr>
                            <w:rFonts w:ascii="宋体" w:hAnsi="宋体" w:cs="宋体" w:eastAsia="宋体" w:hint="default"/>
                            <w:spacing w:val="-46"/>
                            <w:sz w:val="18"/>
                            <w:szCs w:val="18"/>
                          </w:rPr>
                          <w:t> </w:t>
                        </w:r>
                        <w:r>
                          <w:rPr>
                            <w:rFonts w:ascii="宋体" w:hAnsi="宋体" w:cs="宋体" w:eastAsia="宋体" w:hint="default"/>
                            <w:sz w:val="18"/>
                            <w:szCs w:val="18"/>
                          </w:rPr>
                          <w:t>平方米写字楼作为综合</w:t>
                        </w:r>
                      </w:p>
                      <w:p>
                        <w:pPr>
                          <w:pStyle w:val="TableParagraph"/>
                          <w:spacing w:line="319" w:lineRule="auto" w:before="76"/>
                          <w:ind w:left="22" w:right="21"/>
                          <w:jc w:val="left"/>
                          <w:rPr>
                            <w:rFonts w:ascii="宋体" w:hAnsi="宋体" w:cs="宋体" w:eastAsia="宋体" w:hint="default"/>
                            <w:sz w:val="18"/>
                            <w:szCs w:val="18"/>
                          </w:rPr>
                        </w:pPr>
                        <w:r>
                          <w:rPr>
                            <w:rFonts w:ascii="宋体" w:hAnsi="宋体" w:cs="宋体" w:eastAsia="宋体" w:hint="default"/>
                            <w:sz w:val="18"/>
                            <w:szCs w:val="18"/>
                          </w:rPr>
                          <w:t>办公场所，研发中心建设项目原计划在深圳市南山区购置</w:t>
                        </w:r>
                        <w:r>
                          <w:rPr>
                            <w:rFonts w:ascii="宋体" w:hAnsi="宋体" w:cs="宋体" w:eastAsia="宋体" w:hint="default"/>
                            <w:spacing w:val="-49"/>
                            <w:sz w:val="18"/>
                            <w:szCs w:val="18"/>
                          </w:rPr>
                          <w:t> </w:t>
                        </w:r>
                        <w:r>
                          <w:rPr>
                            <w:rFonts w:ascii="宋体" w:hAnsi="宋体" w:cs="宋体" w:eastAsia="宋体" w:hint="default"/>
                            <w:sz w:val="18"/>
                            <w:szCs w:val="18"/>
                          </w:rPr>
                          <w:t>400</w:t>
                        </w:r>
                        <w:r>
                          <w:rPr>
                            <w:rFonts w:ascii="宋体" w:hAnsi="宋体" w:cs="宋体" w:eastAsia="宋体" w:hint="default"/>
                            <w:spacing w:val="-49"/>
                            <w:sz w:val="18"/>
                            <w:szCs w:val="18"/>
                          </w:rPr>
                          <w:t> </w:t>
                        </w:r>
                        <w:r>
                          <w:rPr>
                            <w:rFonts w:ascii="宋体" w:hAnsi="宋体" w:cs="宋体" w:eastAsia="宋体" w:hint="default"/>
                            <w:sz w:val="18"/>
                            <w:szCs w:val="18"/>
                          </w:rPr>
                          <w:t>平方米写字楼作为研发中心办公场地 由于公司在南山区附近没有找到可供购买的合适的写字楼，因此，公司将在南山区购置写字楼的计 划变更为在深圳市南山区租赁写字楼作为综合办公场所及研发中心办公场地，上述两项目原计划购 置场地的费用合计减少</w:t>
                        </w:r>
                        <w:r>
                          <w:rPr>
                            <w:rFonts w:ascii="宋体" w:hAnsi="宋体" w:cs="宋体" w:eastAsia="宋体" w:hint="default"/>
                            <w:spacing w:val="-46"/>
                            <w:sz w:val="18"/>
                            <w:szCs w:val="18"/>
                          </w:rPr>
                          <w:t> </w:t>
                        </w:r>
                        <w:r>
                          <w:rPr>
                            <w:rFonts w:ascii="宋体" w:hAnsi="宋体" w:cs="宋体" w:eastAsia="宋体" w:hint="default"/>
                            <w:sz w:val="18"/>
                            <w:szCs w:val="18"/>
                          </w:rPr>
                          <w:t>5,200</w:t>
                        </w:r>
                        <w:r>
                          <w:rPr>
                            <w:rFonts w:ascii="宋体" w:hAnsi="宋体" w:cs="宋体" w:eastAsia="宋体" w:hint="default"/>
                            <w:spacing w:val="-46"/>
                            <w:sz w:val="18"/>
                            <w:szCs w:val="18"/>
                          </w:rPr>
                          <w:t> </w:t>
                        </w:r>
                        <w:r>
                          <w:rPr>
                            <w:rFonts w:ascii="宋体" w:hAnsi="宋体" w:cs="宋体" w:eastAsia="宋体" w:hint="default"/>
                            <w:sz w:val="18"/>
                            <w:szCs w:val="18"/>
                          </w:rPr>
                          <w:t>万元。与此同时，鉴于珠三角产业上游设备供应发展迅速，公司将继 续沿用原来生产及组装方式，且近年来公司在扩大生产规模的同时生产管理水平提升，产能利用率 大幅提升，无需大量购置固定资产也可实现项目产能目标。因此，公司将扩产项目原计划购置设备 的</w:t>
                        </w:r>
                        <w:r>
                          <w:rPr>
                            <w:rFonts w:ascii="宋体" w:hAnsi="宋体" w:cs="宋体" w:eastAsia="宋体" w:hint="default"/>
                            <w:spacing w:val="-49"/>
                            <w:sz w:val="18"/>
                            <w:szCs w:val="18"/>
                          </w:rPr>
                          <w:t> </w:t>
                        </w:r>
                        <w:r>
                          <w:rPr>
                            <w:rFonts w:ascii="宋体" w:hAnsi="宋体" w:cs="宋体" w:eastAsia="宋体" w:hint="default"/>
                            <w:sz w:val="18"/>
                            <w:szCs w:val="18"/>
                          </w:rPr>
                          <w:t>1,359.32</w:t>
                        </w:r>
                        <w:r>
                          <w:rPr>
                            <w:rFonts w:ascii="宋体" w:hAnsi="宋体" w:cs="宋体" w:eastAsia="宋体" w:hint="default"/>
                            <w:spacing w:val="-49"/>
                            <w:sz w:val="18"/>
                            <w:szCs w:val="18"/>
                          </w:rPr>
                          <w:t> </w:t>
                        </w:r>
                        <w:r>
                          <w:rPr>
                            <w:rFonts w:ascii="宋体" w:hAnsi="宋体" w:cs="宋体" w:eastAsia="宋体" w:hint="default"/>
                            <w:sz w:val="18"/>
                            <w:szCs w:val="18"/>
                          </w:rPr>
                          <w:t>万元减少</w:t>
                        </w:r>
                        <w:r>
                          <w:rPr>
                            <w:rFonts w:ascii="宋体" w:hAnsi="宋体" w:cs="宋体" w:eastAsia="宋体" w:hint="default"/>
                            <w:spacing w:val="-49"/>
                            <w:sz w:val="18"/>
                            <w:szCs w:val="18"/>
                          </w:rPr>
                          <w:t> </w:t>
                        </w:r>
                        <w:r>
                          <w:rPr>
                            <w:rFonts w:ascii="宋体" w:hAnsi="宋体" w:cs="宋体" w:eastAsia="宋体" w:hint="default"/>
                            <w:sz w:val="18"/>
                            <w:szCs w:val="18"/>
                          </w:rPr>
                          <w:t>1,000</w:t>
                        </w:r>
                        <w:r>
                          <w:rPr>
                            <w:rFonts w:ascii="宋体" w:hAnsi="宋体" w:cs="宋体" w:eastAsia="宋体" w:hint="default"/>
                            <w:spacing w:val="-47"/>
                            <w:sz w:val="18"/>
                            <w:szCs w:val="18"/>
                          </w:rPr>
                          <w:t> </w:t>
                        </w:r>
                        <w:r>
                          <w:rPr>
                            <w:rFonts w:ascii="宋体" w:hAnsi="宋体" w:cs="宋体" w:eastAsia="宋体" w:hint="default"/>
                            <w:sz w:val="18"/>
                            <w:szCs w:val="18"/>
                          </w:rPr>
                          <w:t>万元。公司本次部分变更募集资金用于股权收购事项是结合项目实施情 况、业务发展环境，综合考虑项目风险与收益等方面之后做出的谨慎决定，符合公司发展战略，有 利于提高募集资金使用效率。</w:t>
                        </w:r>
                      </w:p>
                    </w:tc>
                  </w:tr>
                  <w:tr>
                    <w:trPr>
                      <w:trHeight w:val="714" w:hRule="exact"/>
                    </w:trPr>
                    <w:tc>
                      <w:tcPr>
                        <w:tcW w:w="1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超募资金的金额、用 途及使用进展情况</w:t>
                        </w:r>
                      </w:p>
                    </w:tc>
                    <w:tc>
                      <w:tcPr>
                        <w:tcW w:w="7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6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2"/>
                            <w:szCs w:val="22"/>
                          </w:rPr>
                        </w:pPr>
                      </w:p>
                      <w:p>
                        <w:pPr>
                          <w:pStyle w:val="TableParagraph"/>
                          <w:spacing w:line="319" w:lineRule="auto"/>
                          <w:ind w:left="22" w:right="41"/>
                          <w:jc w:val="left"/>
                          <w:rPr>
                            <w:rFonts w:ascii="宋体" w:hAnsi="宋体" w:cs="宋体" w:eastAsia="宋体" w:hint="default"/>
                            <w:sz w:val="18"/>
                            <w:szCs w:val="18"/>
                          </w:rPr>
                        </w:pPr>
                        <w:r>
                          <w:rPr>
                            <w:rFonts w:ascii="宋体" w:hAnsi="宋体" w:cs="宋体" w:eastAsia="宋体" w:hint="default"/>
                            <w:sz w:val="18"/>
                            <w:szCs w:val="18"/>
                          </w:rPr>
                          <w:t>募集资金投资项目实 施地点变更情况</w:t>
                        </w:r>
                      </w:p>
                    </w:tc>
                    <w:tc>
                      <w:tcPr>
                        <w:tcW w:w="7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402" w:hRule="exact"/>
                    </w:trPr>
                    <w:tc>
                      <w:tcPr>
                        <w:tcW w:w="1696" w:type="dxa"/>
                        <w:vMerge/>
                        <w:tcBorders>
                          <w:left w:val="single" w:sz="4" w:space="0" w:color="000000"/>
                          <w:right w:val="single" w:sz="4" w:space="0" w:color="000000"/>
                        </w:tcBorders>
                        <w:shd w:val="clear" w:color="auto" w:fill="D2D2D2"/>
                      </w:tcPr>
                      <w:p>
                        <w:pPr/>
                      </w:p>
                    </w:tc>
                    <w:tc>
                      <w:tcPr>
                        <w:tcW w:w="7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以前年度发生</w:t>
                        </w:r>
                      </w:p>
                    </w:tc>
                  </w:tr>
                  <w:tr>
                    <w:trPr>
                      <w:trHeight w:val="1338" w:hRule="exact"/>
                    </w:trPr>
                    <w:tc>
                      <w:tcPr>
                        <w:tcW w:w="1696" w:type="dxa"/>
                        <w:vMerge/>
                        <w:tcBorders>
                          <w:left w:val="single" w:sz="4" w:space="0" w:color="000000"/>
                          <w:bottom w:val="single" w:sz="4" w:space="0" w:color="000000"/>
                          <w:right w:val="single" w:sz="4" w:space="0" w:color="000000"/>
                        </w:tcBorders>
                        <w:shd w:val="clear" w:color="auto" w:fill="D2D2D2"/>
                      </w:tcPr>
                      <w:p>
                        <w:pPr/>
                      </w:p>
                    </w:tc>
                    <w:tc>
                      <w:tcPr>
                        <w:tcW w:w="787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firstLine="360"/>
                          <w:jc w:val="left"/>
                          <w:rPr>
                            <w:rFonts w:ascii="宋体" w:hAnsi="宋体" w:cs="宋体" w:eastAsia="宋体" w:hint="default"/>
                            <w:sz w:val="18"/>
                            <w:szCs w:val="18"/>
                          </w:rPr>
                        </w:pPr>
                        <w:r>
                          <w:rPr>
                            <w:rFonts w:ascii="宋体" w:hAnsi="宋体" w:cs="宋体" w:eastAsia="宋体" w:hint="default"/>
                            <w:sz w:val="18"/>
                            <w:szCs w:val="18"/>
                          </w:rPr>
                          <w:t>经公司</w:t>
                        </w:r>
                        <w:r>
                          <w:rPr>
                            <w:rFonts w:ascii="宋体" w:hAnsi="宋体" w:cs="宋体" w:eastAsia="宋体" w:hint="default"/>
                            <w:spacing w:val="-48"/>
                            <w:sz w:val="18"/>
                            <w:szCs w:val="18"/>
                          </w:rPr>
                          <w:t> </w:t>
                        </w:r>
                        <w:r>
                          <w:rPr>
                            <w:rFonts w:ascii="宋体" w:hAnsi="宋体" w:cs="宋体" w:eastAsia="宋体" w:hint="default"/>
                            <w:sz w:val="18"/>
                            <w:szCs w:val="18"/>
                          </w:rPr>
                          <w:t>2016</w:t>
                        </w:r>
                        <w:r>
                          <w:rPr>
                            <w:rFonts w:ascii="宋体" w:hAnsi="宋体" w:cs="宋体" w:eastAsia="宋体" w:hint="default"/>
                            <w:spacing w:val="-48"/>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12</w:t>
                        </w:r>
                        <w:r>
                          <w:rPr>
                            <w:rFonts w:ascii="宋体" w:hAnsi="宋体" w:cs="宋体" w:eastAsia="宋体" w:hint="default"/>
                            <w:spacing w:val="-48"/>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26</w:t>
                        </w:r>
                        <w:r>
                          <w:rPr>
                            <w:rFonts w:ascii="宋体" w:hAnsi="宋体" w:cs="宋体" w:eastAsia="宋体" w:hint="default"/>
                            <w:spacing w:val="-48"/>
                            <w:sz w:val="18"/>
                            <w:szCs w:val="18"/>
                          </w:rPr>
                          <w:t> </w:t>
                        </w:r>
                        <w:r>
                          <w:rPr>
                            <w:rFonts w:ascii="宋体" w:hAnsi="宋体" w:cs="宋体" w:eastAsia="宋体" w:hint="default"/>
                            <w:sz w:val="18"/>
                            <w:szCs w:val="18"/>
                          </w:rPr>
                          <w:t>日召开的第二届第九次董事会、第二届第七次监事会会议审议通过，将 “智能移动终端产品扩产及技术改造项目”原定在龙岗区实施部分的地点变更为宝安区西乡街道黄 田社区杨背工业区三期十一栋</w:t>
                        </w:r>
                        <w:r>
                          <w:rPr>
                            <w:rFonts w:ascii="宋体" w:hAnsi="宋体" w:cs="宋体" w:eastAsia="宋体" w:hint="default"/>
                            <w:spacing w:val="-46"/>
                            <w:sz w:val="18"/>
                            <w:szCs w:val="18"/>
                          </w:rPr>
                          <w:t> </w:t>
                        </w: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楼。并且独立董事发表了明确同意意见，保荐机构同意对此次募投 项目实施地点的变更。</w:t>
                        </w:r>
                      </w:p>
                    </w:tc>
                  </w:tr>
                  <w:tr>
                    <w:trPr>
                      <w:trHeight w:val="714" w:hRule="exact"/>
                    </w:trPr>
                    <w:tc>
                      <w:tcPr>
                        <w:tcW w:w="1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募集资金投资项目实 施方式调整情况</w:t>
                        </w:r>
                      </w:p>
                    </w:tc>
                    <w:tc>
                      <w:tcPr>
                        <w:tcW w:w="7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4" w:hRule="exact"/>
                    </w:trPr>
                    <w:tc>
                      <w:tcPr>
                        <w:tcW w:w="1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募集资金投资项目先 期投入及置换情况</w:t>
                        </w:r>
                      </w:p>
                    </w:tc>
                    <w:tc>
                      <w:tcPr>
                        <w:tcW w:w="7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4" w:hRule="exact"/>
                    </w:trPr>
                    <w:tc>
                      <w:tcPr>
                        <w:tcW w:w="1696" w:type="dxa"/>
                        <w:tcBorders>
                          <w:top w:val="single" w:sz="4" w:space="0" w:color="000000"/>
                          <w:left w:val="single" w:sz="4" w:space="0" w:color="000000"/>
                          <w:bottom w:val="single" w:sz="4" w:space="0" w:color="FFFFFF"/>
                          <w:right w:val="single" w:sz="4" w:space="0" w:color="000000"/>
                        </w:tcBorders>
                        <w:shd w:val="clear" w:color="auto" w:fill="D2D2D2"/>
                      </w:tcPr>
                      <w:p>
                        <w:pPr>
                          <w:pStyle w:val="TableParagraph"/>
                          <w:spacing w:line="319"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用闲置募集资金暂时 补充流动资金情况</w:t>
                        </w:r>
                      </w:p>
                    </w:tc>
                    <w:tc>
                      <w:tcPr>
                        <w:tcW w:w="7875" w:type="dxa"/>
                        <w:tcBorders>
                          <w:top w:val="single" w:sz="4" w:space="0" w:color="000000"/>
                          <w:left w:val="single" w:sz="4" w:space="0" w:color="000000"/>
                          <w:bottom w:val="single" w:sz="4" w:space="0" w:color="FFFFFF"/>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696" w:type="dxa"/>
                        <w:vMerge w:val="restart"/>
                        <w:tcBorders>
                          <w:top w:val="single" w:sz="4" w:space="0" w:color="FFFFFF"/>
                          <w:left w:val="single" w:sz="4" w:space="0" w:color="000000"/>
                          <w:right w:val="single" w:sz="4" w:space="0" w:color="000000"/>
                        </w:tcBorders>
                        <w:shd w:val="clear" w:color="auto" w:fill="D2D2D2"/>
                      </w:tcPr>
                      <w:p>
                        <w:pPr>
                          <w:pStyle w:val="TableParagraph"/>
                          <w:spacing w:line="316" w:lineRule="auto" w:before="97"/>
                          <w:ind w:left="22" w:right="41"/>
                          <w:jc w:val="left"/>
                          <w:rPr>
                            <w:rFonts w:ascii="宋体" w:hAnsi="宋体" w:cs="宋体" w:eastAsia="宋体" w:hint="default"/>
                            <w:sz w:val="18"/>
                            <w:szCs w:val="18"/>
                          </w:rPr>
                        </w:pPr>
                        <w:r>
                          <w:rPr>
                            <w:rFonts w:ascii="宋体" w:hAnsi="宋体" w:cs="宋体" w:eastAsia="宋体" w:hint="default"/>
                            <w:sz w:val="18"/>
                            <w:szCs w:val="18"/>
                          </w:rPr>
                          <w:t>项目实施出现募集资 金结余的金额及原因</w:t>
                        </w:r>
                      </w:p>
                    </w:tc>
                    <w:tc>
                      <w:tcPr>
                        <w:tcW w:w="7875" w:type="dxa"/>
                        <w:tcBorders>
                          <w:top w:val="single" w:sz="4" w:space="0" w:color="FFFFFF"/>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402" w:hRule="exact"/>
                    </w:trPr>
                    <w:tc>
                      <w:tcPr>
                        <w:tcW w:w="1696" w:type="dxa"/>
                        <w:vMerge/>
                        <w:tcBorders>
                          <w:left w:val="single" w:sz="4" w:space="0" w:color="000000"/>
                          <w:bottom w:val="single" w:sz="4" w:space="0" w:color="000000"/>
                          <w:right w:val="single" w:sz="4" w:space="0" w:color="000000"/>
                        </w:tcBorders>
                        <w:shd w:val="clear" w:color="auto" w:fill="D2D2D2"/>
                      </w:tcPr>
                      <w:p>
                        <w:pPr/>
                      </w:p>
                    </w:tc>
                    <w:tc>
                      <w:tcPr>
                        <w:tcW w:w="7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项目还在进行中，相应募集资金处于投入使用中。</w:t>
                        </w:r>
                      </w:p>
                    </w:tc>
                  </w:tr>
                  <w:tr>
                    <w:trPr>
                      <w:trHeight w:val="714" w:hRule="exact"/>
                    </w:trPr>
                    <w:tc>
                      <w:tcPr>
                        <w:tcW w:w="1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41"/>
                          <w:jc w:val="left"/>
                          <w:rPr>
                            <w:rFonts w:ascii="宋体" w:hAnsi="宋体" w:cs="宋体" w:eastAsia="宋体" w:hint="default"/>
                            <w:sz w:val="18"/>
                            <w:szCs w:val="18"/>
                          </w:rPr>
                        </w:pPr>
                        <w:r>
                          <w:rPr>
                            <w:rFonts w:ascii="宋体" w:hAnsi="宋体" w:cs="宋体" w:eastAsia="宋体" w:hint="default"/>
                            <w:sz w:val="18"/>
                            <w:szCs w:val="18"/>
                          </w:rPr>
                          <w:t>尚未使用的募集资金 用途及去向</w:t>
                        </w:r>
                      </w:p>
                    </w:tc>
                    <w:tc>
                      <w:tcPr>
                        <w:tcW w:w="7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尚未使用的募集资金均存放在公司的募集资金账户。</w:t>
                        </w:r>
                      </w:p>
                    </w:tc>
                  </w:tr>
                  <w:tr>
                    <w:trPr>
                      <w:trHeight w:val="1026" w:hRule="exact"/>
                    </w:trPr>
                    <w:tc>
                      <w:tcPr>
                        <w:tcW w:w="1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募集资金使用及披露 中存在的问题或其他 情况</w:t>
                        </w:r>
                      </w:p>
                    </w:tc>
                    <w:tc>
                      <w:tcPr>
                        <w:tcW w:w="78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5"/>
          <w:szCs w:val="15"/>
        </w:rPr>
      </w:pPr>
    </w:p>
    <w:p>
      <w:pPr>
        <w:pStyle w:val="Heading3"/>
        <w:spacing w:line="240" w:lineRule="auto" w:before="35"/>
        <w:ind w:right="1134"/>
        <w:jc w:val="left"/>
        <w:rPr>
          <w:b w:val="0"/>
          <w:bCs w:val="0"/>
        </w:rPr>
      </w:pPr>
      <w:bookmarkStart w:name="（3）募集资金变更项目情况" w:id="52"/>
      <w:bookmarkEnd w:id="52"/>
      <w:r>
        <w:rPr>
          <w:b w:val="0"/>
          <w:bCs w:val="0"/>
        </w:rPr>
      </w:r>
      <w:r>
        <w:rPr/>
        <w:t>（</w:t>
      </w:r>
      <w:r>
        <w:rPr>
          <w:rFonts w:ascii="Times New Roman" w:hAnsi="Times New Roman" w:cs="Times New Roman" w:eastAsia="Times New Roman" w:hint="default"/>
        </w:rPr>
        <w:t>3</w:t>
      </w:r>
      <w:r>
        <w:rPr/>
        <w:t>）募集资金变更项目情况</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73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公司报告期不存在募集资金变更项目情况。</w:t>
      </w:r>
    </w:p>
    <w:p>
      <w:pPr>
        <w:spacing w:after="0" w:line="340" w:lineRule="auto"/>
        <w:jc w:val="left"/>
        <w:sectPr>
          <w:pgSz w:w="11910" w:h="16840"/>
          <w:pgMar w:header="747"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1134"/>
        <w:jc w:val="left"/>
        <w:rPr>
          <w:b w:val="0"/>
          <w:bCs w:val="0"/>
        </w:rPr>
      </w:pPr>
      <w:bookmarkStart w:name="六、重大资产和股权出售" w:id="53"/>
      <w:bookmarkEnd w:id="53"/>
      <w:r>
        <w:rPr>
          <w:b w:val="0"/>
          <w:bCs w:val="0"/>
        </w:rPr>
      </w:r>
      <w:r>
        <w:rPr/>
        <w:t>六、重大资产和股权出售</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出售重大资产情况" w:id="54"/>
      <w:bookmarkEnd w:id="54"/>
      <w:r>
        <w:rPr>
          <w:b w:val="0"/>
          <w:bCs w:val="0"/>
        </w:rPr>
      </w:r>
      <w:r>
        <w:rPr>
          <w:rFonts w:ascii="Times New Roman" w:hAnsi="Times New Roman" w:cs="Times New Roman" w:eastAsia="Times New Roman" w:hint="default"/>
        </w:rPr>
        <w:t>1</w:t>
      </w:r>
      <w:r>
        <w:rPr/>
        <w:t>、出售重大资产情况</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right="84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公司报告期未出售重大资产。</w:t>
      </w:r>
    </w:p>
    <w:p>
      <w:pPr>
        <w:spacing w:line="240" w:lineRule="auto" w:before="2"/>
        <w:rPr>
          <w:rFonts w:ascii="宋体" w:hAnsi="宋体" w:cs="宋体" w:eastAsia="宋体" w:hint="default"/>
          <w:sz w:val="21"/>
          <w:szCs w:val="21"/>
        </w:rPr>
      </w:pPr>
    </w:p>
    <w:p>
      <w:pPr>
        <w:pStyle w:val="Heading3"/>
        <w:spacing w:line="240" w:lineRule="auto"/>
        <w:ind w:right="1134"/>
        <w:jc w:val="left"/>
        <w:rPr>
          <w:b w:val="0"/>
          <w:bCs w:val="0"/>
        </w:rPr>
      </w:pPr>
      <w:bookmarkStart w:name="2、出售重大股权情况" w:id="55"/>
      <w:bookmarkEnd w:id="55"/>
      <w:r>
        <w:rPr>
          <w:b w:val="0"/>
          <w:bCs w:val="0"/>
        </w:rPr>
      </w:r>
      <w:r>
        <w:rPr>
          <w:rFonts w:ascii="Times New Roman" w:hAnsi="Times New Roman" w:cs="Times New Roman" w:eastAsia="Times New Roman" w:hint="default"/>
        </w:rPr>
        <w:t>2</w:t>
      </w:r>
      <w:r>
        <w:rPr/>
        <w:t>、出售重大股权情况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1134"/>
        <w:jc w:val="left"/>
        <w:rPr>
          <w:b w:val="0"/>
          <w:bCs w:val="0"/>
        </w:rPr>
      </w:pPr>
      <w:bookmarkStart w:name="七、主要控股参股公司分析" w:id="56"/>
      <w:bookmarkEnd w:id="56"/>
      <w:r>
        <w:rPr>
          <w:b w:val="0"/>
          <w:bCs w:val="0"/>
        </w:rPr>
      </w:r>
      <w:r>
        <w:rPr/>
        <w:t>七、主要控股参股公司分析</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pStyle w:val="BodyText"/>
        <w:spacing w:line="240" w:lineRule="auto" w:before="44"/>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right="-20"/>
        <w:jc w:val="left"/>
      </w:pPr>
      <w:r>
        <w:rPr/>
        <w:t>主要子公司及对公司净利润影响达</w:t>
      </w:r>
      <w:r>
        <w:rPr>
          <w:spacing w:val="-46"/>
        </w:rPr>
        <w:t> </w:t>
      </w:r>
      <w:r>
        <w:rPr>
          <w:rFonts w:ascii="Times New Roman" w:hAnsi="Times New Roman" w:cs="Times New Roman" w:eastAsia="Times New Roman" w:hint="default"/>
        </w:rPr>
        <w:t>10%</w:t>
      </w:r>
      <w:r>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left="153" w:right="0"/>
        <w:jc w:val="left"/>
      </w:pPr>
      <w:r>
        <w:rPr/>
        <w:t>单位：元</w:t>
      </w:r>
    </w:p>
    <w:p>
      <w:pPr>
        <w:spacing w:after="0" w:line="240" w:lineRule="auto"/>
        <w:jc w:val="left"/>
        <w:sectPr>
          <w:type w:val="continuous"/>
          <w:pgSz w:w="11910" w:h="16840"/>
          <w:pgMar w:top="1060" w:bottom="1160" w:left="980" w:right="0"/>
          <w:cols w:num="2" w:equalWidth="0">
            <w:col w:w="4849" w:space="4070"/>
            <w:col w:w="2011"/>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10"/>
        <w:gridCol w:w="425"/>
        <w:gridCol w:w="2038"/>
        <w:gridCol w:w="866"/>
        <w:gridCol w:w="1175"/>
        <w:gridCol w:w="1182"/>
        <w:gridCol w:w="1091"/>
        <w:gridCol w:w="1091"/>
        <w:gridCol w:w="1091"/>
      </w:tblGrid>
      <w:tr>
        <w:trPr>
          <w:trHeight w:val="714" w:hRule="exact"/>
        </w:trPr>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59" w:right="78" w:hanging="180"/>
              <w:jc w:val="left"/>
              <w:rPr>
                <w:rFonts w:ascii="宋体" w:hAnsi="宋体" w:cs="宋体" w:eastAsia="宋体" w:hint="default"/>
                <w:sz w:val="18"/>
                <w:szCs w:val="18"/>
              </w:rPr>
            </w:pPr>
            <w:r>
              <w:rPr>
                <w:rFonts w:ascii="宋体" w:hAnsi="宋体" w:cs="宋体" w:eastAsia="宋体" w:hint="default"/>
                <w:sz w:val="18"/>
                <w:szCs w:val="18"/>
              </w:rPr>
              <w:t>公司名 称</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6" w:right="26"/>
              <w:jc w:val="left"/>
              <w:rPr>
                <w:rFonts w:ascii="宋体" w:hAnsi="宋体" w:cs="宋体" w:eastAsia="宋体" w:hint="default"/>
                <w:sz w:val="18"/>
                <w:szCs w:val="18"/>
              </w:rPr>
            </w:pPr>
            <w:r>
              <w:rPr>
                <w:rFonts w:ascii="宋体" w:hAnsi="宋体" w:cs="宋体" w:eastAsia="宋体" w:hint="default"/>
                <w:sz w:val="18"/>
                <w:szCs w:val="18"/>
              </w:rPr>
              <w:t>公司 类型</w:t>
            </w:r>
          </w:p>
        </w:tc>
        <w:tc>
          <w:tcPr>
            <w:tcW w:w="20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52"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7"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1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总资产</w:t>
            </w:r>
          </w:p>
        </w:tc>
        <w:tc>
          <w:tcPr>
            <w:tcW w:w="11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0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营业利润</w:t>
            </w:r>
          </w:p>
        </w:tc>
        <w:tc>
          <w:tcPr>
            <w:tcW w:w="10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净利润</w:t>
            </w:r>
          </w:p>
        </w:tc>
      </w:tr>
      <w:tr>
        <w:trPr>
          <w:trHeight w:val="1026"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35"/>
              <w:jc w:val="left"/>
              <w:rPr>
                <w:rFonts w:ascii="宋体" w:hAnsi="宋体" w:cs="宋体" w:eastAsia="宋体" w:hint="default"/>
                <w:sz w:val="18"/>
                <w:szCs w:val="18"/>
              </w:rPr>
            </w:pPr>
            <w:r>
              <w:rPr>
                <w:rFonts w:ascii="宋体" w:hAnsi="宋体" w:cs="宋体" w:eastAsia="宋体" w:hint="default"/>
                <w:sz w:val="18"/>
                <w:szCs w:val="18"/>
              </w:rPr>
              <w:t>优博讯 软件</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30"/>
              <w:jc w:val="left"/>
              <w:rPr>
                <w:rFonts w:ascii="宋体" w:hAnsi="宋体" w:cs="宋体" w:eastAsia="宋体" w:hint="default"/>
                <w:sz w:val="18"/>
                <w:szCs w:val="18"/>
              </w:rPr>
            </w:pPr>
            <w:r>
              <w:rPr>
                <w:rFonts w:ascii="宋体" w:hAnsi="宋体" w:cs="宋体" w:eastAsia="宋体" w:hint="default"/>
                <w:sz w:val="18"/>
                <w:szCs w:val="18"/>
              </w:rPr>
              <w:t>子公 司</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从事新一代智能移动终端</w:t>
            </w:r>
          </w:p>
          <w:p>
            <w:pPr>
              <w:pStyle w:val="TableParagraph"/>
              <w:spacing w:line="302" w:lineRule="auto" w:before="75"/>
              <w:ind w:left="22" w:right="22"/>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Android</w:t>
            </w:r>
            <w:r>
              <w:rPr>
                <w:rFonts w:ascii="宋体" w:hAnsi="宋体" w:cs="宋体" w:eastAsia="宋体" w:hint="default"/>
                <w:spacing w:val="-4"/>
                <w:sz w:val="18"/>
                <w:szCs w:val="18"/>
              </w:rPr>
              <w:t>）系统管理软件</w:t>
            </w:r>
            <w:r>
              <w:rPr>
                <w:rFonts w:ascii="宋体" w:hAnsi="宋体" w:cs="宋体" w:eastAsia="宋体" w:hint="default"/>
                <w:sz w:val="18"/>
                <w:szCs w:val="18"/>
              </w:rPr>
              <w:t> 的开发及维护升级</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1,000,000</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6" w:right="0"/>
              <w:jc w:val="center"/>
              <w:rPr>
                <w:rFonts w:ascii="Times New Roman" w:hAnsi="Times New Roman" w:cs="Times New Roman" w:eastAsia="Times New Roman" w:hint="default"/>
                <w:sz w:val="18"/>
                <w:szCs w:val="18"/>
              </w:rPr>
            </w:pPr>
            <w:r>
              <w:rPr>
                <w:rFonts w:ascii="Times New Roman"/>
                <w:sz w:val="18"/>
              </w:rPr>
              <w:t>110,327,923.11</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104,062,699.67</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35,289,310.00</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25,989,886.48</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21,275,919.88</w:t>
            </w:r>
          </w:p>
        </w:tc>
      </w:tr>
      <w:tr>
        <w:trPr>
          <w:trHeight w:val="1026"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135"/>
              <w:jc w:val="left"/>
              <w:rPr>
                <w:rFonts w:ascii="宋体" w:hAnsi="宋体" w:cs="宋体" w:eastAsia="宋体" w:hint="default"/>
                <w:sz w:val="18"/>
                <w:szCs w:val="18"/>
              </w:rPr>
            </w:pPr>
            <w:r>
              <w:rPr>
                <w:rFonts w:ascii="宋体" w:hAnsi="宋体" w:cs="宋体" w:eastAsia="宋体" w:hint="default"/>
                <w:sz w:val="18"/>
                <w:szCs w:val="18"/>
              </w:rPr>
              <w:t>优金支 付</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30"/>
              <w:jc w:val="left"/>
              <w:rPr>
                <w:rFonts w:ascii="宋体" w:hAnsi="宋体" w:cs="宋体" w:eastAsia="宋体" w:hint="default"/>
                <w:sz w:val="18"/>
                <w:szCs w:val="18"/>
              </w:rPr>
            </w:pPr>
            <w:r>
              <w:rPr>
                <w:rFonts w:ascii="宋体" w:hAnsi="宋体" w:cs="宋体" w:eastAsia="宋体" w:hint="default"/>
                <w:sz w:val="18"/>
                <w:szCs w:val="18"/>
              </w:rPr>
              <w:t>子公 司</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从事基于智能移动支付终 端的业务系统软件及</w:t>
            </w:r>
          </w:p>
          <w:p>
            <w:pPr>
              <w:pStyle w:val="TableParagraph"/>
              <w:spacing w:line="240" w:lineRule="auto" w:before="2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O2O</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平台开发及运营</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5,000,000</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115,580,169.03</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112,494,037.40</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73,399,920.00</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77,532,984.71</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68,254,601.41</w:t>
            </w:r>
          </w:p>
        </w:tc>
      </w:tr>
      <w:tr>
        <w:trPr>
          <w:trHeight w:val="714"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瑞柏泰</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0"/>
              <w:jc w:val="left"/>
              <w:rPr>
                <w:rFonts w:ascii="宋体" w:hAnsi="宋体" w:cs="宋体" w:eastAsia="宋体" w:hint="default"/>
                <w:sz w:val="18"/>
                <w:szCs w:val="18"/>
              </w:rPr>
            </w:pPr>
            <w:r>
              <w:rPr>
                <w:rFonts w:ascii="宋体" w:hAnsi="宋体" w:cs="宋体" w:eastAsia="宋体" w:hint="default"/>
                <w:sz w:val="18"/>
                <w:szCs w:val="18"/>
              </w:rPr>
              <w:t>子公 司</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电子支付技术服务解决方 案的研发、销售及服务</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30,000,000</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center"/>
              <w:rPr>
                <w:rFonts w:ascii="Times New Roman" w:hAnsi="Times New Roman" w:cs="Times New Roman" w:eastAsia="Times New Roman" w:hint="default"/>
                <w:sz w:val="18"/>
                <w:szCs w:val="18"/>
              </w:rPr>
            </w:pPr>
            <w:r>
              <w:rPr>
                <w:rFonts w:ascii="Times New Roman"/>
                <w:sz w:val="18"/>
              </w:rPr>
              <w:t>87,266,702.60</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75,308,704.25</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71,183,003.92</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31,682,913.36</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27,418,015.98</w:t>
            </w:r>
          </w:p>
        </w:tc>
      </w:tr>
      <w:tr>
        <w:trPr>
          <w:trHeight w:val="714" w:hRule="exact"/>
        </w:trPr>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35"/>
              <w:jc w:val="left"/>
              <w:rPr>
                <w:rFonts w:ascii="宋体" w:hAnsi="宋体" w:cs="宋体" w:eastAsia="宋体" w:hint="default"/>
                <w:sz w:val="18"/>
                <w:szCs w:val="18"/>
              </w:rPr>
            </w:pPr>
            <w:r>
              <w:rPr>
                <w:rFonts w:ascii="宋体" w:hAnsi="宋体" w:cs="宋体" w:eastAsia="宋体" w:hint="default"/>
                <w:sz w:val="18"/>
                <w:szCs w:val="18"/>
              </w:rPr>
              <w:t>武汉优 软</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30"/>
              <w:jc w:val="left"/>
              <w:rPr>
                <w:rFonts w:ascii="宋体" w:hAnsi="宋体" w:cs="宋体" w:eastAsia="宋体" w:hint="default"/>
                <w:sz w:val="18"/>
                <w:szCs w:val="18"/>
              </w:rPr>
            </w:pPr>
            <w:r>
              <w:rPr>
                <w:rFonts w:ascii="宋体" w:hAnsi="宋体" w:cs="宋体" w:eastAsia="宋体" w:hint="default"/>
                <w:sz w:val="18"/>
                <w:szCs w:val="18"/>
              </w:rPr>
              <w:t>子公 司</w:t>
            </w:r>
          </w:p>
        </w:tc>
        <w:tc>
          <w:tcPr>
            <w:tcW w:w="203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3"/>
              <w:jc w:val="left"/>
              <w:rPr>
                <w:rFonts w:ascii="宋体" w:hAnsi="宋体" w:cs="宋体" w:eastAsia="宋体" w:hint="default"/>
                <w:sz w:val="18"/>
                <w:szCs w:val="18"/>
              </w:rPr>
            </w:pPr>
            <w:r>
              <w:rPr>
                <w:rFonts w:ascii="宋体" w:hAnsi="宋体" w:cs="宋体" w:eastAsia="宋体" w:hint="default"/>
                <w:sz w:val="18"/>
                <w:szCs w:val="18"/>
              </w:rPr>
              <w:t>行业应用软件的研发及销 售</w:t>
            </w:r>
          </w:p>
        </w:tc>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5,000,000</w:t>
            </w:r>
          </w:p>
        </w:tc>
        <w:tc>
          <w:tcPr>
            <w:tcW w:w="11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center"/>
              <w:rPr>
                <w:rFonts w:ascii="Times New Roman" w:hAnsi="Times New Roman" w:cs="Times New Roman" w:eastAsia="Times New Roman" w:hint="default"/>
                <w:sz w:val="18"/>
                <w:szCs w:val="18"/>
              </w:rPr>
            </w:pPr>
            <w:r>
              <w:rPr>
                <w:rFonts w:ascii="Times New Roman"/>
                <w:sz w:val="18"/>
              </w:rPr>
              <w:t>29,881,867.57</w:t>
            </w:r>
          </w:p>
        </w:tc>
        <w:tc>
          <w:tcPr>
            <w:tcW w:w="11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25,860,616.56</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32,866,331.33</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27,716,331.22</w:t>
            </w:r>
          </w:p>
        </w:tc>
        <w:tc>
          <w:tcPr>
            <w:tcW w:w="10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22,803,176.54</w:t>
            </w:r>
          </w:p>
        </w:tc>
      </w:tr>
    </w:tbl>
    <w:p>
      <w:pPr>
        <w:pStyle w:val="BodyText"/>
        <w:spacing w:line="240" w:lineRule="auto" w:before="51"/>
        <w:ind w:right="1134"/>
        <w:jc w:val="left"/>
      </w:pPr>
      <w:r>
        <w:rPr/>
        <w:t>报告期内取得和处置子公司的情况</w:t>
      </w:r>
    </w:p>
    <w:p>
      <w:pPr>
        <w:pStyle w:val="BodyText"/>
        <w:spacing w:line="240" w:lineRule="auto" w:before="117"/>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3214"/>
        <w:gridCol w:w="3213"/>
        <w:gridCol w:w="3214"/>
      </w:tblGrid>
      <w:tr>
        <w:trPr>
          <w:trHeight w:val="402" w:hRule="exact"/>
        </w:trPr>
        <w:tc>
          <w:tcPr>
            <w:tcW w:w="32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公司名称</w:t>
            </w:r>
          </w:p>
        </w:tc>
        <w:tc>
          <w:tcPr>
            <w:tcW w:w="32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40"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p>
        </w:tc>
        <w:tc>
          <w:tcPr>
            <w:tcW w:w="32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0"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p>
        </w:tc>
      </w:tr>
      <w:tr>
        <w:trPr>
          <w:trHeight w:val="714" w:hRule="exact"/>
        </w:trPr>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马来西亚优博讯科技有限公司</w:t>
            </w:r>
          </w:p>
        </w:tc>
        <w:tc>
          <w:tcPr>
            <w:tcW w:w="321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8"/>
              <w:jc w:val="left"/>
              <w:rPr>
                <w:rFonts w:ascii="宋体" w:hAnsi="宋体" w:cs="宋体" w:eastAsia="宋体" w:hint="default"/>
                <w:sz w:val="18"/>
                <w:szCs w:val="18"/>
              </w:rPr>
            </w:pPr>
            <w:r>
              <w:rPr>
                <w:rFonts w:ascii="宋体" w:hAnsi="宋体" w:cs="宋体" w:eastAsia="宋体" w:hint="default"/>
                <w:sz w:val="18"/>
                <w:szCs w:val="18"/>
              </w:rPr>
              <w:t>向全资子公司香港优博讯科技有限公司 收购取得</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5"/>
                <w:sz w:val="18"/>
                <w:szCs w:val="18"/>
              </w:rPr>
              <w:t>对合并报表范围、整体生产经营和业绩无</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影响</w:t>
            </w:r>
          </w:p>
        </w:tc>
      </w:tr>
      <w:tr>
        <w:trPr>
          <w:trHeight w:val="714" w:hRule="exact"/>
        </w:trPr>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香港乐乐高支付技术有限公司</w:t>
            </w:r>
          </w:p>
        </w:tc>
        <w:tc>
          <w:tcPr>
            <w:tcW w:w="3213"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22" w:right="103"/>
              <w:jc w:val="left"/>
              <w:rPr>
                <w:rFonts w:ascii="宋体" w:hAnsi="宋体" w:cs="宋体" w:eastAsia="宋体" w:hint="default"/>
                <w:sz w:val="18"/>
                <w:szCs w:val="18"/>
              </w:rPr>
            </w:pPr>
            <w:r>
              <w:rPr>
                <w:rFonts w:ascii="宋体" w:hAnsi="宋体" w:cs="宋体" w:eastAsia="宋体" w:hint="default"/>
                <w:sz w:val="18"/>
                <w:szCs w:val="18"/>
              </w:rPr>
              <w:t>公司持有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51%</w:t>
            </w:r>
            <w:r>
              <w:rPr>
                <w:rFonts w:ascii="宋体" w:hAnsi="宋体" w:cs="宋体" w:eastAsia="宋体" w:hint="default"/>
                <w:sz w:val="18"/>
                <w:szCs w:val="18"/>
              </w:rPr>
              <w:t>股权的瑞柏泰在香港地区 新设立的全资子公司</w:t>
            </w:r>
          </w:p>
        </w:tc>
        <w:tc>
          <w:tcPr>
            <w:tcW w:w="32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5"/>
                <w:sz w:val="18"/>
                <w:szCs w:val="18"/>
              </w:rPr>
              <w:t>纳入合并报表范围，报告期内尚未实际投</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资，对整体生产经营和业绩无影响</w:t>
            </w:r>
          </w:p>
        </w:tc>
      </w:tr>
    </w:tbl>
    <w:p>
      <w:pPr>
        <w:pStyle w:val="BodyText"/>
        <w:spacing w:line="240" w:lineRule="auto" w:before="51"/>
        <w:ind w:right="1134"/>
        <w:jc w:val="left"/>
      </w:pPr>
      <w:r>
        <w:rPr/>
        <w:t>主要控股参股公司情况说明</w:t>
      </w:r>
    </w:p>
    <w:p>
      <w:pPr>
        <w:pStyle w:val="BodyText"/>
        <w:spacing w:line="300" w:lineRule="auto" w:before="116"/>
        <w:ind w:right="5532"/>
        <w:jc w:val="left"/>
        <w:rPr>
          <w:rFonts w:ascii="Times New Roman" w:hAnsi="Times New Roman" w:cs="Times New Roman" w:eastAsia="Times New Roman" w:hint="default"/>
        </w:rPr>
      </w:pPr>
      <w:r>
        <w:rPr>
          <w:rFonts w:ascii="Times New Roman" w:hAnsi="Times New Roman" w:cs="Times New Roman" w:eastAsia="Times New Roman" w:hint="default"/>
        </w:rPr>
        <w:t>1</w:t>
      </w:r>
      <w:r>
        <w:rPr/>
        <w:t>、深圳市优博讯软件技术有限公司 统一社会信用代码：</w:t>
      </w:r>
      <w:r>
        <w:rPr>
          <w:rFonts w:ascii="Times New Roman" w:hAnsi="Times New Roman" w:cs="Times New Roman" w:eastAsia="Times New Roman" w:hint="default"/>
        </w:rPr>
        <w:t>914403000711177321 </w:t>
      </w:r>
      <w:r>
        <w:rPr/>
        <w:t>住所：深圳市南山区粤海街道学府路</w:t>
      </w:r>
      <w:r>
        <w:rPr>
          <w:rFonts w:ascii="Times New Roman" w:hAnsi="Times New Roman" w:cs="Times New Roman" w:eastAsia="Times New Roman" w:hint="default"/>
        </w:rPr>
        <w:t>63</w:t>
      </w:r>
      <w:r>
        <w:rPr/>
        <w:t>号高新区联合总部大厦</w:t>
      </w:r>
      <w:r>
        <w:rPr>
          <w:rFonts w:ascii="Times New Roman" w:hAnsi="Times New Roman" w:cs="Times New Roman" w:eastAsia="Times New Roman" w:hint="default"/>
        </w:rPr>
        <w:t>36</w:t>
      </w:r>
      <w:r>
        <w:rPr/>
        <w:t>层 法定代表人：</w:t>
      </w:r>
      <w:r>
        <w:rPr>
          <w:rFonts w:ascii="Times New Roman" w:hAnsi="Times New Roman" w:cs="Times New Roman" w:eastAsia="Times New Roman" w:hint="default"/>
        </w:rPr>
        <w:t>GUO</w:t>
      </w:r>
      <w:r>
        <w:rPr>
          <w:rFonts w:ascii="Times New Roman" w:hAnsi="Times New Roman" w:cs="Times New Roman" w:eastAsia="Times New Roman" w:hint="default"/>
          <w:spacing w:val="-3"/>
        </w:rPr>
        <w:t> </w:t>
      </w:r>
      <w:r>
        <w:rPr>
          <w:rFonts w:ascii="Times New Roman" w:hAnsi="Times New Roman" w:cs="Times New Roman" w:eastAsia="Times New Roman" w:hint="default"/>
        </w:rPr>
        <w:t>SONG</w:t>
      </w:r>
    </w:p>
    <w:p>
      <w:pPr>
        <w:pStyle w:val="BodyText"/>
        <w:spacing w:line="240" w:lineRule="auto" w:before="13"/>
        <w:ind w:right="1134"/>
        <w:jc w:val="left"/>
        <w:rPr>
          <w:rFonts w:ascii="Times New Roman" w:hAnsi="Times New Roman" w:cs="Times New Roman" w:eastAsia="Times New Roman" w:hint="default"/>
        </w:rPr>
      </w:pPr>
      <w:r>
        <w:rPr/>
        <w:t>认缴注册资本总额（万元）：</w:t>
      </w:r>
      <w:r>
        <w:rPr>
          <w:rFonts w:ascii="Times New Roman" w:hAnsi="Times New Roman" w:cs="Times New Roman" w:eastAsia="Times New Roman" w:hint="default"/>
        </w:rPr>
        <w:t>100</w:t>
      </w:r>
    </w:p>
    <w:p>
      <w:pPr>
        <w:spacing w:after="0" w:line="240" w:lineRule="auto"/>
        <w:jc w:val="left"/>
        <w:rPr>
          <w:rFonts w:ascii="Times New Roman" w:hAnsi="Times New Roman" w:cs="Times New Roman" w:eastAsia="Times New Roman" w:hint="default"/>
        </w:rPr>
        <w:sectPr>
          <w:type w:val="continuous"/>
          <w:pgSz w:w="11910" w:h="16840"/>
          <w:pgMar w:top="1060" w:bottom="1160" w:left="980" w:right="0"/>
        </w:sectPr>
      </w:pPr>
    </w:p>
    <w:p>
      <w:pPr>
        <w:spacing w:line="240" w:lineRule="auto" w:before="5"/>
        <w:rPr>
          <w:rFonts w:ascii="Times New Roman" w:hAnsi="Times New Roman" w:cs="Times New Roman" w:eastAsia="Times New Roman" w:hint="default"/>
          <w:sz w:val="29"/>
          <w:szCs w:val="29"/>
        </w:rPr>
      </w:pPr>
    </w:p>
    <w:p>
      <w:pPr>
        <w:pStyle w:val="BodyText"/>
        <w:spacing w:line="309" w:lineRule="auto" w:before="44"/>
        <w:ind w:right="6972"/>
        <w:jc w:val="left"/>
      </w:pPr>
      <w:r>
        <w:rPr/>
        <w:t>企业类型：有限责任公司（法人独资） 成立日期：</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3</w:t>
      </w:r>
      <w:r>
        <w:rPr/>
        <w:t>日 营业期限：自</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3</w:t>
      </w:r>
      <w:r>
        <w:rPr/>
        <w:t>日起至</w:t>
      </w:r>
      <w:r>
        <w:rPr>
          <w:rFonts w:ascii="Times New Roman" w:hAnsi="Times New Roman" w:cs="Times New Roman" w:eastAsia="Times New Roman" w:hint="default"/>
        </w:rPr>
        <w:t>2023</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3</w:t>
      </w:r>
      <w:r>
        <w:rPr/>
        <w:t>日止</w:t>
      </w:r>
    </w:p>
    <w:p>
      <w:pPr>
        <w:pStyle w:val="BodyText"/>
        <w:spacing w:line="319" w:lineRule="auto" w:before="5"/>
        <w:ind w:right="0"/>
        <w:jc w:val="left"/>
      </w:pPr>
      <w:r>
        <w:rPr>
          <w:spacing w:val="-2"/>
        </w:rPr>
        <w:t>经营范围：计算机软件产品的设计、开发与销售；软件技术咨询与服务；计算机系统集成。（以上均不含法律、法规、国务</w:t>
      </w:r>
      <w:r>
        <w:rPr>
          <w:spacing w:val="-68"/>
        </w:rPr>
        <w:t> </w:t>
      </w:r>
      <w:r>
        <w:rPr>
          <w:spacing w:val="-68"/>
        </w:rPr>
      </w:r>
      <w:r>
        <w:rPr/>
        <w:t>院规定审批的项目，审批的项目需取得相关部门的许可后方可经营）</w:t>
      </w:r>
    </w:p>
    <w:p>
      <w:pPr>
        <w:pStyle w:val="BodyText"/>
        <w:spacing w:line="240" w:lineRule="auto" w:before="17"/>
        <w:ind w:right="1134"/>
        <w:jc w:val="left"/>
      </w:pPr>
      <w:r>
        <w:rPr/>
        <w:t>股东情况：</w:t>
      </w:r>
    </w:p>
    <w:p>
      <w:pPr>
        <w:spacing w:line="240" w:lineRule="auto" w:before="0"/>
        <w:rPr>
          <w:rFonts w:ascii="宋体" w:hAnsi="宋体" w:cs="宋体" w:eastAsia="宋体"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4407"/>
        <w:gridCol w:w="2735"/>
        <w:gridCol w:w="2408"/>
      </w:tblGrid>
      <w:tr>
        <w:trPr>
          <w:trHeight w:val="347" w:hRule="exact"/>
        </w:trPr>
        <w:tc>
          <w:tcPr>
            <w:tcW w:w="440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73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出资额</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240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出资比例</w:t>
            </w:r>
            <w:r>
              <w:rPr>
                <w:rFonts w:ascii="Times New Roman" w:hAnsi="Times New Roman" w:cs="Times New Roman" w:eastAsia="Times New Roman" w:hint="default"/>
                <w:sz w:val="18"/>
                <w:szCs w:val="18"/>
              </w:rPr>
              <w:t>(%)</w:t>
            </w:r>
          </w:p>
        </w:tc>
      </w:tr>
      <w:tr>
        <w:trPr>
          <w:trHeight w:val="348" w:hRule="exact"/>
        </w:trPr>
        <w:tc>
          <w:tcPr>
            <w:tcW w:w="440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深圳市优博讯科技股份有限公司</w:t>
            </w:r>
          </w:p>
        </w:tc>
        <w:tc>
          <w:tcPr>
            <w:tcW w:w="27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100.00</w:t>
            </w:r>
          </w:p>
        </w:tc>
        <w:tc>
          <w:tcPr>
            <w:tcW w:w="24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100%</w:t>
            </w:r>
          </w:p>
        </w:tc>
      </w:tr>
    </w:tbl>
    <w:p>
      <w:pPr>
        <w:spacing w:line="240" w:lineRule="auto" w:before="3"/>
        <w:rPr>
          <w:rFonts w:ascii="宋体" w:hAnsi="宋体" w:cs="宋体" w:eastAsia="宋体" w:hint="default"/>
          <w:sz w:val="21"/>
          <w:szCs w:val="21"/>
        </w:rPr>
      </w:pPr>
    </w:p>
    <w:p>
      <w:pPr>
        <w:pStyle w:val="BodyText"/>
        <w:spacing w:line="300" w:lineRule="auto" w:before="44"/>
        <w:ind w:right="5532"/>
        <w:jc w:val="left"/>
        <w:rPr>
          <w:rFonts w:ascii="Times New Roman" w:hAnsi="Times New Roman" w:cs="Times New Roman" w:eastAsia="Times New Roman" w:hint="default"/>
        </w:rPr>
      </w:pPr>
      <w:r>
        <w:rPr>
          <w:rFonts w:ascii="Times New Roman" w:hAnsi="Times New Roman" w:cs="Times New Roman" w:eastAsia="Times New Roman" w:hint="default"/>
        </w:rPr>
        <w:t>2</w:t>
      </w:r>
      <w:r>
        <w:rPr/>
        <w:t>、深圳市优金支付科技有限公司 统一社会信用代码：</w:t>
      </w:r>
      <w:r>
        <w:rPr>
          <w:rFonts w:ascii="Times New Roman" w:hAnsi="Times New Roman" w:cs="Times New Roman" w:eastAsia="Times New Roman" w:hint="default"/>
        </w:rPr>
        <w:t>91440300335151070D </w:t>
      </w:r>
      <w:r>
        <w:rPr/>
        <w:t>住所：深圳市南山区粤海街道学府路</w:t>
      </w:r>
      <w:r>
        <w:rPr>
          <w:rFonts w:ascii="Times New Roman" w:hAnsi="Times New Roman" w:cs="Times New Roman" w:eastAsia="Times New Roman" w:hint="default"/>
        </w:rPr>
        <w:t>63</w:t>
      </w:r>
      <w:r>
        <w:rPr/>
        <w:t>号高新区联合总部大厦</w:t>
      </w:r>
      <w:r>
        <w:rPr>
          <w:rFonts w:ascii="Times New Roman" w:hAnsi="Times New Roman" w:cs="Times New Roman" w:eastAsia="Times New Roman" w:hint="default"/>
        </w:rPr>
        <w:t>36</w:t>
      </w:r>
      <w:r>
        <w:rPr/>
        <w:t>层 法定代表人：</w:t>
      </w:r>
      <w:r>
        <w:rPr>
          <w:rFonts w:ascii="Times New Roman" w:hAnsi="Times New Roman" w:cs="Times New Roman" w:eastAsia="Times New Roman" w:hint="default"/>
        </w:rPr>
        <w:t>LIU</w:t>
      </w:r>
      <w:r>
        <w:rPr>
          <w:rFonts w:ascii="Times New Roman" w:hAnsi="Times New Roman" w:cs="Times New Roman" w:eastAsia="Times New Roman" w:hint="default"/>
          <w:spacing w:val="-2"/>
        </w:rPr>
        <w:t> </w:t>
      </w:r>
      <w:r>
        <w:rPr>
          <w:rFonts w:ascii="Times New Roman" w:hAnsi="Times New Roman" w:cs="Times New Roman" w:eastAsia="Times New Roman" w:hint="default"/>
        </w:rPr>
        <w:t>DAN</w:t>
      </w:r>
    </w:p>
    <w:p>
      <w:pPr>
        <w:pStyle w:val="BodyText"/>
        <w:spacing w:line="307" w:lineRule="auto" w:before="13"/>
        <w:ind w:right="6792"/>
        <w:jc w:val="left"/>
      </w:pPr>
      <w:r>
        <w:rPr/>
        <w:t>认缴注册资本总额（万元）：</w:t>
      </w:r>
      <w:r>
        <w:rPr>
          <w:rFonts w:ascii="Times New Roman" w:hAnsi="Times New Roman" w:cs="Times New Roman" w:eastAsia="Times New Roman" w:hint="default"/>
        </w:rPr>
        <w:t>500 </w:t>
      </w:r>
      <w:r>
        <w:rPr/>
        <w:t>企业类型：有限责任公司（法人独资） 成立日期：</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14</w:t>
      </w:r>
      <w:r>
        <w:rPr/>
        <w:t>日 营业期限：自</w:t>
      </w:r>
      <w:r>
        <w:rPr>
          <w:rFonts w:ascii="Times New Roman" w:hAnsi="Times New Roman" w:cs="Times New Roman" w:eastAsia="Times New Roman" w:hint="default"/>
        </w:rPr>
        <w:t>2015</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14</w:t>
      </w:r>
      <w:r>
        <w:rPr/>
        <w:t>日起至</w:t>
      </w:r>
      <w:r>
        <w:rPr>
          <w:rFonts w:ascii="Times New Roman" w:hAnsi="Times New Roman" w:cs="Times New Roman" w:eastAsia="Times New Roman" w:hint="default"/>
        </w:rPr>
        <w:t>2025</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10</w:t>
      </w:r>
      <w:r>
        <w:rPr/>
        <w:t>日止</w:t>
      </w:r>
    </w:p>
    <w:p>
      <w:pPr>
        <w:pStyle w:val="BodyText"/>
        <w:spacing w:line="316" w:lineRule="auto" w:before="7"/>
        <w:ind w:right="1118"/>
        <w:jc w:val="left"/>
      </w:pPr>
      <w:r>
        <w:rPr>
          <w:spacing w:val="-2"/>
        </w:rPr>
        <w:t>经营范围：计算机软、硬件产品、电子产品的设计、研发、技术咨询和销售；移动支付技术、电子支付技术的研发、技术咨</w:t>
      </w:r>
      <w:r>
        <w:rPr>
          <w:spacing w:val="-67"/>
        </w:rPr>
        <w:t> </w:t>
      </w:r>
      <w:r>
        <w:rPr>
          <w:spacing w:val="-67"/>
        </w:rPr>
      </w:r>
      <w:r>
        <w:rPr/>
        <w:t>询和销售。</w:t>
      </w:r>
    </w:p>
    <w:p>
      <w:pPr>
        <w:pStyle w:val="BodyText"/>
        <w:spacing w:line="240" w:lineRule="auto" w:before="19"/>
        <w:ind w:right="1134"/>
        <w:jc w:val="left"/>
      </w:pPr>
      <w:r>
        <w:rPr/>
        <w:t>股东情况：</w:t>
      </w:r>
    </w:p>
    <w:p>
      <w:pPr>
        <w:spacing w:line="240" w:lineRule="auto" w:before="0"/>
        <w:rPr>
          <w:rFonts w:ascii="宋体" w:hAnsi="宋体" w:cs="宋体" w:eastAsia="宋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4435"/>
        <w:gridCol w:w="2752"/>
        <w:gridCol w:w="2424"/>
      </w:tblGrid>
      <w:tr>
        <w:trPr>
          <w:trHeight w:val="326" w:hRule="exact"/>
        </w:trPr>
        <w:tc>
          <w:tcPr>
            <w:tcW w:w="44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7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出资额</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24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0"/>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出资比例</w:t>
            </w:r>
            <w:r>
              <w:rPr>
                <w:rFonts w:ascii="Times New Roman" w:hAnsi="Times New Roman" w:cs="Times New Roman" w:eastAsia="Times New Roman" w:hint="default"/>
                <w:sz w:val="18"/>
                <w:szCs w:val="18"/>
              </w:rPr>
              <w:t>(%)</w:t>
            </w:r>
          </w:p>
        </w:tc>
      </w:tr>
      <w:tr>
        <w:trPr>
          <w:trHeight w:val="358" w:hRule="exact"/>
        </w:trPr>
        <w:tc>
          <w:tcPr>
            <w:tcW w:w="4435"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30"/>
              <w:ind w:right="1"/>
              <w:jc w:val="center"/>
              <w:rPr>
                <w:rFonts w:ascii="宋体" w:hAnsi="宋体" w:cs="宋体" w:eastAsia="宋体" w:hint="default"/>
                <w:sz w:val="18"/>
                <w:szCs w:val="18"/>
              </w:rPr>
            </w:pPr>
            <w:r>
              <w:rPr>
                <w:rFonts w:ascii="宋体" w:hAnsi="宋体" w:cs="宋体" w:eastAsia="宋体" w:hint="default"/>
                <w:sz w:val="18"/>
                <w:szCs w:val="18"/>
              </w:rPr>
              <w:t>深圳市优博讯科技股份有限公司</w:t>
            </w:r>
          </w:p>
        </w:tc>
        <w:tc>
          <w:tcPr>
            <w:tcW w:w="2752"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130</w:t>
            </w:r>
          </w:p>
        </w:tc>
        <w:tc>
          <w:tcPr>
            <w:tcW w:w="2424"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70"/>
              <w:ind w:right="0"/>
              <w:jc w:val="center"/>
              <w:rPr>
                <w:rFonts w:ascii="Times New Roman" w:hAnsi="Times New Roman" w:cs="Times New Roman" w:eastAsia="Times New Roman" w:hint="default"/>
                <w:sz w:val="18"/>
                <w:szCs w:val="18"/>
              </w:rPr>
            </w:pPr>
            <w:r>
              <w:rPr>
                <w:rFonts w:ascii="Times New Roman"/>
                <w:sz w:val="18"/>
              </w:rPr>
              <w:t>100%</w:t>
            </w:r>
          </w:p>
        </w:tc>
      </w:tr>
    </w:tbl>
    <w:p>
      <w:pPr>
        <w:spacing w:line="240" w:lineRule="auto" w:before="3"/>
        <w:rPr>
          <w:rFonts w:ascii="宋体" w:hAnsi="宋体" w:cs="宋体" w:eastAsia="宋体" w:hint="default"/>
          <w:sz w:val="21"/>
          <w:szCs w:val="21"/>
        </w:rPr>
      </w:pPr>
    </w:p>
    <w:p>
      <w:pPr>
        <w:pStyle w:val="BodyText"/>
        <w:spacing w:line="304" w:lineRule="auto" w:before="44"/>
        <w:ind w:right="6452"/>
        <w:jc w:val="left"/>
      </w:pPr>
      <w:r>
        <w:rPr>
          <w:rFonts w:ascii="Times New Roman" w:hAnsi="Times New Roman" w:cs="Times New Roman" w:eastAsia="Times New Roman" w:hint="default"/>
        </w:rPr>
        <w:t>3</w:t>
      </w:r>
      <w:r>
        <w:rPr/>
        <w:t>、深圳市瑞柏泰电子有限公司 统一社会信用代码：</w:t>
      </w:r>
      <w:r>
        <w:rPr>
          <w:rFonts w:ascii="Times New Roman" w:hAnsi="Times New Roman" w:cs="Times New Roman" w:eastAsia="Times New Roman" w:hint="default"/>
        </w:rPr>
        <w:t>91440300715203389Y </w:t>
      </w:r>
      <w:r>
        <w:rPr/>
        <w:t>住所：深圳市南山区侨香路香年广场北区主楼</w:t>
      </w:r>
      <w:r>
        <w:rPr>
          <w:rFonts w:ascii="Times New Roman" w:hAnsi="Times New Roman" w:cs="Times New Roman" w:eastAsia="Times New Roman" w:hint="default"/>
        </w:rPr>
        <w:t>C</w:t>
      </w:r>
      <w:r>
        <w:rPr/>
        <w:t>座</w:t>
      </w:r>
      <w:r>
        <w:rPr>
          <w:rFonts w:ascii="Times New Roman" w:hAnsi="Times New Roman" w:cs="Times New Roman" w:eastAsia="Times New Roman" w:hint="default"/>
        </w:rPr>
        <w:t>603A </w:t>
      </w:r>
      <w:r>
        <w:rPr/>
        <w:t>法定代表人：蔡敏 认缴注册资本总额：</w:t>
      </w:r>
      <w:r>
        <w:rPr>
          <w:rFonts w:ascii="Times New Roman" w:hAnsi="Times New Roman" w:cs="Times New Roman" w:eastAsia="Times New Roman" w:hint="default"/>
        </w:rPr>
        <w:t>3000</w:t>
      </w:r>
      <w:r>
        <w:rPr/>
        <w:t>万元人民币 企业类型：有限责任公司</w:t>
      </w:r>
    </w:p>
    <w:p>
      <w:pPr>
        <w:pStyle w:val="BodyText"/>
        <w:spacing w:line="300" w:lineRule="auto" w:before="28"/>
        <w:ind w:right="6972"/>
        <w:jc w:val="left"/>
      </w:pPr>
      <w:r>
        <w:rPr/>
        <w:t>成立日期：</w:t>
      </w:r>
      <w:r>
        <w:rPr>
          <w:rFonts w:ascii="Times New Roman" w:hAnsi="Times New Roman" w:cs="Times New Roman" w:eastAsia="Times New Roman" w:hint="default"/>
        </w:rPr>
        <w:t>1999</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w:t>
      </w:r>
      <w:r>
        <w:rPr/>
        <w:t>日 营业期限：自</w:t>
      </w:r>
      <w:r>
        <w:rPr>
          <w:rFonts w:ascii="Times New Roman" w:hAnsi="Times New Roman" w:cs="Times New Roman" w:eastAsia="Times New Roman" w:hint="default"/>
        </w:rPr>
        <w:t>1999</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w:t>
      </w:r>
      <w:r>
        <w:rPr/>
        <w:t>日起至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2</w:t>
      </w:r>
      <w:r>
        <w:rPr/>
        <w:t>日止</w:t>
      </w:r>
    </w:p>
    <w:p>
      <w:pPr>
        <w:pStyle w:val="BodyText"/>
        <w:spacing w:line="316" w:lineRule="auto" w:before="13"/>
        <w:ind w:right="1212"/>
        <w:jc w:val="left"/>
      </w:pPr>
      <w:r>
        <w:rPr/>
        <w:t>经营范围：计算机软硬件及其配套设备的技术开发，电子产品的销售与租赁（不含专营、专控、专卖商品及限制项目）。 股东情况：</w:t>
      </w:r>
    </w:p>
    <w:tbl>
      <w:tblPr>
        <w:tblW w:w="0" w:type="auto"/>
        <w:jc w:val="left"/>
        <w:tblInd w:w="146" w:type="dxa"/>
        <w:tblLayout w:type="fixed"/>
        <w:tblCellMar>
          <w:top w:w="0" w:type="dxa"/>
          <w:left w:w="0" w:type="dxa"/>
          <w:bottom w:w="0" w:type="dxa"/>
          <w:right w:w="0" w:type="dxa"/>
        </w:tblCellMar>
        <w:tblLook w:val="01E0"/>
      </w:tblPr>
      <w:tblGrid>
        <w:gridCol w:w="4372"/>
        <w:gridCol w:w="2714"/>
        <w:gridCol w:w="2390"/>
      </w:tblGrid>
      <w:tr>
        <w:trPr>
          <w:trHeight w:val="336" w:hRule="exact"/>
        </w:trPr>
        <w:tc>
          <w:tcPr>
            <w:tcW w:w="437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71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出资额</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239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出资比例</w:t>
            </w:r>
            <w:r>
              <w:rPr>
                <w:rFonts w:ascii="Times New Roman" w:hAnsi="Times New Roman" w:cs="Times New Roman" w:eastAsia="Times New Roman" w:hint="default"/>
                <w:sz w:val="18"/>
                <w:szCs w:val="18"/>
              </w:rPr>
              <w:t>(%)</w:t>
            </w:r>
          </w:p>
        </w:tc>
      </w:tr>
      <w:tr>
        <w:trPr>
          <w:trHeight w:val="352" w:hRule="exact"/>
        </w:trPr>
        <w:tc>
          <w:tcPr>
            <w:tcW w:w="4372"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深圳市优博讯科技股份有限公司</w:t>
            </w:r>
          </w:p>
        </w:tc>
        <w:tc>
          <w:tcPr>
            <w:tcW w:w="27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6"/>
              <w:ind w:right="0"/>
              <w:jc w:val="center"/>
              <w:rPr>
                <w:rFonts w:ascii="Times New Roman" w:hAnsi="Times New Roman" w:cs="Times New Roman" w:eastAsia="Times New Roman" w:hint="default"/>
                <w:sz w:val="18"/>
                <w:szCs w:val="18"/>
              </w:rPr>
            </w:pPr>
            <w:r>
              <w:rPr>
                <w:rFonts w:ascii="Times New Roman"/>
                <w:sz w:val="18"/>
              </w:rPr>
              <w:t>1,530.00</w:t>
            </w:r>
          </w:p>
        </w:tc>
        <w:tc>
          <w:tcPr>
            <w:tcW w:w="2390"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51%</w:t>
            </w:r>
          </w:p>
        </w:tc>
      </w:tr>
      <w:tr>
        <w:trPr>
          <w:trHeight w:val="348" w:hRule="exact"/>
        </w:trPr>
        <w:tc>
          <w:tcPr>
            <w:tcW w:w="43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深圳市柏士泰科技有限公司</w:t>
            </w:r>
          </w:p>
        </w:tc>
        <w:tc>
          <w:tcPr>
            <w:tcW w:w="27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1,470.00</w:t>
            </w:r>
          </w:p>
        </w:tc>
        <w:tc>
          <w:tcPr>
            <w:tcW w:w="23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49%</w:t>
            </w:r>
          </w:p>
        </w:tc>
      </w:tr>
    </w:tbl>
    <w:p>
      <w:pPr>
        <w:spacing w:line="240" w:lineRule="auto" w:before="4"/>
        <w:rPr>
          <w:rFonts w:ascii="宋体" w:hAnsi="宋体" w:cs="宋体" w:eastAsia="宋体" w:hint="default"/>
          <w:sz w:val="22"/>
          <w:szCs w:val="22"/>
        </w:rPr>
      </w:pPr>
    </w:p>
    <w:p>
      <w:pPr>
        <w:pStyle w:val="BodyText"/>
        <w:spacing w:line="300" w:lineRule="auto" w:before="44"/>
        <w:ind w:right="4597"/>
        <w:jc w:val="left"/>
      </w:pPr>
      <w:r>
        <w:rPr>
          <w:rFonts w:ascii="Times New Roman" w:hAnsi="Times New Roman" w:cs="Times New Roman" w:eastAsia="Times New Roman" w:hint="default"/>
        </w:rPr>
        <w:t>4</w:t>
      </w:r>
      <w:r>
        <w:rPr/>
        <w:t>、武汉市优博讯软件科技有限公司 统一社会信用代码：</w:t>
      </w:r>
      <w:r>
        <w:rPr>
          <w:rFonts w:ascii="Times New Roman" w:hAnsi="Times New Roman" w:cs="Times New Roman" w:eastAsia="Times New Roman" w:hint="default"/>
        </w:rPr>
        <w:t>91420100MA4KNLPR5F</w:t>
      </w:r>
      <w:r>
        <w:rPr>
          <w:rFonts w:ascii="Times New Roman" w:hAnsi="Times New Roman" w:cs="Times New Roman" w:eastAsia="Times New Roman" w:hint="default"/>
          <w:w w:val="99"/>
        </w:rPr>
        <w:t> </w:t>
      </w:r>
      <w:r>
        <w:rPr/>
        <w:t>住所：武汉市东湖新技术开发区花城大道</w:t>
      </w:r>
      <w:r>
        <w:rPr>
          <w:rFonts w:ascii="Times New Roman" w:hAnsi="Times New Roman" w:cs="Times New Roman" w:eastAsia="Times New Roman" w:hint="default"/>
        </w:rPr>
        <w:t>9</w:t>
      </w:r>
      <w:r>
        <w:rPr/>
        <w:t>号武汉软件新城</w:t>
      </w:r>
      <w:r>
        <w:rPr>
          <w:rFonts w:ascii="Times New Roman" w:hAnsi="Times New Roman" w:cs="Times New Roman" w:eastAsia="Times New Roman" w:hint="default"/>
        </w:rPr>
        <w:t>1.1</w:t>
      </w:r>
      <w:r>
        <w:rPr/>
        <w:t>期</w:t>
      </w:r>
      <w:r>
        <w:rPr>
          <w:rFonts w:ascii="Times New Roman" w:hAnsi="Times New Roman" w:cs="Times New Roman" w:eastAsia="Times New Roman" w:hint="default"/>
        </w:rPr>
        <w:t>A</w:t>
      </w:r>
      <w:r>
        <w:rPr/>
        <w:t>区</w:t>
      </w:r>
      <w:r>
        <w:rPr>
          <w:rFonts w:ascii="Times New Roman" w:hAnsi="Times New Roman" w:cs="Times New Roman" w:eastAsia="Times New Roman" w:hint="default"/>
        </w:rPr>
        <w:t>A2</w:t>
      </w:r>
      <w:r>
        <w:rPr/>
        <w:t>栋</w:t>
      </w:r>
      <w:r>
        <w:rPr>
          <w:rFonts w:ascii="Times New Roman" w:hAnsi="Times New Roman" w:cs="Times New Roman" w:eastAsia="Times New Roman" w:hint="default"/>
        </w:rPr>
        <w:t>404</w:t>
      </w:r>
      <w:r>
        <w:rPr/>
        <w:t>室 法定代表人：张雷</w:t>
      </w:r>
    </w:p>
    <w:p>
      <w:pPr>
        <w:pStyle w:val="BodyText"/>
        <w:spacing w:line="300" w:lineRule="auto" w:before="31"/>
        <w:ind w:right="7692"/>
        <w:jc w:val="left"/>
      </w:pPr>
      <w:r>
        <w:rPr/>
        <w:t>认缴注册资本总额（万元）：</w:t>
      </w:r>
      <w:r>
        <w:rPr>
          <w:rFonts w:ascii="Times New Roman" w:hAnsi="Times New Roman" w:cs="Times New Roman" w:eastAsia="Times New Roman" w:hint="default"/>
        </w:rPr>
        <w:t>500 </w:t>
      </w:r>
      <w:r>
        <w:rPr/>
        <w:t>企业类型：有限责任公司（法人独资）</w:t>
      </w:r>
    </w:p>
    <w:p>
      <w:pPr>
        <w:spacing w:after="0" w:line="30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left="214" w:right="6792"/>
        <w:jc w:val="left"/>
      </w:pPr>
      <w:r>
        <w:rPr/>
        <w:t>成立日期：</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28</w:t>
      </w:r>
      <w:r>
        <w:rPr/>
        <w:t>日 营业期限：自</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28</w:t>
      </w:r>
      <w:r>
        <w:rPr/>
        <w:t>日起至</w:t>
      </w:r>
      <w:r>
        <w:rPr>
          <w:rFonts w:ascii="Times New Roman" w:hAnsi="Times New Roman" w:cs="Times New Roman" w:eastAsia="Times New Roman" w:hint="default"/>
        </w:rPr>
        <w:t>2026</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25</w:t>
      </w:r>
      <w:r>
        <w:rPr/>
        <w:t>日止</w:t>
      </w:r>
    </w:p>
    <w:p>
      <w:pPr>
        <w:pStyle w:val="BodyText"/>
        <w:spacing w:line="300" w:lineRule="auto" w:before="13"/>
        <w:ind w:left="214" w:right="2962"/>
        <w:jc w:val="left"/>
      </w:pPr>
      <w:r>
        <w:rPr/>
        <w:t>经营范围：计算机软硬件的设计、开发、技术咨询、技术服务、批发兼零售</w:t>
      </w:r>
      <w:r>
        <w:rPr>
          <w:rFonts w:ascii="Times New Roman" w:hAnsi="Times New Roman" w:cs="Times New Roman" w:eastAsia="Times New Roman" w:hint="default"/>
        </w:rPr>
        <w:t>;</w:t>
      </w:r>
      <w:r>
        <w:rPr/>
        <w:t>计算机系统集成服务。 股东情况：</w:t>
      </w:r>
    </w:p>
    <w:tbl>
      <w:tblPr>
        <w:tblW w:w="0" w:type="auto"/>
        <w:jc w:val="left"/>
        <w:tblInd w:w="206" w:type="dxa"/>
        <w:tblLayout w:type="fixed"/>
        <w:tblCellMar>
          <w:top w:w="0" w:type="dxa"/>
          <w:left w:w="0" w:type="dxa"/>
          <w:bottom w:w="0" w:type="dxa"/>
          <w:right w:w="0" w:type="dxa"/>
        </w:tblCellMar>
        <w:tblLook w:val="01E0"/>
      </w:tblPr>
      <w:tblGrid>
        <w:gridCol w:w="4435"/>
        <w:gridCol w:w="2752"/>
        <w:gridCol w:w="2424"/>
      </w:tblGrid>
      <w:tr>
        <w:trPr>
          <w:trHeight w:val="347" w:hRule="exact"/>
        </w:trPr>
        <w:tc>
          <w:tcPr>
            <w:tcW w:w="443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75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出资额</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r>
              <w:rPr>
                <w:rFonts w:ascii="Times New Roman" w:hAnsi="Times New Roman" w:cs="Times New Roman" w:eastAsia="Times New Roman" w:hint="default"/>
                <w:sz w:val="18"/>
                <w:szCs w:val="18"/>
              </w:rPr>
              <w:t>)</w:t>
            </w:r>
          </w:p>
        </w:tc>
        <w:tc>
          <w:tcPr>
            <w:tcW w:w="242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出资比例</w:t>
            </w:r>
            <w:r>
              <w:rPr>
                <w:rFonts w:ascii="Times New Roman" w:hAnsi="Times New Roman" w:cs="Times New Roman" w:eastAsia="Times New Roman" w:hint="default"/>
                <w:sz w:val="18"/>
                <w:szCs w:val="18"/>
              </w:rPr>
              <w:t>(%)</w:t>
            </w:r>
          </w:p>
        </w:tc>
      </w:tr>
      <w:tr>
        <w:trPr>
          <w:trHeight w:val="348" w:hRule="exact"/>
        </w:trPr>
        <w:tc>
          <w:tcPr>
            <w:tcW w:w="44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深圳市优博讯科技股份有限公司</w:t>
            </w:r>
          </w:p>
        </w:tc>
        <w:tc>
          <w:tcPr>
            <w:tcW w:w="27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500.00</w:t>
            </w:r>
          </w:p>
        </w:tc>
        <w:tc>
          <w:tcPr>
            <w:tcW w:w="2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100%</w:t>
            </w:r>
          </w:p>
        </w:tc>
      </w:tr>
    </w:tbl>
    <w:p>
      <w:pPr>
        <w:spacing w:line="240" w:lineRule="auto" w:before="11"/>
        <w:rPr>
          <w:rFonts w:ascii="宋体" w:hAnsi="宋体" w:cs="宋体" w:eastAsia="宋体" w:hint="default"/>
          <w:sz w:val="22"/>
          <w:szCs w:val="22"/>
        </w:rPr>
      </w:pPr>
    </w:p>
    <w:p>
      <w:pPr>
        <w:pStyle w:val="BodyText"/>
        <w:spacing w:line="240" w:lineRule="auto" w:before="44"/>
        <w:ind w:left="214" w:right="2962"/>
        <w:jc w:val="left"/>
      </w:pPr>
      <w:r>
        <w:rPr>
          <w:rFonts w:ascii="Times New Roman" w:hAnsi="Times New Roman" w:cs="Times New Roman" w:eastAsia="Times New Roman" w:hint="default"/>
        </w:rPr>
        <w:t>5</w:t>
      </w:r>
      <w:r>
        <w:rPr/>
        <w:t>、优博讯软件、优金支付、瑞柏泰、武汉优软报告期较上一年度主要财务指标变化的原因：</w:t>
      </w:r>
    </w:p>
    <w:p>
      <w:pPr>
        <w:pStyle w:val="Heading4"/>
        <w:spacing w:line="240" w:lineRule="auto" w:before="103"/>
        <w:ind w:left="214" w:right="6792"/>
        <w:jc w:val="left"/>
        <w:rPr>
          <w:b w:val="0"/>
          <w:bCs w:val="0"/>
        </w:rPr>
      </w:pPr>
      <w:r>
        <w:rPr/>
        <w:t>（</w:t>
      </w:r>
      <w:r>
        <w:rPr>
          <w:rFonts w:ascii="宋体" w:hAnsi="宋体" w:cs="宋体" w:eastAsia="宋体" w:hint="default"/>
        </w:rPr>
        <w:t>1</w:t>
      </w:r>
      <w:r>
        <w:rPr/>
        <w:t>）优博讯软件：</w:t>
      </w:r>
      <w:r>
        <w:rPr>
          <w:b w:val="0"/>
          <w:bCs w:val="0"/>
        </w:rPr>
      </w:r>
    </w:p>
    <w:p>
      <w:pPr>
        <w:spacing w:line="240" w:lineRule="auto" w:before="0"/>
        <w:rPr>
          <w:rFonts w:ascii="宋体" w:hAnsi="宋体" w:cs="宋体" w:eastAsia="宋体" w:hint="default"/>
          <w:b/>
          <w:bCs/>
          <w:sz w:val="8"/>
          <w:szCs w:val="8"/>
        </w:rPr>
      </w:pPr>
    </w:p>
    <w:tbl>
      <w:tblPr>
        <w:tblW w:w="0" w:type="auto"/>
        <w:jc w:val="left"/>
        <w:tblInd w:w="101" w:type="dxa"/>
        <w:tblLayout w:type="fixed"/>
        <w:tblCellMar>
          <w:top w:w="0" w:type="dxa"/>
          <w:left w:w="0" w:type="dxa"/>
          <w:bottom w:w="0" w:type="dxa"/>
          <w:right w:w="0" w:type="dxa"/>
        </w:tblCellMar>
        <w:tblLook w:val="01E0"/>
      </w:tblPr>
      <w:tblGrid>
        <w:gridCol w:w="1708"/>
        <w:gridCol w:w="1418"/>
        <w:gridCol w:w="1559"/>
        <w:gridCol w:w="1134"/>
        <w:gridCol w:w="3929"/>
      </w:tblGrid>
      <w:tr>
        <w:trPr>
          <w:trHeight w:val="402" w:hRule="exact"/>
        </w:trPr>
        <w:tc>
          <w:tcPr>
            <w:tcW w:w="9749"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资产负债表</w:t>
            </w:r>
          </w:p>
        </w:tc>
      </w:tr>
      <w:tr>
        <w:trPr>
          <w:trHeight w:val="401" w:hRule="exact"/>
        </w:trPr>
        <w:tc>
          <w:tcPr>
            <w:tcW w:w="1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1028" w:val="left" w:leader="none"/>
              </w:tabs>
              <w:spacing w:line="240" w:lineRule="auto" w:before="52"/>
              <w:ind w:left="488"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34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413"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01" w:right="0"/>
              <w:jc w:val="left"/>
              <w:rPr>
                <w:rFonts w:ascii="宋体" w:hAnsi="宋体" w:cs="宋体" w:eastAsia="宋体" w:hint="default"/>
                <w:sz w:val="18"/>
                <w:szCs w:val="18"/>
              </w:rPr>
            </w:pPr>
            <w:r>
              <w:rPr>
                <w:rFonts w:ascii="宋体" w:hAnsi="宋体" w:cs="宋体" w:eastAsia="宋体" w:hint="default"/>
                <w:sz w:val="18"/>
                <w:szCs w:val="18"/>
              </w:rPr>
              <w:t>变动比例</w:t>
            </w:r>
          </w:p>
        </w:tc>
        <w:tc>
          <w:tcPr>
            <w:tcW w:w="39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01"/>
              <w:jc w:val="right"/>
              <w:rPr>
                <w:rFonts w:ascii="宋体" w:hAnsi="宋体" w:cs="宋体" w:eastAsia="宋体" w:hint="default"/>
                <w:sz w:val="18"/>
                <w:szCs w:val="18"/>
              </w:rPr>
            </w:pPr>
            <w:r>
              <w:rPr>
                <w:rFonts w:ascii="宋体"/>
                <w:sz w:val="18"/>
              </w:rPr>
              <w:t>9,689,285.95</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01"/>
              <w:jc w:val="right"/>
              <w:rPr>
                <w:rFonts w:ascii="宋体" w:hAnsi="宋体" w:cs="宋体" w:eastAsia="宋体" w:hint="default"/>
                <w:sz w:val="18"/>
                <w:szCs w:val="18"/>
              </w:rPr>
            </w:pPr>
            <w:r>
              <w:rPr>
                <w:rFonts w:ascii="宋体"/>
                <w:sz w:val="18"/>
              </w:rPr>
              <w:t>776,152.89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1148.37%</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主要系本报告期销售回款增加所致</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1,360,142.03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196,937.88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590.65%</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主要系预付技术开发费增加所致</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1,031,082.89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457,996.42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125.13%</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主要系本报告期购进运输设备所致</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13,720.85</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23,370.41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-41.29%</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主要系软件使用费摊销所致</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38,010.49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149,248.93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-74.53%</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主要系服务费摊销所致</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35,615.28</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16,259.53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119.04%</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4"/>
              <w:jc w:val="left"/>
              <w:rPr>
                <w:rFonts w:ascii="宋体" w:hAnsi="宋体" w:cs="宋体" w:eastAsia="宋体" w:hint="default"/>
                <w:sz w:val="18"/>
                <w:szCs w:val="18"/>
              </w:rPr>
            </w:pPr>
            <w:r>
              <w:rPr>
                <w:rFonts w:ascii="宋体" w:hAnsi="宋体" w:cs="宋体" w:eastAsia="宋体" w:hint="default"/>
                <w:spacing w:val="4"/>
                <w:sz w:val="18"/>
                <w:szCs w:val="18"/>
              </w:rPr>
              <w:t>主要系本报告期计提其他应收款坏账准备增加</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所致</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684,135.04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-100.00%</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3"/>
              <w:ind w:left="103" w:right="108"/>
              <w:jc w:val="left"/>
              <w:rPr>
                <w:rFonts w:ascii="宋体" w:hAnsi="宋体" w:cs="宋体" w:eastAsia="宋体" w:hint="default"/>
                <w:sz w:val="18"/>
                <w:szCs w:val="18"/>
              </w:rPr>
            </w:pPr>
            <w:r>
              <w:rPr>
                <w:rFonts w:ascii="宋体" w:hAnsi="宋体" w:cs="宋体" w:eastAsia="宋体" w:hint="default"/>
                <w:spacing w:val="4"/>
                <w:sz w:val="18"/>
                <w:szCs w:val="18"/>
              </w:rPr>
              <w:t>主要系上个报告期长期资产预付款在本报告期</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结转所致</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42,720.01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243,600.01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-82.46%</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主要系本报告期末应付费用款项减少所致</w:t>
            </w:r>
          </w:p>
        </w:tc>
      </w:tr>
      <w:tr>
        <w:trPr>
          <w:trHeight w:val="1026"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01"/>
              <w:jc w:val="right"/>
              <w:rPr>
                <w:rFonts w:ascii="宋体" w:hAnsi="宋体" w:cs="宋体" w:eastAsia="宋体" w:hint="default"/>
                <w:sz w:val="18"/>
                <w:szCs w:val="18"/>
              </w:rPr>
            </w:pPr>
            <w:r>
              <w:rPr>
                <w:rFonts w:ascii="宋体"/>
                <w:sz w:val="18"/>
              </w:rPr>
              <w:t>2,882,857.65</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01"/>
              <w:jc w:val="right"/>
              <w:rPr>
                <w:rFonts w:ascii="宋体" w:hAnsi="宋体" w:cs="宋体" w:eastAsia="宋体" w:hint="default"/>
                <w:sz w:val="18"/>
                <w:szCs w:val="18"/>
              </w:rPr>
            </w:pPr>
            <w:r>
              <w:rPr>
                <w:rFonts w:ascii="宋体"/>
                <w:sz w:val="18"/>
              </w:rPr>
              <w:t>1,192,046.01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01"/>
              <w:jc w:val="right"/>
              <w:rPr>
                <w:rFonts w:ascii="宋体" w:hAnsi="宋体" w:cs="宋体" w:eastAsia="宋体" w:hint="default"/>
                <w:sz w:val="18"/>
                <w:szCs w:val="18"/>
              </w:rPr>
            </w:pPr>
            <w:r>
              <w:rPr>
                <w:rFonts w:ascii="宋体"/>
                <w:sz w:val="18"/>
              </w:rPr>
              <w:t>141.84%</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1"/>
              <w:jc w:val="both"/>
              <w:rPr>
                <w:rFonts w:ascii="宋体" w:hAnsi="宋体" w:cs="宋体" w:eastAsia="宋体" w:hint="default"/>
                <w:sz w:val="18"/>
                <w:szCs w:val="18"/>
              </w:rPr>
            </w:pPr>
            <w:r>
              <w:rPr>
                <w:rFonts w:ascii="宋体" w:hAnsi="宋体" w:cs="宋体" w:eastAsia="宋体" w:hint="default"/>
                <w:spacing w:val="-4"/>
                <w:sz w:val="18"/>
                <w:szCs w:val="18"/>
              </w:rPr>
              <w:t>主要系公司享受“两免三减半”的所得税优惠税</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率在上个报告期结束、而本报告期适用</w:t>
            </w:r>
            <w:r>
              <w:rPr>
                <w:rFonts w:ascii="宋体" w:hAnsi="宋体" w:cs="宋体" w:eastAsia="宋体" w:hint="default"/>
                <w:sz w:val="18"/>
                <w:szCs w:val="18"/>
              </w:rPr>
              <w:t>25%</w:t>
            </w:r>
            <w:r>
              <w:rPr>
                <w:rFonts w:ascii="宋体" w:hAnsi="宋体" w:cs="宋体" w:eastAsia="宋体" w:hint="default"/>
                <w:sz w:val="18"/>
                <w:szCs w:val="18"/>
              </w:rPr>
              <w:t>的所</w:t>
            </w:r>
            <w:r>
              <w:rPr>
                <w:rFonts w:ascii="宋体" w:hAnsi="宋体" w:cs="宋体" w:eastAsia="宋体" w:hint="default"/>
                <w:spacing w:val="-71"/>
                <w:sz w:val="18"/>
                <w:szCs w:val="18"/>
              </w:rPr>
              <w:t> </w:t>
            </w:r>
            <w:r>
              <w:rPr>
                <w:rFonts w:ascii="宋体" w:hAnsi="宋体" w:cs="宋体" w:eastAsia="宋体" w:hint="default"/>
                <w:sz w:val="18"/>
                <w:szCs w:val="18"/>
              </w:rPr>
              <w:t>得税税率导致应交所得税增加所致</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1,598,120.78</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886,698.60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80.23%</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8"/>
              <w:jc w:val="left"/>
              <w:rPr>
                <w:rFonts w:ascii="宋体" w:hAnsi="宋体" w:cs="宋体" w:eastAsia="宋体" w:hint="default"/>
                <w:sz w:val="18"/>
                <w:szCs w:val="18"/>
              </w:rPr>
            </w:pPr>
            <w:r>
              <w:rPr>
                <w:rFonts w:ascii="宋体" w:hAnsi="宋体" w:cs="宋体" w:eastAsia="宋体" w:hint="default"/>
                <w:spacing w:val="4"/>
                <w:sz w:val="18"/>
                <w:szCs w:val="18"/>
              </w:rPr>
              <w:t>主要系本报告期末应付内部关联方往来款增加</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所致</w:t>
            </w:r>
          </w:p>
        </w:tc>
      </w:tr>
      <w:tr>
        <w:trPr>
          <w:trHeight w:val="715"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115,000.00</w:t>
            </w:r>
          </w:p>
        </w:tc>
        <w:tc>
          <w:tcPr>
            <w:tcW w:w="155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100.00%</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8"/>
              <w:jc w:val="left"/>
              <w:rPr>
                <w:rFonts w:ascii="宋体" w:hAnsi="宋体" w:cs="宋体" w:eastAsia="宋体" w:hint="default"/>
                <w:sz w:val="18"/>
                <w:szCs w:val="18"/>
              </w:rPr>
            </w:pPr>
            <w:r>
              <w:rPr>
                <w:rFonts w:ascii="宋体" w:hAnsi="宋体" w:cs="宋体" w:eastAsia="宋体" w:hint="default"/>
                <w:spacing w:val="4"/>
                <w:sz w:val="18"/>
                <w:szCs w:val="18"/>
              </w:rPr>
              <w:t>主要系本报告期收到的重点企事业单位住房补</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租补贴尚未发放</w:t>
            </w:r>
          </w:p>
        </w:tc>
      </w:tr>
      <w:tr>
        <w:trPr>
          <w:trHeight w:val="402" w:hRule="exact"/>
        </w:trPr>
        <w:tc>
          <w:tcPr>
            <w:tcW w:w="9749"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利润表</w:t>
            </w:r>
          </w:p>
        </w:tc>
      </w:tr>
      <w:tr>
        <w:trPr>
          <w:trHeight w:val="401" w:hRule="exact"/>
        </w:trPr>
        <w:tc>
          <w:tcPr>
            <w:tcW w:w="1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1208" w:val="left" w:leader="none"/>
              </w:tabs>
              <w:spacing w:line="240" w:lineRule="auto" w:before="52"/>
              <w:ind w:left="308"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34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413"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01" w:right="0"/>
              <w:jc w:val="left"/>
              <w:rPr>
                <w:rFonts w:ascii="宋体" w:hAnsi="宋体" w:cs="宋体" w:eastAsia="宋体" w:hint="default"/>
                <w:sz w:val="18"/>
                <w:szCs w:val="18"/>
              </w:rPr>
            </w:pPr>
            <w:r>
              <w:rPr>
                <w:rFonts w:ascii="宋体" w:hAnsi="宋体" w:cs="宋体" w:eastAsia="宋体" w:hint="default"/>
                <w:sz w:val="18"/>
                <w:szCs w:val="18"/>
              </w:rPr>
              <w:t>变动比例</w:t>
            </w:r>
          </w:p>
        </w:tc>
        <w:tc>
          <w:tcPr>
            <w:tcW w:w="39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35,289,310.00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47,225,780.00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-25.28%</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主要系本报告期软件售价下降所致</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01"/>
              <w:jc w:val="right"/>
              <w:rPr>
                <w:rFonts w:ascii="宋体" w:hAnsi="宋体" w:cs="宋体" w:eastAsia="宋体" w:hint="default"/>
                <w:sz w:val="18"/>
                <w:szCs w:val="18"/>
              </w:rPr>
            </w:pPr>
            <w:r>
              <w:rPr>
                <w:rFonts w:ascii="宋体"/>
                <w:sz w:val="18"/>
              </w:rPr>
              <w:t>665,535.11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01"/>
              <w:jc w:val="right"/>
              <w:rPr>
                <w:rFonts w:ascii="宋体" w:hAnsi="宋体" w:cs="宋体" w:eastAsia="宋体" w:hint="default"/>
                <w:sz w:val="18"/>
                <w:szCs w:val="18"/>
              </w:rPr>
            </w:pPr>
            <w:r>
              <w:rPr>
                <w:rFonts w:ascii="宋体"/>
                <w:sz w:val="18"/>
              </w:rPr>
              <w:t>952,673.59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-30.14%</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主要系本报告期销售额下降所致</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2,118,782.69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1,293,914.65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63.75%</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主要系本报告期软件产品宣传推广费增加所致</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766,482.91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1,673,885.15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-54.21%</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8"/>
              <w:jc w:val="left"/>
              <w:rPr>
                <w:rFonts w:ascii="宋体" w:hAnsi="宋体" w:cs="宋体" w:eastAsia="宋体" w:hint="default"/>
                <w:sz w:val="18"/>
                <w:szCs w:val="18"/>
              </w:rPr>
            </w:pPr>
            <w:r>
              <w:rPr>
                <w:rFonts w:ascii="宋体" w:hAnsi="宋体" w:cs="宋体" w:eastAsia="宋体" w:hint="default"/>
                <w:spacing w:val="4"/>
                <w:sz w:val="18"/>
                <w:szCs w:val="18"/>
              </w:rPr>
              <w:t>主要系组织架构优化导致人员费用总额减少所</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致</w:t>
            </w:r>
          </w:p>
        </w:tc>
      </w:tr>
      <w:tr>
        <w:trPr>
          <w:trHeight w:val="403"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123,486.66</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-5,051.02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-2544.79%</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pacing w:val="4"/>
                <w:sz w:val="18"/>
                <w:szCs w:val="18"/>
              </w:rPr>
              <w:t>主要系本报告期收到母公司开出的信用证进行</w:t>
            </w:r>
          </w:p>
        </w:tc>
      </w:tr>
    </w:tbl>
    <w:p>
      <w:pPr>
        <w:spacing w:after="0" w:line="240" w:lineRule="auto"/>
        <w:jc w:val="left"/>
        <w:rPr>
          <w:rFonts w:ascii="宋体" w:hAnsi="宋体" w:cs="宋体" w:eastAsia="宋体" w:hint="default"/>
          <w:sz w:val="18"/>
          <w:szCs w:val="18"/>
        </w:rPr>
        <w:sectPr>
          <w:pgSz w:w="11910" w:h="16840"/>
          <w:pgMar w:header="747" w:footer="979" w:top="1060" w:bottom="1160" w:left="920" w:right="0"/>
        </w:sectPr>
      </w:pPr>
    </w:p>
    <w:p>
      <w:pPr>
        <w:spacing w:line="240" w:lineRule="auto" w:before="6"/>
        <w:rPr>
          <w:rFonts w:ascii="宋体" w:hAnsi="宋体" w:cs="宋体" w:eastAsia="宋体" w:hint="default"/>
          <w:b/>
          <w:bCs/>
          <w:sz w:val="28"/>
          <w:szCs w:val="28"/>
        </w:rPr>
      </w:pPr>
    </w:p>
    <w:tbl>
      <w:tblPr>
        <w:tblW w:w="0" w:type="auto"/>
        <w:jc w:val="left"/>
        <w:tblInd w:w="101" w:type="dxa"/>
        <w:tblLayout w:type="fixed"/>
        <w:tblCellMar>
          <w:top w:w="0" w:type="dxa"/>
          <w:left w:w="0" w:type="dxa"/>
          <w:bottom w:w="0" w:type="dxa"/>
          <w:right w:w="0" w:type="dxa"/>
        </w:tblCellMar>
        <w:tblLook w:val="01E0"/>
      </w:tblPr>
      <w:tblGrid>
        <w:gridCol w:w="1708"/>
        <w:gridCol w:w="1418"/>
        <w:gridCol w:w="1559"/>
        <w:gridCol w:w="1134"/>
        <w:gridCol w:w="3929"/>
      </w:tblGrid>
      <w:tr>
        <w:trPr>
          <w:trHeight w:val="362" w:hRule="exact"/>
        </w:trPr>
        <w:tc>
          <w:tcPr>
            <w:tcW w:w="170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议付导致手续费增加</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-102,615.11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53,188.28</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-292.93%</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8"/>
              <w:jc w:val="left"/>
              <w:rPr>
                <w:rFonts w:ascii="宋体" w:hAnsi="宋体" w:cs="宋体" w:eastAsia="宋体" w:hint="default"/>
                <w:sz w:val="18"/>
                <w:szCs w:val="18"/>
              </w:rPr>
            </w:pPr>
            <w:r>
              <w:rPr>
                <w:rFonts w:ascii="宋体" w:hAnsi="宋体" w:cs="宋体" w:eastAsia="宋体" w:hint="default"/>
                <w:spacing w:val="4"/>
                <w:sz w:val="18"/>
                <w:szCs w:val="18"/>
              </w:rPr>
              <w:t>主要系本报告期收回租赁押金而其他应收款坏</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账准备冲回所致</w:t>
            </w:r>
          </w:p>
        </w:tc>
      </w:tr>
      <w:tr>
        <w:trPr>
          <w:trHeight w:val="1026"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4,677,044.39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3,372,108.59</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38.70%</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1"/>
              <w:jc w:val="both"/>
              <w:rPr>
                <w:rFonts w:ascii="宋体" w:hAnsi="宋体" w:cs="宋体" w:eastAsia="宋体" w:hint="default"/>
                <w:sz w:val="18"/>
                <w:szCs w:val="18"/>
              </w:rPr>
            </w:pPr>
            <w:r>
              <w:rPr>
                <w:rFonts w:ascii="宋体" w:hAnsi="宋体" w:cs="宋体" w:eastAsia="宋体" w:hint="default"/>
                <w:spacing w:val="-4"/>
                <w:sz w:val="18"/>
                <w:szCs w:val="18"/>
              </w:rPr>
              <w:t>主要系公司享受“两免三减半”的所得税优惠税</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率在上个报告期结束、而本报告期适用</w:t>
            </w:r>
            <w:r>
              <w:rPr>
                <w:rFonts w:ascii="宋体" w:hAnsi="宋体" w:cs="宋体" w:eastAsia="宋体" w:hint="default"/>
                <w:sz w:val="18"/>
                <w:szCs w:val="18"/>
              </w:rPr>
              <w:t>25%</w:t>
            </w:r>
            <w:r>
              <w:rPr>
                <w:rFonts w:ascii="宋体" w:hAnsi="宋体" w:cs="宋体" w:eastAsia="宋体" w:hint="default"/>
                <w:sz w:val="18"/>
                <w:szCs w:val="18"/>
              </w:rPr>
              <w:t>的所</w:t>
            </w:r>
            <w:r>
              <w:rPr>
                <w:rFonts w:ascii="宋体" w:hAnsi="宋体" w:cs="宋体" w:eastAsia="宋体" w:hint="default"/>
                <w:spacing w:val="-71"/>
                <w:sz w:val="18"/>
                <w:szCs w:val="18"/>
              </w:rPr>
              <w:t> </w:t>
            </w:r>
            <w:r>
              <w:rPr>
                <w:rFonts w:ascii="宋体" w:hAnsi="宋体" w:cs="宋体" w:eastAsia="宋体" w:hint="default"/>
                <w:sz w:val="18"/>
                <w:szCs w:val="18"/>
              </w:rPr>
              <w:t>得税税率导致应交所得税增加所致</w:t>
            </w:r>
          </w:p>
        </w:tc>
      </w:tr>
      <w:tr>
        <w:trPr>
          <w:trHeight w:val="402" w:hRule="exact"/>
        </w:trPr>
        <w:tc>
          <w:tcPr>
            <w:tcW w:w="9749"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现金流量表</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1208" w:val="left" w:leader="none"/>
              </w:tabs>
              <w:spacing w:line="240" w:lineRule="auto" w:before="51"/>
              <w:ind w:left="308"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4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01" w:right="0"/>
              <w:jc w:val="left"/>
              <w:rPr>
                <w:rFonts w:ascii="宋体" w:hAnsi="宋体" w:cs="宋体" w:eastAsia="宋体" w:hint="default"/>
                <w:sz w:val="18"/>
                <w:szCs w:val="18"/>
              </w:rPr>
            </w:pPr>
            <w:r>
              <w:rPr>
                <w:rFonts w:ascii="宋体" w:hAnsi="宋体" w:cs="宋体" w:eastAsia="宋体" w:hint="default"/>
                <w:sz w:val="18"/>
                <w:szCs w:val="18"/>
              </w:rPr>
              <w:t>变动比例</w:t>
            </w:r>
          </w:p>
        </w:tc>
        <w:tc>
          <w:tcPr>
            <w:tcW w:w="39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left"/>
              <w:rPr>
                <w:rFonts w:ascii="宋体" w:hAnsi="宋体" w:cs="宋体" w:eastAsia="宋体" w:hint="default"/>
                <w:sz w:val="18"/>
                <w:szCs w:val="18"/>
              </w:rPr>
            </w:pPr>
            <w:r>
              <w:rPr>
                <w:rFonts w:ascii="宋体" w:hAnsi="宋体" w:cs="宋体" w:eastAsia="宋体" w:hint="default"/>
                <w:spacing w:val="6"/>
                <w:sz w:val="18"/>
                <w:szCs w:val="18"/>
              </w:rPr>
              <w:t>支付给职工以及为</w:t>
            </w:r>
            <w:r>
              <w:rPr>
                <w:rFonts w:ascii="宋体" w:hAnsi="宋体" w:cs="宋体" w:eastAsia="宋体" w:hint="default"/>
                <w:sz w:val="18"/>
                <w:szCs w:val="18"/>
              </w:rPr>
              <w:t> 职工支付的现金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2,053,683.15</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3,373,227.73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-39.12%</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8"/>
              <w:jc w:val="left"/>
              <w:rPr>
                <w:rFonts w:ascii="宋体" w:hAnsi="宋体" w:cs="宋体" w:eastAsia="宋体" w:hint="default"/>
                <w:sz w:val="18"/>
                <w:szCs w:val="18"/>
              </w:rPr>
            </w:pPr>
            <w:r>
              <w:rPr>
                <w:rFonts w:ascii="宋体" w:hAnsi="宋体" w:cs="宋体" w:eastAsia="宋体" w:hint="default"/>
                <w:spacing w:val="4"/>
                <w:sz w:val="18"/>
                <w:szCs w:val="18"/>
              </w:rPr>
              <w:t>主要系本报告期组织架构优化导致人员费用有</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所下降</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left"/>
              <w:rPr>
                <w:rFonts w:ascii="宋体" w:hAnsi="宋体" w:cs="宋体" w:eastAsia="宋体" w:hint="default"/>
                <w:sz w:val="18"/>
                <w:szCs w:val="18"/>
              </w:rPr>
            </w:pPr>
            <w:r>
              <w:rPr>
                <w:rFonts w:ascii="宋体" w:hAnsi="宋体" w:cs="宋体" w:eastAsia="宋体" w:hint="default"/>
                <w:spacing w:val="6"/>
                <w:sz w:val="18"/>
                <w:szCs w:val="18"/>
              </w:rPr>
              <w:t>支付其他与经营活</w:t>
            </w:r>
            <w:r>
              <w:rPr>
                <w:rFonts w:ascii="宋体" w:hAnsi="宋体" w:cs="宋体" w:eastAsia="宋体" w:hint="default"/>
                <w:sz w:val="18"/>
                <w:szCs w:val="18"/>
              </w:rPr>
              <w:t> 动有关的现金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18,858,195.49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85" w:right="0"/>
              <w:jc w:val="left"/>
              <w:rPr>
                <w:rFonts w:ascii="宋体" w:hAnsi="宋体" w:cs="宋体" w:eastAsia="宋体" w:hint="default"/>
                <w:sz w:val="18"/>
                <w:szCs w:val="18"/>
              </w:rPr>
            </w:pPr>
            <w:r>
              <w:rPr>
                <w:rFonts w:ascii="宋体"/>
                <w:sz w:val="18"/>
              </w:rPr>
              <w:t>11,542,191.26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19"/>
              <w:jc w:val="right"/>
              <w:rPr>
                <w:rFonts w:ascii="宋体" w:hAnsi="宋体" w:cs="宋体" w:eastAsia="宋体" w:hint="default"/>
                <w:sz w:val="18"/>
                <w:szCs w:val="18"/>
              </w:rPr>
            </w:pPr>
            <w:r>
              <w:rPr>
                <w:rFonts w:ascii="宋体"/>
                <w:sz w:val="18"/>
              </w:rPr>
              <w:t>63.38%</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主要系本报告期付现费用增加所致</w:t>
            </w:r>
          </w:p>
        </w:tc>
      </w:tr>
      <w:tr>
        <w:trPr>
          <w:trHeight w:val="1026"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both"/>
              <w:rPr>
                <w:rFonts w:ascii="宋体" w:hAnsi="宋体" w:cs="宋体" w:eastAsia="宋体" w:hint="default"/>
                <w:sz w:val="18"/>
                <w:szCs w:val="18"/>
              </w:rPr>
            </w:pPr>
            <w:r>
              <w:rPr>
                <w:rFonts w:ascii="宋体" w:hAnsi="宋体" w:cs="宋体" w:eastAsia="宋体" w:hint="default"/>
                <w:spacing w:val="6"/>
                <w:sz w:val="18"/>
                <w:szCs w:val="18"/>
              </w:rPr>
              <w:t>购建固定资产、无</w:t>
            </w:r>
            <w:r>
              <w:rPr>
                <w:rFonts w:ascii="宋体" w:hAnsi="宋体" w:cs="宋体" w:eastAsia="宋体" w:hint="default"/>
                <w:sz w:val="18"/>
                <w:szCs w:val="18"/>
              </w:rPr>
              <w:t> </w:t>
            </w:r>
            <w:r>
              <w:rPr>
                <w:rFonts w:ascii="宋体" w:hAnsi="宋体" w:cs="宋体" w:eastAsia="宋体" w:hint="default"/>
                <w:spacing w:val="6"/>
                <w:sz w:val="18"/>
                <w:szCs w:val="18"/>
              </w:rPr>
              <w:t>形资产和其他长期</w:t>
            </w:r>
            <w:r>
              <w:rPr>
                <w:rFonts w:ascii="宋体" w:hAnsi="宋体" w:cs="宋体" w:eastAsia="宋体" w:hint="default"/>
                <w:sz w:val="18"/>
                <w:szCs w:val="18"/>
              </w:rPr>
              <w:t> 资产支付的现金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400,538.00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931,778.21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81" w:right="0"/>
              <w:jc w:val="left"/>
              <w:rPr>
                <w:rFonts w:ascii="宋体" w:hAnsi="宋体" w:cs="宋体" w:eastAsia="宋体" w:hint="default"/>
                <w:sz w:val="18"/>
                <w:szCs w:val="18"/>
              </w:rPr>
            </w:pPr>
            <w:r>
              <w:rPr>
                <w:rFonts w:ascii="宋体"/>
                <w:sz w:val="18"/>
              </w:rPr>
              <w:t>-57.01%</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主要系本报告期购建固定资产减少所致</w:t>
            </w:r>
          </w:p>
        </w:tc>
      </w:tr>
      <w:tr>
        <w:trPr>
          <w:trHeight w:val="1338"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both"/>
              <w:rPr>
                <w:rFonts w:ascii="宋体" w:hAnsi="宋体" w:cs="宋体" w:eastAsia="宋体" w:hint="default"/>
                <w:sz w:val="18"/>
                <w:szCs w:val="18"/>
              </w:rPr>
            </w:pPr>
            <w:r>
              <w:rPr>
                <w:rFonts w:ascii="宋体" w:hAnsi="宋体" w:cs="宋体" w:eastAsia="宋体" w:hint="default"/>
                <w:spacing w:val="6"/>
                <w:sz w:val="18"/>
                <w:szCs w:val="18"/>
              </w:rPr>
              <w:t>处置固定资产、无</w:t>
            </w:r>
            <w:r>
              <w:rPr>
                <w:rFonts w:ascii="宋体" w:hAnsi="宋体" w:cs="宋体" w:eastAsia="宋体" w:hint="default"/>
                <w:sz w:val="18"/>
                <w:szCs w:val="18"/>
              </w:rPr>
              <w:t> </w:t>
            </w:r>
            <w:r>
              <w:rPr>
                <w:rFonts w:ascii="宋体" w:hAnsi="宋体" w:cs="宋体" w:eastAsia="宋体" w:hint="default"/>
                <w:spacing w:val="6"/>
                <w:sz w:val="18"/>
                <w:szCs w:val="18"/>
              </w:rPr>
              <w:t>形资产和其他长期</w:t>
            </w:r>
            <w:r>
              <w:rPr>
                <w:rFonts w:ascii="宋体" w:hAnsi="宋体" w:cs="宋体" w:eastAsia="宋体" w:hint="default"/>
                <w:sz w:val="18"/>
                <w:szCs w:val="18"/>
              </w:rPr>
              <w:t> </w:t>
            </w:r>
            <w:r>
              <w:rPr>
                <w:rFonts w:ascii="宋体" w:hAnsi="宋体" w:cs="宋体" w:eastAsia="宋体" w:hint="default"/>
                <w:spacing w:val="6"/>
                <w:sz w:val="18"/>
                <w:szCs w:val="18"/>
              </w:rPr>
              <w:t>资产收回的现金净</w:t>
            </w:r>
            <w:r>
              <w:rPr>
                <w:rFonts w:ascii="宋体" w:hAnsi="宋体" w:cs="宋体" w:eastAsia="宋体" w:hint="default"/>
                <w:sz w:val="18"/>
                <w:szCs w:val="18"/>
              </w:rPr>
              <w:t> 额</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101"/>
              <w:jc w:val="right"/>
              <w:rPr>
                <w:rFonts w:ascii="宋体" w:hAnsi="宋体" w:cs="宋体" w:eastAsia="宋体" w:hint="default"/>
                <w:sz w:val="18"/>
                <w:szCs w:val="18"/>
              </w:rPr>
            </w:pPr>
            <w:r>
              <w:rPr>
                <w:rFonts w:ascii="宋体"/>
                <w:sz w:val="18"/>
              </w:rPr>
              <w:t>100.00</w:t>
            </w:r>
          </w:p>
        </w:tc>
        <w:tc>
          <w:tcPr>
            <w:tcW w:w="155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right="101"/>
              <w:jc w:val="right"/>
              <w:rPr>
                <w:rFonts w:ascii="宋体" w:hAnsi="宋体" w:cs="宋体" w:eastAsia="宋体" w:hint="default"/>
                <w:sz w:val="18"/>
                <w:szCs w:val="18"/>
              </w:rPr>
            </w:pPr>
            <w:r>
              <w:rPr>
                <w:rFonts w:ascii="宋体"/>
                <w:sz w:val="18"/>
              </w:rPr>
              <w:t>100.00%</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主要系本报告期报废固定资产所致</w:t>
            </w:r>
          </w:p>
        </w:tc>
      </w:tr>
      <w:tr>
        <w:trPr>
          <w:trHeight w:val="1026"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2"/>
              <w:jc w:val="both"/>
              <w:rPr>
                <w:rFonts w:ascii="宋体" w:hAnsi="宋体" w:cs="宋体" w:eastAsia="宋体" w:hint="default"/>
                <w:sz w:val="18"/>
                <w:szCs w:val="18"/>
              </w:rPr>
            </w:pPr>
            <w:r>
              <w:rPr>
                <w:rFonts w:ascii="宋体" w:hAnsi="宋体" w:cs="宋体" w:eastAsia="宋体" w:hint="default"/>
                <w:spacing w:val="6"/>
                <w:sz w:val="18"/>
                <w:szCs w:val="18"/>
              </w:rPr>
              <w:t>分配股利、利润或</w:t>
            </w:r>
            <w:r>
              <w:rPr>
                <w:rFonts w:ascii="宋体" w:hAnsi="宋体" w:cs="宋体" w:eastAsia="宋体" w:hint="default"/>
                <w:sz w:val="18"/>
                <w:szCs w:val="18"/>
              </w:rPr>
              <w:t> </w:t>
            </w:r>
            <w:r>
              <w:rPr>
                <w:rFonts w:ascii="宋体" w:hAnsi="宋体" w:cs="宋体" w:eastAsia="宋体" w:hint="default"/>
                <w:spacing w:val="6"/>
                <w:sz w:val="18"/>
                <w:szCs w:val="18"/>
              </w:rPr>
              <w:t>偿付利息支付的现</w:t>
            </w:r>
            <w:r>
              <w:rPr>
                <w:rFonts w:ascii="宋体" w:hAnsi="宋体" w:cs="宋体" w:eastAsia="宋体" w:hint="default"/>
                <w:sz w:val="18"/>
                <w:szCs w:val="18"/>
              </w:rPr>
              <w:t> 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30,000,000.00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60,000,000.00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-50.00%</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主要系本报告期分配股利较上期减少所致</w:t>
            </w:r>
          </w:p>
        </w:tc>
      </w:tr>
    </w:tbl>
    <w:p>
      <w:pPr>
        <w:spacing w:line="240" w:lineRule="auto" w:before="6"/>
        <w:rPr>
          <w:rFonts w:ascii="宋体" w:hAnsi="宋体" w:cs="宋体" w:eastAsia="宋体" w:hint="default"/>
          <w:b/>
          <w:bCs/>
          <w:sz w:val="27"/>
          <w:szCs w:val="27"/>
        </w:rPr>
      </w:pPr>
    </w:p>
    <w:p>
      <w:pPr>
        <w:pStyle w:val="Heading4"/>
        <w:spacing w:line="240" w:lineRule="auto" w:before="44"/>
        <w:ind w:left="214" w:right="6792"/>
        <w:jc w:val="left"/>
        <w:rPr>
          <w:b w:val="0"/>
          <w:bCs w:val="0"/>
        </w:rPr>
      </w:pPr>
      <w:r>
        <w:rPr/>
        <w:t>（</w:t>
      </w:r>
      <w:r>
        <w:rPr>
          <w:rFonts w:ascii="宋体" w:hAnsi="宋体" w:cs="宋体" w:eastAsia="宋体" w:hint="default"/>
        </w:rPr>
        <w:t>2</w:t>
      </w:r>
      <w:r>
        <w:rPr/>
        <w:t>）优金支付</w:t>
      </w:r>
      <w:r>
        <w:rPr>
          <w:b w:val="0"/>
          <w:bCs w:val="0"/>
        </w:rPr>
      </w:r>
    </w:p>
    <w:p>
      <w:pPr>
        <w:spacing w:line="240" w:lineRule="auto" w:before="13"/>
        <w:rPr>
          <w:rFonts w:ascii="宋体" w:hAnsi="宋体" w:cs="宋体" w:eastAsia="宋体" w:hint="default"/>
          <w:b/>
          <w:bCs/>
          <w:sz w:val="7"/>
          <w:szCs w:val="7"/>
        </w:rPr>
      </w:pPr>
    </w:p>
    <w:tbl>
      <w:tblPr>
        <w:tblW w:w="0" w:type="auto"/>
        <w:jc w:val="left"/>
        <w:tblInd w:w="101" w:type="dxa"/>
        <w:tblLayout w:type="fixed"/>
        <w:tblCellMar>
          <w:top w:w="0" w:type="dxa"/>
          <w:left w:w="0" w:type="dxa"/>
          <w:bottom w:w="0" w:type="dxa"/>
          <w:right w:w="0" w:type="dxa"/>
        </w:tblCellMar>
        <w:tblLook w:val="01E0"/>
      </w:tblPr>
      <w:tblGrid>
        <w:gridCol w:w="1708"/>
        <w:gridCol w:w="1418"/>
        <w:gridCol w:w="1559"/>
        <w:gridCol w:w="1134"/>
        <w:gridCol w:w="3929"/>
      </w:tblGrid>
      <w:tr>
        <w:trPr>
          <w:trHeight w:val="402" w:hRule="exact"/>
        </w:trPr>
        <w:tc>
          <w:tcPr>
            <w:tcW w:w="9749"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资产负债表</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1028" w:val="left" w:leader="none"/>
              </w:tabs>
              <w:spacing w:line="240" w:lineRule="auto" w:before="51"/>
              <w:ind w:left="488"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4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01" w:right="0"/>
              <w:jc w:val="left"/>
              <w:rPr>
                <w:rFonts w:ascii="宋体" w:hAnsi="宋体" w:cs="宋体" w:eastAsia="宋体" w:hint="default"/>
                <w:sz w:val="18"/>
                <w:szCs w:val="18"/>
              </w:rPr>
            </w:pPr>
            <w:r>
              <w:rPr>
                <w:rFonts w:ascii="宋体" w:hAnsi="宋体" w:cs="宋体" w:eastAsia="宋体" w:hint="default"/>
                <w:sz w:val="18"/>
                <w:szCs w:val="18"/>
              </w:rPr>
              <w:t>变动比例</w:t>
            </w:r>
          </w:p>
        </w:tc>
        <w:tc>
          <w:tcPr>
            <w:tcW w:w="39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17,354,735.63</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6,152,331.47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182.08%</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主要系本报告期销售回款增加所致</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76,022,996.62</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57,633,310.80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31.91%</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主要系本报告期销售规模增加所致</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218,737.50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23,800.00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819.07%</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主要系预付技术开发费增加所致</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21,651,799.97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2,036,572.87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963.15%</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本年应收母公司往来款增加所致</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214,108.10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10,751.85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1891.36%</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本年对外采购存货增加所致</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6,531.51</w:t>
            </w:r>
          </w:p>
        </w:tc>
        <w:tc>
          <w:tcPr>
            <w:tcW w:w="155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100.00%</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主要系本报告期末进项税额留抵所致</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7,231.91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343.36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2006.22%</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本报告期其他应收坏账准备的金额增加所致</w:t>
            </w:r>
          </w:p>
        </w:tc>
      </w:tr>
      <w:tr>
        <w:trPr>
          <w:trHeight w:val="1026"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2,259,948.29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1,138,860.60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98.44%</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1"/>
              <w:jc w:val="both"/>
              <w:rPr>
                <w:rFonts w:ascii="宋体" w:hAnsi="宋体" w:cs="宋体" w:eastAsia="宋体" w:hint="default"/>
                <w:sz w:val="18"/>
                <w:szCs w:val="18"/>
              </w:rPr>
            </w:pPr>
            <w:r>
              <w:rPr>
                <w:rFonts w:ascii="宋体" w:hAnsi="宋体" w:cs="宋体" w:eastAsia="宋体" w:hint="default"/>
                <w:spacing w:val="-4"/>
                <w:sz w:val="18"/>
                <w:szCs w:val="18"/>
              </w:rPr>
              <w:t>公司享受“两免三减半”所得税优惠政策，本报</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告期系第一个减半年度适用</w:t>
            </w:r>
            <w:r>
              <w:rPr>
                <w:rFonts w:ascii="宋体" w:hAnsi="宋体" w:cs="宋体" w:eastAsia="宋体" w:hint="default"/>
                <w:sz w:val="18"/>
                <w:szCs w:val="18"/>
              </w:rPr>
              <w:t>12.5%</w:t>
            </w:r>
            <w:r>
              <w:rPr>
                <w:rFonts w:ascii="宋体" w:hAnsi="宋体" w:cs="宋体" w:eastAsia="宋体" w:hint="default"/>
                <w:sz w:val="18"/>
                <w:szCs w:val="18"/>
              </w:rPr>
              <w:t>的税率而上个</w:t>
            </w:r>
            <w:r>
              <w:rPr>
                <w:rFonts w:ascii="宋体" w:hAnsi="宋体" w:cs="宋体" w:eastAsia="宋体" w:hint="default"/>
                <w:spacing w:val="-72"/>
                <w:sz w:val="18"/>
                <w:szCs w:val="18"/>
              </w:rPr>
              <w:t> </w:t>
            </w:r>
            <w:r>
              <w:rPr>
                <w:rFonts w:ascii="宋体" w:hAnsi="宋体" w:cs="宋体" w:eastAsia="宋体" w:hint="default"/>
                <w:sz w:val="18"/>
                <w:szCs w:val="18"/>
              </w:rPr>
              <w:t>报告期免税，导致应交所得税增加</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239,307.90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26,948.00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788.04%</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主要系本报告期应付内部往来款增加所致</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57,500.00</w:t>
            </w:r>
          </w:p>
        </w:tc>
        <w:tc>
          <w:tcPr>
            <w:tcW w:w="155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100.00%</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pacing w:val="4"/>
                <w:sz w:val="18"/>
                <w:szCs w:val="18"/>
              </w:rPr>
              <w:t>主要系本报告期收到的重点企事业单位住房补</w:t>
            </w:r>
          </w:p>
        </w:tc>
      </w:tr>
    </w:tbl>
    <w:p>
      <w:pPr>
        <w:spacing w:after="0" w:line="240" w:lineRule="auto"/>
        <w:jc w:val="left"/>
        <w:rPr>
          <w:rFonts w:ascii="宋体" w:hAnsi="宋体" w:cs="宋体" w:eastAsia="宋体" w:hint="default"/>
          <w:sz w:val="18"/>
          <w:szCs w:val="18"/>
        </w:rPr>
        <w:sectPr>
          <w:pgSz w:w="11910" w:h="16840"/>
          <w:pgMar w:header="747" w:footer="979" w:top="1060" w:bottom="1160" w:left="920" w:right="0"/>
        </w:sectPr>
      </w:pPr>
    </w:p>
    <w:p>
      <w:pPr>
        <w:spacing w:line="240" w:lineRule="auto" w:before="6"/>
        <w:rPr>
          <w:rFonts w:ascii="宋体" w:hAnsi="宋体" w:cs="宋体" w:eastAsia="宋体" w:hint="default"/>
          <w:b/>
          <w:bCs/>
          <w:sz w:val="28"/>
          <w:szCs w:val="28"/>
        </w:rPr>
      </w:pPr>
    </w:p>
    <w:tbl>
      <w:tblPr>
        <w:tblW w:w="0" w:type="auto"/>
        <w:jc w:val="left"/>
        <w:tblInd w:w="101" w:type="dxa"/>
        <w:tblLayout w:type="fixed"/>
        <w:tblCellMar>
          <w:top w:w="0" w:type="dxa"/>
          <w:left w:w="0" w:type="dxa"/>
          <w:bottom w:w="0" w:type="dxa"/>
          <w:right w:w="0" w:type="dxa"/>
        </w:tblCellMar>
        <w:tblLook w:val="01E0"/>
      </w:tblPr>
      <w:tblGrid>
        <w:gridCol w:w="1708"/>
        <w:gridCol w:w="1418"/>
        <w:gridCol w:w="1559"/>
        <w:gridCol w:w="1134"/>
        <w:gridCol w:w="3929"/>
      </w:tblGrid>
      <w:tr>
        <w:trPr>
          <w:trHeight w:val="362" w:hRule="exact"/>
        </w:trPr>
        <w:tc>
          <w:tcPr>
            <w:tcW w:w="1708"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租补贴尚未发放</w:t>
            </w:r>
          </w:p>
        </w:tc>
      </w:tr>
      <w:tr>
        <w:trPr>
          <w:trHeight w:val="402" w:hRule="exact"/>
        </w:trPr>
        <w:tc>
          <w:tcPr>
            <w:tcW w:w="9749"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利润表</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900" w:val="left" w:leader="none"/>
              </w:tabs>
              <w:spacing w:line="240" w:lineRule="auto" w:before="51"/>
              <w:ind w:right="307"/>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4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01" w:right="0"/>
              <w:jc w:val="left"/>
              <w:rPr>
                <w:rFonts w:ascii="宋体" w:hAnsi="宋体" w:cs="宋体" w:eastAsia="宋体" w:hint="default"/>
                <w:sz w:val="18"/>
                <w:szCs w:val="18"/>
              </w:rPr>
            </w:pPr>
            <w:r>
              <w:rPr>
                <w:rFonts w:ascii="宋体" w:hAnsi="宋体" w:cs="宋体" w:eastAsia="宋体" w:hint="default"/>
                <w:sz w:val="18"/>
                <w:szCs w:val="18"/>
              </w:rPr>
              <w:t>变动比例</w:t>
            </w:r>
          </w:p>
        </w:tc>
        <w:tc>
          <w:tcPr>
            <w:tcW w:w="39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281,877.07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181,714.42</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55.12%</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主要系本报告期销售人员费用增加所致</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153,611.27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388,724.73</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-60.48%</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8"/>
              <w:jc w:val="left"/>
              <w:rPr>
                <w:rFonts w:ascii="宋体" w:hAnsi="宋体" w:cs="宋体" w:eastAsia="宋体" w:hint="default"/>
                <w:sz w:val="18"/>
                <w:szCs w:val="18"/>
              </w:rPr>
            </w:pPr>
            <w:r>
              <w:rPr>
                <w:rFonts w:ascii="宋体" w:hAnsi="宋体" w:cs="宋体" w:eastAsia="宋体" w:hint="default"/>
                <w:spacing w:val="4"/>
                <w:sz w:val="18"/>
                <w:szCs w:val="18"/>
              </w:rPr>
              <w:t>主要系组织架构优化导致人员费用总额减少所</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致</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234,143.54</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-4,574.41</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-5218.55%</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8"/>
              <w:jc w:val="left"/>
              <w:rPr>
                <w:rFonts w:ascii="宋体" w:hAnsi="宋体" w:cs="宋体" w:eastAsia="宋体" w:hint="default"/>
                <w:sz w:val="18"/>
                <w:szCs w:val="18"/>
              </w:rPr>
            </w:pPr>
            <w:r>
              <w:rPr>
                <w:rFonts w:ascii="宋体" w:hAnsi="宋体" w:cs="宋体" w:eastAsia="宋体" w:hint="default"/>
                <w:spacing w:val="4"/>
                <w:sz w:val="18"/>
                <w:szCs w:val="18"/>
              </w:rPr>
              <w:t>主要系本报告期收到母公司开出的信用证进行</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议付导致手续费增加</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-2,391.58</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513.55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-565.70%</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主要系本报告期其他应收款坏账准备冲回所致</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1"/>
              <w:jc w:val="right"/>
              <w:rPr>
                <w:rFonts w:ascii="宋体" w:hAnsi="宋体" w:cs="宋体" w:eastAsia="宋体" w:hint="default"/>
                <w:sz w:val="18"/>
                <w:szCs w:val="18"/>
              </w:rPr>
            </w:pPr>
            <w:r>
              <w:rPr>
                <w:rFonts w:ascii="宋体"/>
                <w:sz w:val="18"/>
              </w:rPr>
              <w:t>11,364,017.7</w:t>
            </w:r>
          </w:p>
          <w:p>
            <w:pPr>
              <w:pStyle w:val="TableParagraph"/>
              <w:spacing w:line="240" w:lineRule="auto" w:before="76"/>
              <w:ind w:right="191"/>
              <w:jc w:val="right"/>
              <w:rPr>
                <w:rFonts w:ascii="宋体" w:hAnsi="宋体" w:cs="宋体" w:eastAsia="宋体" w:hint="default"/>
                <w:sz w:val="18"/>
                <w:szCs w:val="18"/>
              </w:rPr>
            </w:pPr>
            <w:r>
              <w:rPr>
                <w:rFonts w:ascii="宋体"/>
                <w:sz w:val="18"/>
              </w:rPr>
              <w:t>8</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7,049,482.90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61.20%</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8"/>
              <w:jc w:val="left"/>
              <w:rPr>
                <w:rFonts w:ascii="宋体" w:hAnsi="宋体" w:cs="宋体" w:eastAsia="宋体" w:hint="default"/>
                <w:sz w:val="18"/>
                <w:szCs w:val="18"/>
              </w:rPr>
            </w:pPr>
            <w:r>
              <w:rPr>
                <w:rFonts w:ascii="宋体" w:hAnsi="宋体" w:cs="宋体" w:eastAsia="宋体" w:hint="default"/>
                <w:spacing w:val="4"/>
                <w:sz w:val="18"/>
                <w:szCs w:val="18"/>
              </w:rPr>
              <w:t>主要系本报告期收到软件产品增值税退税款增</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加所致</w:t>
            </w:r>
          </w:p>
        </w:tc>
      </w:tr>
      <w:tr>
        <w:trPr>
          <w:trHeight w:val="1026"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9,271,068.80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-343.36</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-2700201.5</w:t>
            </w:r>
          </w:p>
          <w:p>
            <w:pPr>
              <w:pStyle w:val="TableParagraph"/>
              <w:spacing w:line="240" w:lineRule="auto" w:before="76"/>
              <w:ind w:right="101"/>
              <w:jc w:val="right"/>
              <w:rPr>
                <w:rFonts w:ascii="宋体" w:hAnsi="宋体" w:cs="宋体" w:eastAsia="宋体" w:hint="default"/>
                <w:sz w:val="18"/>
                <w:szCs w:val="18"/>
              </w:rPr>
            </w:pPr>
            <w:r>
              <w:rPr>
                <w:rFonts w:ascii="宋体"/>
                <w:sz w:val="18"/>
              </w:rPr>
              <w:t>8%</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1"/>
              <w:jc w:val="both"/>
              <w:rPr>
                <w:rFonts w:ascii="宋体" w:hAnsi="宋体" w:cs="宋体" w:eastAsia="宋体" w:hint="default"/>
                <w:sz w:val="18"/>
                <w:szCs w:val="18"/>
              </w:rPr>
            </w:pPr>
            <w:r>
              <w:rPr>
                <w:rFonts w:ascii="宋体" w:hAnsi="宋体" w:cs="宋体" w:eastAsia="宋体" w:hint="default"/>
                <w:spacing w:val="-4"/>
                <w:sz w:val="18"/>
                <w:szCs w:val="18"/>
              </w:rPr>
              <w:t>公司享受“两免三减半”所得税优惠政策，本报</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告期系第一个减半年度适用</w:t>
            </w:r>
            <w:r>
              <w:rPr>
                <w:rFonts w:ascii="宋体" w:hAnsi="宋体" w:cs="宋体" w:eastAsia="宋体" w:hint="default"/>
                <w:sz w:val="18"/>
                <w:szCs w:val="18"/>
              </w:rPr>
              <w:t>12.5%</w:t>
            </w:r>
            <w:r>
              <w:rPr>
                <w:rFonts w:ascii="宋体" w:hAnsi="宋体" w:cs="宋体" w:eastAsia="宋体" w:hint="default"/>
                <w:sz w:val="18"/>
                <w:szCs w:val="18"/>
              </w:rPr>
              <w:t>的税率，导致</w:t>
            </w:r>
            <w:r>
              <w:rPr>
                <w:rFonts w:ascii="宋体" w:hAnsi="宋体" w:cs="宋体" w:eastAsia="宋体" w:hint="default"/>
                <w:spacing w:val="-72"/>
                <w:sz w:val="18"/>
                <w:szCs w:val="18"/>
              </w:rPr>
              <w:t> </w:t>
            </w:r>
            <w:r>
              <w:rPr>
                <w:rFonts w:ascii="宋体" w:hAnsi="宋体" w:cs="宋体" w:eastAsia="宋体" w:hint="default"/>
                <w:sz w:val="18"/>
                <w:szCs w:val="18"/>
              </w:rPr>
              <w:t>应交所得税增加</w:t>
            </w:r>
          </w:p>
        </w:tc>
      </w:tr>
      <w:tr>
        <w:trPr>
          <w:trHeight w:val="402" w:hRule="exact"/>
        </w:trPr>
        <w:tc>
          <w:tcPr>
            <w:tcW w:w="9749"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现金流量表</w:t>
            </w:r>
          </w:p>
        </w:tc>
      </w:tr>
      <w:tr>
        <w:trPr>
          <w:trHeight w:val="402" w:hRule="exact"/>
        </w:trPr>
        <w:tc>
          <w:tcPr>
            <w:tcW w:w="1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900" w:val="left" w:leader="none"/>
              </w:tabs>
              <w:spacing w:line="240" w:lineRule="auto" w:before="51"/>
              <w:ind w:right="307"/>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4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13"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01" w:right="0"/>
              <w:jc w:val="left"/>
              <w:rPr>
                <w:rFonts w:ascii="宋体" w:hAnsi="宋体" w:cs="宋体" w:eastAsia="宋体" w:hint="default"/>
                <w:sz w:val="18"/>
                <w:szCs w:val="18"/>
              </w:rPr>
            </w:pPr>
            <w:r>
              <w:rPr>
                <w:rFonts w:ascii="宋体" w:hAnsi="宋体" w:cs="宋体" w:eastAsia="宋体" w:hint="default"/>
                <w:sz w:val="18"/>
                <w:szCs w:val="18"/>
              </w:rPr>
              <w:t>变动比例</w:t>
            </w:r>
          </w:p>
        </w:tc>
        <w:tc>
          <w:tcPr>
            <w:tcW w:w="392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left"/>
              <w:rPr>
                <w:rFonts w:ascii="宋体" w:hAnsi="宋体" w:cs="宋体" w:eastAsia="宋体" w:hint="default"/>
                <w:sz w:val="18"/>
                <w:szCs w:val="18"/>
              </w:rPr>
            </w:pPr>
            <w:r>
              <w:rPr>
                <w:rFonts w:ascii="宋体" w:hAnsi="宋体" w:cs="宋体" w:eastAsia="宋体" w:hint="default"/>
                <w:spacing w:val="6"/>
                <w:sz w:val="18"/>
                <w:szCs w:val="18"/>
              </w:rPr>
              <w:t>销售商品、提供劳</w:t>
            </w:r>
            <w:r>
              <w:rPr>
                <w:rFonts w:ascii="宋体" w:hAnsi="宋体" w:cs="宋体" w:eastAsia="宋体" w:hint="default"/>
                <w:sz w:val="18"/>
                <w:szCs w:val="18"/>
              </w:rPr>
              <w:t> 务收到的现金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66,538,659.38</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34,973,050.00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90.26%</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本报告期收回母公司软件产品货款增加所致</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11,144,526.67</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7,044,383.35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58.20%</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8"/>
              <w:jc w:val="left"/>
              <w:rPr>
                <w:rFonts w:ascii="宋体" w:hAnsi="宋体" w:cs="宋体" w:eastAsia="宋体" w:hint="default"/>
                <w:sz w:val="18"/>
                <w:szCs w:val="18"/>
              </w:rPr>
            </w:pPr>
            <w:r>
              <w:rPr>
                <w:rFonts w:ascii="宋体" w:hAnsi="宋体" w:cs="宋体" w:eastAsia="宋体" w:hint="default"/>
                <w:spacing w:val="4"/>
                <w:sz w:val="18"/>
                <w:szCs w:val="18"/>
              </w:rPr>
              <w:t>主要系本报告期收到软件产品增值税退税款增</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加所致</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left"/>
              <w:rPr>
                <w:rFonts w:ascii="宋体" w:hAnsi="宋体" w:cs="宋体" w:eastAsia="宋体" w:hint="default"/>
                <w:sz w:val="18"/>
                <w:szCs w:val="18"/>
              </w:rPr>
            </w:pPr>
            <w:r>
              <w:rPr>
                <w:rFonts w:ascii="宋体" w:hAnsi="宋体" w:cs="宋体" w:eastAsia="宋体" w:hint="default"/>
                <w:spacing w:val="6"/>
                <w:sz w:val="18"/>
                <w:szCs w:val="18"/>
              </w:rPr>
              <w:t>收到其他与经营活</w:t>
            </w:r>
            <w:r>
              <w:rPr>
                <w:rFonts w:ascii="宋体" w:hAnsi="宋体" w:cs="宋体" w:eastAsia="宋体" w:hint="default"/>
                <w:sz w:val="18"/>
                <w:szCs w:val="18"/>
              </w:rPr>
              <w:t> 动有关的现金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12,926,414.58</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1,028,466.87</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1156.86%</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本年收到内部往来款增加所致</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left"/>
              <w:rPr>
                <w:rFonts w:ascii="宋体" w:hAnsi="宋体" w:cs="宋体" w:eastAsia="宋体" w:hint="default"/>
                <w:sz w:val="18"/>
                <w:szCs w:val="18"/>
              </w:rPr>
            </w:pPr>
            <w:r>
              <w:rPr>
                <w:rFonts w:ascii="宋体" w:hAnsi="宋体" w:cs="宋体" w:eastAsia="宋体" w:hint="default"/>
                <w:spacing w:val="6"/>
                <w:sz w:val="18"/>
                <w:szCs w:val="18"/>
              </w:rPr>
              <w:t>购买商品、接受劳</w:t>
            </w:r>
            <w:r>
              <w:rPr>
                <w:rFonts w:ascii="宋体" w:hAnsi="宋体" w:cs="宋体" w:eastAsia="宋体" w:hint="default"/>
                <w:sz w:val="18"/>
                <w:szCs w:val="18"/>
              </w:rPr>
              <w:t> 务支付的现金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192,511.00</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29,598.00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550.42%</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本报告期对外采购存货增加所致</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21,346,356.91</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11,428,689.00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86.78%</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8"/>
              <w:jc w:val="left"/>
              <w:rPr>
                <w:rFonts w:ascii="宋体" w:hAnsi="宋体" w:cs="宋体" w:eastAsia="宋体" w:hint="default"/>
                <w:sz w:val="18"/>
                <w:szCs w:val="18"/>
              </w:rPr>
            </w:pPr>
            <w:r>
              <w:rPr>
                <w:rFonts w:ascii="宋体" w:hAnsi="宋体" w:cs="宋体" w:eastAsia="宋体" w:hint="default"/>
                <w:spacing w:val="4"/>
                <w:sz w:val="18"/>
                <w:szCs w:val="18"/>
              </w:rPr>
              <w:t>本报告期软件产品销售增加导致应交增值税及</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附加税费增加</w:t>
            </w:r>
          </w:p>
        </w:tc>
      </w:tr>
      <w:tr>
        <w:trPr>
          <w:trHeight w:val="714"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left"/>
              <w:rPr>
                <w:rFonts w:ascii="宋体" w:hAnsi="宋体" w:cs="宋体" w:eastAsia="宋体" w:hint="default"/>
                <w:sz w:val="18"/>
                <w:szCs w:val="18"/>
              </w:rPr>
            </w:pPr>
            <w:r>
              <w:rPr>
                <w:rFonts w:ascii="宋体" w:hAnsi="宋体" w:cs="宋体" w:eastAsia="宋体" w:hint="default"/>
                <w:spacing w:val="6"/>
                <w:sz w:val="18"/>
                <w:szCs w:val="18"/>
              </w:rPr>
              <w:t>支付其他与经营活</w:t>
            </w:r>
            <w:r>
              <w:rPr>
                <w:rFonts w:ascii="宋体" w:hAnsi="宋体" w:cs="宋体" w:eastAsia="宋体" w:hint="default"/>
                <w:sz w:val="18"/>
                <w:szCs w:val="18"/>
              </w:rPr>
              <w:t> 动有关的现金</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33,384,589.99</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3,566,561.65</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836.04%</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本报告期支付内部往来款增加所致</w:t>
            </w:r>
          </w:p>
        </w:tc>
      </w:tr>
      <w:tr>
        <w:trPr>
          <w:trHeight w:val="1026" w:hRule="exact"/>
        </w:trPr>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both"/>
              <w:rPr>
                <w:rFonts w:ascii="宋体" w:hAnsi="宋体" w:cs="宋体" w:eastAsia="宋体" w:hint="default"/>
                <w:sz w:val="18"/>
                <w:szCs w:val="18"/>
              </w:rPr>
            </w:pPr>
            <w:r>
              <w:rPr>
                <w:rFonts w:ascii="宋体" w:hAnsi="宋体" w:cs="宋体" w:eastAsia="宋体" w:hint="default"/>
                <w:spacing w:val="6"/>
                <w:sz w:val="18"/>
                <w:szCs w:val="18"/>
              </w:rPr>
              <w:t>购建固定资产、无</w:t>
            </w:r>
            <w:r>
              <w:rPr>
                <w:rFonts w:ascii="宋体" w:hAnsi="宋体" w:cs="宋体" w:eastAsia="宋体" w:hint="default"/>
                <w:sz w:val="18"/>
                <w:szCs w:val="18"/>
              </w:rPr>
              <w:t> </w:t>
            </w:r>
            <w:r>
              <w:rPr>
                <w:rFonts w:ascii="宋体" w:hAnsi="宋体" w:cs="宋体" w:eastAsia="宋体" w:hint="default"/>
                <w:spacing w:val="6"/>
                <w:sz w:val="18"/>
                <w:szCs w:val="18"/>
              </w:rPr>
              <w:t>形资产和其他长期</w:t>
            </w:r>
            <w:r>
              <w:rPr>
                <w:rFonts w:ascii="宋体" w:hAnsi="宋体" w:cs="宋体" w:eastAsia="宋体" w:hint="default"/>
                <w:sz w:val="18"/>
                <w:szCs w:val="18"/>
              </w:rPr>
              <w:t> 资产支付的现金</w:t>
            </w:r>
          </w:p>
        </w:tc>
        <w:tc>
          <w:tcPr>
            <w:tcW w:w="1418" w:type="dxa"/>
            <w:tcBorders>
              <w:top w:val="single" w:sz="4" w:space="0" w:color="000000"/>
              <w:left w:val="single" w:sz="4" w:space="0" w:color="000000"/>
              <w:bottom w:val="single" w:sz="4" w:space="0" w:color="000000"/>
              <w:right w:val="single" w:sz="4" w:space="0" w:color="000000"/>
            </w:tcBorders>
          </w:tcPr>
          <w:p>
            <w:pP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33,176.00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-100.00%</w:t>
            </w:r>
          </w:p>
        </w:tc>
        <w:tc>
          <w:tcPr>
            <w:tcW w:w="3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本报告期未购置长期资产</w:t>
            </w:r>
          </w:p>
        </w:tc>
      </w:tr>
    </w:tbl>
    <w:p>
      <w:pPr>
        <w:spacing w:line="240" w:lineRule="auto" w:before="6"/>
        <w:rPr>
          <w:rFonts w:ascii="宋体" w:hAnsi="宋体" w:cs="宋体" w:eastAsia="宋体" w:hint="default"/>
          <w:b/>
          <w:bCs/>
          <w:sz w:val="27"/>
          <w:szCs w:val="27"/>
        </w:rPr>
      </w:pPr>
    </w:p>
    <w:p>
      <w:pPr>
        <w:pStyle w:val="Heading4"/>
        <w:spacing w:line="240" w:lineRule="auto" w:before="44"/>
        <w:ind w:left="214" w:right="6792"/>
        <w:jc w:val="left"/>
        <w:rPr>
          <w:b w:val="0"/>
          <w:bCs w:val="0"/>
        </w:rPr>
      </w:pPr>
      <w:r>
        <w:rPr/>
        <w:t>（</w:t>
      </w:r>
      <w:r>
        <w:rPr>
          <w:rFonts w:ascii="宋体" w:hAnsi="宋体" w:cs="宋体" w:eastAsia="宋体" w:hint="default"/>
        </w:rPr>
        <w:t>3</w:t>
      </w:r>
      <w:r>
        <w:rPr/>
        <w:t>）瑞柏泰</w:t>
      </w:r>
      <w:r>
        <w:rPr>
          <w:b w:val="0"/>
          <w:bCs w:val="0"/>
        </w:rPr>
      </w:r>
    </w:p>
    <w:p>
      <w:pPr>
        <w:spacing w:line="240" w:lineRule="auto" w:before="13"/>
        <w:rPr>
          <w:rFonts w:ascii="宋体" w:hAnsi="宋体" w:cs="宋体" w:eastAsia="宋体" w:hint="default"/>
          <w:b/>
          <w:bCs/>
          <w:sz w:val="7"/>
          <w:szCs w:val="7"/>
        </w:rPr>
      </w:pPr>
    </w:p>
    <w:tbl>
      <w:tblPr>
        <w:tblW w:w="0" w:type="auto"/>
        <w:jc w:val="left"/>
        <w:tblInd w:w="101" w:type="dxa"/>
        <w:tblLayout w:type="fixed"/>
        <w:tblCellMar>
          <w:top w:w="0" w:type="dxa"/>
          <w:left w:w="0" w:type="dxa"/>
          <w:bottom w:w="0" w:type="dxa"/>
          <w:right w:w="0" w:type="dxa"/>
        </w:tblCellMar>
        <w:tblLook w:val="01E0"/>
      </w:tblPr>
      <w:tblGrid>
        <w:gridCol w:w="2114"/>
        <w:gridCol w:w="1580"/>
        <w:gridCol w:w="1580"/>
        <w:gridCol w:w="1121"/>
        <w:gridCol w:w="3354"/>
      </w:tblGrid>
      <w:tr>
        <w:trPr>
          <w:trHeight w:val="402" w:hRule="exact"/>
        </w:trPr>
        <w:tc>
          <w:tcPr>
            <w:tcW w:w="9749"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资产负债表</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1231" w:val="left" w:leader="none"/>
              </w:tabs>
              <w:spacing w:line="240" w:lineRule="auto" w:before="51"/>
              <w:ind w:left="691"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2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23"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1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94" w:right="0"/>
              <w:jc w:val="left"/>
              <w:rPr>
                <w:rFonts w:ascii="宋体" w:hAnsi="宋体" w:cs="宋体" w:eastAsia="宋体" w:hint="default"/>
                <w:sz w:val="18"/>
                <w:szCs w:val="18"/>
              </w:rPr>
            </w:pPr>
            <w:r>
              <w:rPr>
                <w:rFonts w:ascii="宋体" w:hAnsi="宋体" w:cs="宋体" w:eastAsia="宋体" w:hint="default"/>
                <w:sz w:val="18"/>
                <w:szCs w:val="18"/>
              </w:rPr>
              <w:t>变动比例</w:t>
            </w:r>
          </w:p>
        </w:tc>
        <w:tc>
          <w:tcPr>
            <w:tcW w:w="33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21,698,628.49</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8,863,260.00</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144.82%</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本报告期销售规模增加所致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预付账款</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30,259.39</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385,975.28</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-92.16%</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本报告期末预付费用减少所致</w:t>
            </w:r>
          </w:p>
        </w:tc>
      </w:tr>
    </w:tbl>
    <w:p>
      <w:pPr>
        <w:spacing w:after="0" w:line="240" w:lineRule="auto"/>
        <w:jc w:val="left"/>
        <w:rPr>
          <w:rFonts w:ascii="宋体" w:hAnsi="宋体" w:cs="宋体" w:eastAsia="宋体" w:hint="default"/>
          <w:sz w:val="18"/>
          <w:szCs w:val="18"/>
        </w:rPr>
        <w:sectPr>
          <w:pgSz w:w="11910" w:h="16840"/>
          <w:pgMar w:header="747" w:footer="979" w:top="1060" w:bottom="1160" w:left="92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01" w:type="dxa"/>
        <w:tblLayout w:type="fixed"/>
        <w:tblCellMar>
          <w:top w:w="0" w:type="dxa"/>
          <w:left w:w="0" w:type="dxa"/>
          <w:bottom w:w="0" w:type="dxa"/>
          <w:right w:w="0" w:type="dxa"/>
        </w:tblCellMar>
        <w:tblLook w:val="01E0"/>
      </w:tblPr>
      <w:tblGrid>
        <w:gridCol w:w="2114"/>
        <w:gridCol w:w="1580"/>
        <w:gridCol w:w="1580"/>
        <w:gridCol w:w="1121"/>
        <w:gridCol w:w="3354"/>
      </w:tblGrid>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174,975.60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123,278.01</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41.94%</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本报告期代垫赔偿款增加所致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1,103,804.54</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6,511,376.53</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-83.05%</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本报告期末备货减少所致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235,665.56</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164,947.89</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42.87%</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本报告期末确认的坏账准备增加所致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5,010,057.31</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23,997,486.69</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-79.12%</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本报告期末备货减少所致</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875,929.82</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1,277,946.04</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02"/>
              <w:jc w:val="right"/>
              <w:rPr>
                <w:rFonts w:ascii="宋体" w:hAnsi="宋体" w:cs="宋体" w:eastAsia="宋体" w:hint="default"/>
                <w:sz w:val="18"/>
                <w:szCs w:val="18"/>
              </w:rPr>
            </w:pPr>
            <w:r>
              <w:rPr>
                <w:rFonts w:ascii="宋体"/>
                <w:sz w:val="18"/>
              </w:rPr>
              <w:t>-31.46%</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2" w:right="99"/>
              <w:jc w:val="left"/>
              <w:rPr>
                <w:rFonts w:ascii="宋体" w:hAnsi="宋体" w:cs="宋体" w:eastAsia="宋体" w:hint="default"/>
                <w:sz w:val="18"/>
                <w:szCs w:val="18"/>
              </w:rPr>
            </w:pPr>
            <w:r>
              <w:rPr>
                <w:rFonts w:ascii="宋体" w:hAnsi="宋体" w:cs="宋体" w:eastAsia="宋体" w:hint="default"/>
                <w:spacing w:val="4"/>
                <w:sz w:val="18"/>
                <w:szCs w:val="18"/>
              </w:rPr>
              <w:t>人员架构优化导致报告期末应付人员费 </w:t>
            </w:r>
            <w:r>
              <w:rPr>
                <w:rFonts w:ascii="宋体" w:hAnsi="宋体" w:cs="宋体" w:eastAsia="宋体" w:hint="default"/>
                <w:sz w:val="18"/>
                <w:szCs w:val="18"/>
              </w:rPr>
              <w:t>用有所下降</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3,606,613.41</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2,814,158.21</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02"/>
              <w:jc w:val="right"/>
              <w:rPr>
                <w:rFonts w:ascii="宋体" w:hAnsi="宋体" w:cs="宋体" w:eastAsia="宋体" w:hint="default"/>
                <w:sz w:val="18"/>
                <w:szCs w:val="18"/>
              </w:rPr>
            </w:pPr>
            <w:r>
              <w:rPr>
                <w:rFonts w:ascii="宋体"/>
                <w:sz w:val="18"/>
              </w:rPr>
              <w:t>28.16%</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2" w:right="99"/>
              <w:jc w:val="left"/>
              <w:rPr>
                <w:rFonts w:ascii="宋体" w:hAnsi="宋体" w:cs="宋体" w:eastAsia="宋体" w:hint="default"/>
                <w:sz w:val="18"/>
                <w:szCs w:val="18"/>
              </w:rPr>
            </w:pPr>
            <w:r>
              <w:rPr>
                <w:rFonts w:ascii="宋体" w:hAnsi="宋体" w:cs="宋体" w:eastAsia="宋体" w:hint="default"/>
                <w:spacing w:val="4"/>
                <w:sz w:val="18"/>
                <w:szCs w:val="18"/>
              </w:rPr>
              <w:t>本报告期销售规模增加导致应交税费增 </w:t>
            </w:r>
            <w:r>
              <w:rPr>
                <w:rFonts w:ascii="宋体" w:hAnsi="宋体" w:cs="宋体" w:eastAsia="宋体" w:hint="default"/>
                <w:sz w:val="18"/>
                <w:szCs w:val="18"/>
              </w:rPr>
              <w:t>加</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9,891,716.50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7,287,242.29</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02"/>
              <w:jc w:val="right"/>
              <w:rPr>
                <w:rFonts w:ascii="宋体" w:hAnsi="宋体" w:cs="宋体" w:eastAsia="宋体" w:hint="default"/>
                <w:sz w:val="18"/>
                <w:szCs w:val="18"/>
              </w:rPr>
            </w:pPr>
            <w:r>
              <w:rPr>
                <w:rFonts w:ascii="宋体"/>
                <w:sz w:val="18"/>
              </w:rPr>
              <w:t>35.74%</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2" w:right="99"/>
              <w:jc w:val="left"/>
              <w:rPr>
                <w:rFonts w:ascii="宋体" w:hAnsi="宋体" w:cs="宋体" w:eastAsia="宋体" w:hint="default"/>
                <w:sz w:val="18"/>
                <w:szCs w:val="18"/>
              </w:rPr>
            </w:pPr>
            <w:r>
              <w:rPr>
                <w:rFonts w:ascii="宋体" w:hAnsi="宋体" w:cs="宋体" w:eastAsia="宋体" w:hint="default"/>
                <w:spacing w:val="4"/>
                <w:sz w:val="18"/>
                <w:szCs w:val="18"/>
              </w:rPr>
              <w:t>本报告期按公司会计政策计提盈余公积 </w:t>
            </w:r>
            <w:r>
              <w:rPr>
                <w:rFonts w:ascii="宋体" w:hAnsi="宋体" w:cs="宋体" w:eastAsia="宋体" w:hint="default"/>
                <w:sz w:val="18"/>
                <w:szCs w:val="18"/>
              </w:rPr>
              <w:t>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34,743,303.75</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24,429,761.98</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42.22%</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本报告期净利润增加所致</w:t>
            </w:r>
          </w:p>
        </w:tc>
      </w:tr>
      <w:tr>
        <w:trPr>
          <w:trHeight w:val="402" w:hRule="exact"/>
        </w:trPr>
        <w:tc>
          <w:tcPr>
            <w:tcW w:w="9749"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利润表</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900" w:val="left" w:leader="none"/>
              </w:tabs>
              <w:spacing w:line="240" w:lineRule="auto" w:before="51"/>
              <w:ind w:right="510"/>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1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2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23"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11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94" w:right="0"/>
              <w:jc w:val="left"/>
              <w:rPr>
                <w:rFonts w:ascii="宋体" w:hAnsi="宋体" w:cs="宋体" w:eastAsia="宋体" w:hint="default"/>
                <w:sz w:val="18"/>
                <w:szCs w:val="18"/>
              </w:rPr>
            </w:pPr>
            <w:r>
              <w:rPr>
                <w:rFonts w:ascii="宋体" w:hAnsi="宋体" w:cs="宋体" w:eastAsia="宋体" w:hint="default"/>
                <w:sz w:val="18"/>
                <w:szCs w:val="18"/>
              </w:rPr>
              <w:t>变动比例</w:t>
            </w:r>
          </w:p>
        </w:tc>
        <w:tc>
          <w:tcPr>
            <w:tcW w:w="33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629,009.37</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宋体" w:hAnsi="宋体" w:cs="宋体" w:eastAsia="宋体" w:hint="default"/>
                <w:sz w:val="18"/>
                <w:szCs w:val="18"/>
              </w:rPr>
            </w:pPr>
            <w:r>
              <w:rPr>
                <w:rFonts w:ascii="宋体"/>
                <w:sz w:val="18"/>
              </w:rPr>
              <w:t>1,137,787.58</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02"/>
              <w:jc w:val="right"/>
              <w:rPr>
                <w:rFonts w:ascii="宋体" w:hAnsi="宋体" w:cs="宋体" w:eastAsia="宋体" w:hint="default"/>
                <w:sz w:val="18"/>
                <w:szCs w:val="18"/>
              </w:rPr>
            </w:pPr>
            <w:r>
              <w:rPr>
                <w:rFonts w:ascii="宋体"/>
                <w:sz w:val="18"/>
              </w:rPr>
              <w:t>-44.72%</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2" w:right="99"/>
              <w:jc w:val="left"/>
              <w:rPr>
                <w:rFonts w:ascii="宋体" w:hAnsi="宋体" w:cs="宋体" w:eastAsia="宋体" w:hint="default"/>
                <w:sz w:val="18"/>
                <w:szCs w:val="18"/>
              </w:rPr>
            </w:pPr>
            <w:r>
              <w:rPr>
                <w:rFonts w:ascii="宋体" w:hAnsi="宋体" w:cs="宋体" w:eastAsia="宋体" w:hint="default"/>
                <w:spacing w:val="4"/>
                <w:sz w:val="18"/>
                <w:szCs w:val="18"/>
              </w:rPr>
              <w:t>本报告期销售架构优化导致销售人员费 </w:t>
            </w:r>
            <w:r>
              <w:rPr>
                <w:rFonts w:ascii="宋体" w:hAnsi="宋体" w:cs="宋体" w:eastAsia="宋体" w:hint="default"/>
                <w:sz w:val="18"/>
                <w:szCs w:val="18"/>
              </w:rPr>
              <w:t>用减少所致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-936,316.50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-296,276.14</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-216.03%</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本报告期存款利息收入增加所致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747,083.20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-597,705.39</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-224.99%</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本报告期计提坏账准备增加所致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投资收益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-80,912.12</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572,303.36</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-114.14%</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本报告期购买理财产品减少所致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2,634,944.65</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1,514,868.04</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73.94%</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本报告期收到的政府补助增加所致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2,008.74</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-100.00%</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本报告期未处置固定资产</w:t>
            </w:r>
          </w:p>
        </w:tc>
      </w:tr>
      <w:tr>
        <w:trPr>
          <w:trHeight w:val="402" w:hRule="exact"/>
        </w:trPr>
        <w:tc>
          <w:tcPr>
            <w:tcW w:w="9749"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现金流量表</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900" w:val="left" w:leader="none"/>
              </w:tabs>
              <w:spacing w:line="240" w:lineRule="auto" w:before="51"/>
              <w:ind w:right="510"/>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1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2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23"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11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94" w:right="0"/>
              <w:jc w:val="left"/>
              <w:rPr>
                <w:rFonts w:ascii="宋体" w:hAnsi="宋体" w:cs="宋体" w:eastAsia="宋体" w:hint="default"/>
                <w:sz w:val="18"/>
                <w:szCs w:val="18"/>
              </w:rPr>
            </w:pPr>
            <w:r>
              <w:rPr>
                <w:rFonts w:ascii="宋体" w:hAnsi="宋体" w:cs="宋体" w:eastAsia="宋体" w:hint="default"/>
                <w:sz w:val="18"/>
                <w:szCs w:val="18"/>
              </w:rPr>
              <w:t>变动比例</w:t>
            </w:r>
          </w:p>
        </w:tc>
        <w:tc>
          <w:tcPr>
            <w:tcW w:w="33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90"/>
              <w:jc w:val="left"/>
              <w:rPr>
                <w:rFonts w:ascii="宋体" w:hAnsi="宋体" w:cs="宋体" w:eastAsia="宋体" w:hint="default"/>
                <w:sz w:val="18"/>
                <w:szCs w:val="18"/>
              </w:rPr>
            </w:pPr>
            <w:r>
              <w:rPr>
                <w:rFonts w:ascii="宋体" w:hAnsi="宋体" w:cs="宋体" w:eastAsia="宋体" w:hint="default"/>
                <w:spacing w:val="10"/>
                <w:sz w:val="18"/>
                <w:szCs w:val="18"/>
              </w:rPr>
              <w:t>收到的其他与经营活动 </w:t>
            </w:r>
            <w:r>
              <w:rPr>
                <w:rFonts w:ascii="宋体" w:hAnsi="宋体" w:cs="宋体" w:eastAsia="宋体" w:hint="default"/>
                <w:sz w:val="18"/>
                <w:szCs w:val="18"/>
              </w:rPr>
              <w:t>有关的现金</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15"/>
              <w:jc w:val="right"/>
              <w:rPr>
                <w:rFonts w:ascii="宋体" w:hAnsi="宋体" w:cs="宋体" w:eastAsia="宋体" w:hint="default"/>
                <w:sz w:val="18"/>
                <w:szCs w:val="18"/>
              </w:rPr>
            </w:pPr>
            <w:r>
              <w:rPr>
                <w:rFonts w:ascii="宋体"/>
                <w:sz w:val="18"/>
              </w:rPr>
              <w:t>2,011,504.69</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15"/>
              <w:jc w:val="right"/>
              <w:rPr>
                <w:rFonts w:ascii="宋体" w:hAnsi="宋体" w:cs="宋体" w:eastAsia="宋体" w:hint="default"/>
                <w:sz w:val="18"/>
                <w:szCs w:val="18"/>
              </w:rPr>
            </w:pPr>
            <w:r>
              <w:rPr>
                <w:rFonts w:ascii="宋体"/>
                <w:sz w:val="18"/>
              </w:rPr>
              <w:t>41,361,941.92</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sz w:val="18"/>
              </w:rPr>
              <w:t>-95.14%</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本报告期收到内部往来款减少所致</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1"/>
              <w:jc w:val="left"/>
              <w:rPr>
                <w:rFonts w:ascii="宋体" w:hAnsi="宋体" w:cs="宋体" w:eastAsia="宋体" w:hint="default"/>
                <w:sz w:val="18"/>
                <w:szCs w:val="18"/>
              </w:rPr>
            </w:pPr>
            <w:r>
              <w:rPr>
                <w:rFonts w:ascii="宋体" w:hAnsi="宋体" w:cs="宋体" w:eastAsia="宋体" w:hint="default"/>
                <w:spacing w:val="-8"/>
                <w:sz w:val="18"/>
                <w:szCs w:val="18"/>
              </w:rPr>
              <w:t>购买商品、接受劳务支付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的现金</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15"/>
              <w:jc w:val="right"/>
              <w:rPr>
                <w:rFonts w:ascii="宋体" w:hAnsi="宋体" w:cs="宋体" w:eastAsia="宋体" w:hint="default"/>
                <w:sz w:val="18"/>
                <w:szCs w:val="18"/>
              </w:rPr>
            </w:pPr>
            <w:r>
              <w:rPr>
                <w:rFonts w:ascii="宋体"/>
                <w:sz w:val="18"/>
              </w:rPr>
              <w:t>49,197,492.60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15"/>
              <w:jc w:val="right"/>
              <w:rPr>
                <w:rFonts w:ascii="宋体" w:hAnsi="宋体" w:cs="宋体" w:eastAsia="宋体" w:hint="default"/>
                <w:sz w:val="18"/>
                <w:szCs w:val="18"/>
              </w:rPr>
            </w:pPr>
            <w:r>
              <w:rPr>
                <w:rFonts w:ascii="宋体"/>
                <w:sz w:val="18"/>
              </w:rPr>
              <w:t>21,998,623.20</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sz w:val="18"/>
              </w:rPr>
              <w:t>123.64%</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2" w:right="99"/>
              <w:jc w:val="left"/>
              <w:rPr>
                <w:rFonts w:ascii="宋体" w:hAnsi="宋体" w:cs="宋体" w:eastAsia="宋体" w:hint="default"/>
                <w:sz w:val="18"/>
                <w:szCs w:val="18"/>
              </w:rPr>
            </w:pPr>
            <w:r>
              <w:rPr>
                <w:rFonts w:ascii="宋体" w:hAnsi="宋体" w:cs="宋体" w:eastAsia="宋体" w:hint="default"/>
                <w:spacing w:val="4"/>
                <w:sz w:val="18"/>
                <w:szCs w:val="18"/>
              </w:rPr>
              <w:t>本报告期销售规模增加导致产品采购增 </w:t>
            </w:r>
            <w:r>
              <w:rPr>
                <w:rFonts w:ascii="宋体" w:hAnsi="宋体" w:cs="宋体" w:eastAsia="宋体" w:hint="default"/>
                <w:sz w:val="18"/>
                <w:szCs w:val="18"/>
              </w:rPr>
              <w:t>加</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90"/>
              <w:jc w:val="left"/>
              <w:rPr>
                <w:rFonts w:ascii="宋体" w:hAnsi="宋体" w:cs="宋体" w:eastAsia="宋体" w:hint="default"/>
                <w:sz w:val="18"/>
                <w:szCs w:val="18"/>
              </w:rPr>
            </w:pPr>
            <w:r>
              <w:rPr>
                <w:rFonts w:ascii="宋体" w:hAnsi="宋体" w:cs="宋体" w:eastAsia="宋体" w:hint="default"/>
                <w:spacing w:val="10"/>
                <w:sz w:val="18"/>
                <w:szCs w:val="18"/>
              </w:rPr>
              <w:t>支付的其他与经营活动 </w:t>
            </w:r>
            <w:r>
              <w:rPr>
                <w:rFonts w:ascii="宋体" w:hAnsi="宋体" w:cs="宋体" w:eastAsia="宋体" w:hint="default"/>
                <w:sz w:val="18"/>
                <w:szCs w:val="18"/>
              </w:rPr>
              <w:t>有关的现金</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15"/>
              <w:jc w:val="right"/>
              <w:rPr>
                <w:rFonts w:ascii="宋体" w:hAnsi="宋体" w:cs="宋体" w:eastAsia="宋体" w:hint="default"/>
                <w:sz w:val="18"/>
                <w:szCs w:val="18"/>
              </w:rPr>
            </w:pPr>
            <w:r>
              <w:rPr>
                <w:rFonts w:ascii="宋体"/>
                <w:sz w:val="18"/>
              </w:rPr>
              <w:t>3,478,520.84</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15"/>
              <w:jc w:val="right"/>
              <w:rPr>
                <w:rFonts w:ascii="宋体" w:hAnsi="宋体" w:cs="宋体" w:eastAsia="宋体" w:hint="default"/>
                <w:sz w:val="18"/>
                <w:szCs w:val="18"/>
              </w:rPr>
            </w:pPr>
            <w:r>
              <w:rPr>
                <w:rFonts w:ascii="宋体"/>
                <w:sz w:val="18"/>
              </w:rPr>
              <w:t>39,741,887.86</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sz w:val="18"/>
              </w:rPr>
              <w:t>-91.25%</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2" w:right="99"/>
              <w:jc w:val="left"/>
              <w:rPr>
                <w:rFonts w:ascii="宋体" w:hAnsi="宋体" w:cs="宋体" w:eastAsia="宋体" w:hint="default"/>
                <w:sz w:val="18"/>
                <w:szCs w:val="18"/>
              </w:rPr>
            </w:pPr>
            <w:r>
              <w:rPr>
                <w:rFonts w:ascii="宋体" w:hAnsi="宋体" w:cs="宋体" w:eastAsia="宋体" w:hint="default"/>
                <w:spacing w:val="4"/>
                <w:sz w:val="18"/>
                <w:szCs w:val="18"/>
              </w:rPr>
              <w:t>本报告期付现费用及支付内部往来款减 </w:t>
            </w:r>
            <w:r>
              <w:rPr>
                <w:rFonts w:ascii="宋体" w:hAnsi="宋体" w:cs="宋体" w:eastAsia="宋体" w:hint="default"/>
                <w:sz w:val="18"/>
                <w:szCs w:val="18"/>
              </w:rPr>
              <w:t>少所致</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90"/>
              <w:jc w:val="left"/>
              <w:rPr>
                <w:rFonts w:ascii="宋体" w:hAnsi="宋体" w:cs="宋体" w:eastAsia="宋体" w:hint="default"/>
                <w:sz w:val="18"/>
                <w:szCs w:val="18"/>
              </w:rPr>
            </w:pPr>
            <w:r>
              <w:rPr>
                <w:rFonts w:ascii="宋体" w:hAnsi="宋体" w:cs="宋体" w:eastAsia="宋体" w:hint="default"/>
                <w:spacing w:val="10"/>
                <w:sz w:val="18"/>
                <w:szCs w:val="18"/>
              </w:rPr>
              <w:t>取得投资收益所收到的 </w:t>
            </w:r>
            <w:r>
              <w:rPr>
                <w:rFonts w:ascii="宋体" w:hAnsi="宋体" w:cs="宋体" w:eastAsia="宋体" w:hint="default"/>
                <w:sz w:val="18"/>
                <w:szCs w:val="18"/>
              </w:rPr>
              <w:t>现金</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15"/>
              <w:jc w:val="right"/>
              <w:rPr>
                <w:rFonts w:ascii="宋体" w:hAnsi="宋体" w:cs="宋体" w:eastAsia="宋体" w:hint="default"/>
                <w:sz w:val="18"/>
                <w:szCs w:val="18"/>
              </w:rPr>
            </w:pPr>
            <w:r>
              <w:rPr>
                <w:rFonts w:ascii="宋体"/>
                <w:sz w:val="18"/>
              </w:rPr>
              <w:t>46,575.34</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15"/>
              <w:jc w:val="right"/>
              <w:rPr>
                <w:rFonts w:ascii="宋体" w:hAnsi="宋体" w:cs="宋体" w:eastAsia="宋体" w:hint="default"/>
                <w:sz w:val="18"/>
                <w:szCs w:val="18"/>
              </w:rPr>
            </w:pPr>
            <w:r>
              <w:rPr>
                <w:rFonts w:ascii="宋体"/>
                <w:sz w:val="18"/>
              </w:rPr>
              <w:t>231,272.94</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sz w:val="18"/>
              </w:rPr>
              <w:t>-79.86%</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本报告期购买理财产品减少所致</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90"/>
              <w:jc w:val="left"/>
              <w:rPr>
                <w:rFonts w:ascii="宋体" w:hAnsi="宋体" w:cs="宋体" w:eastAsia="宋体" w:hint="default"/>
                <w:sz w:val="18"/>
                <w:szCs w:val="18"/>
              </w:rPr>
            </w:pPr>
            <w:r>
              <w:rPr>
                <w:rFonts w:ascii="宋体" w:hAnsi="宋体" w:cs="宋体" w:eastAsia="宋体" w:hint="default"/>
                <w:spacing w:val="10"/>
                <w:sz w:val="18"/>
                <w:szCs w:val="18"/>
              </w:rPr>
              <w:t>收到的其他与投资活动 </w:t>
            </w:r>
            <w:r>
              <w:rPr>
                <w:rFonts w:ascii="宋体" w:hAnsi="宋体" w:cs="宋体" w:eastAsia="宋体" w:hint="default"/>
                <w:sz w:val="18"/>
                <w:szCs w:val="18"/>
              </w:rPr>
              <w:t>有关的现金</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15"/>
              <w:jc w:val="right"/>
              <w:rPr>
                <w:rFonts w:ascii="宋体" w:hAnsi="宋体" w:cs="宋体" w:eastAsia="宋体" w:hint="default"/>
                <w:sz w:val="18"/>
                <w:szCs w:val="18"/>
              </w:rPr>
            </w:pPr>
            <w:r>
              <w:rPr>
                <w:rFonts w:ascii="宋体"/>
                <w:sz w:val="18"/>
              </w:rPr>
              <w:t>25,000,000.00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15"/>
              <w:jc w:val="right"/>
              <w:rPr>
                <w:rFonts w:ascii="宋体" w:hAnsi="宋体" w:cs="宋体" w:eastAsia="宋体" w:hint="default"/>
                <w:sz w:val="18"/>
                <w:szCs w:val="18"/>
              </w:rPr>
            </w:pPr>
            <w:r>
              <w:rPr>
                <w:rFonts w:ascii="宋体"/>
                <w:sz w:val="18"/>
              </w:rPr>
              <w:t>73,626,322.56</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sz w:val="18"/>
              </w:rPr>
              <w:t>-66.04%</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本报告期购买理财产品减少所致</w:t>
            </w:r>
          </w:p>
        </w:tc>
      </w:tr>
      <w:tr>
        <w:trPr>
          <w:trHeight w:val="1026"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90"/>
              <w:jc w:val="both"/>
              <w:rPr>
                <w:rFonts w:ascii="宋体" w:hAnsi="宋体" w:cs="宋体" w:eastAsia="宋体" w:hint="default"/>
                <w:sz w:val="18"/>
                <w:szCs w:val="18"/>
              </w:rPr>
            </w:pPr>
            <w:r>
              <w:rPr>
                <w:rFonts w:ascii="宋体" w:hAnsi="宋体" w:cs="宋体" w:eastAsia="宋体" w:hint="default"/>
                <w:spacing w:val="-8"/>
                <w:sz w:val="18"/>
                <w:szCs w:val="18"/>
              </w:rPr>
              <w:t>购建固定资产、无形资产</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0"/>
                <w:sz w:val="18"/>
                <w:szCs w:val="18"/>
              </w:rPr>
              <w:t>和其他长期资产所支付</w:t>
            </w:r>
            <w:r>
              <w:rPr>
                <w:rFonts w:ascii="宋体" w:hAnsi="宋体" w:cs="宋体" w:eastAsia="宋体" w:hint="default"/>
                <w:spacing w:val="10"/>
                <w:sz w:val="18"/>
                <w:szCs w:val="18"/>
              </w:rPr>
              <w:t> </w:t>
            </w:r>
            <w:r>
              <w:rPr>
                <w:rFonts w:ascii="宋体" w:hAnsi="宋体" w:cs="宋体" w:eastAsia="宋体" w:hint="default"/>
                <w:sz w:val="18"/>
                <w:szCs w:val="18"/>
              </w:rPr>
              <w:t>的现金</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15"/>
              <w:jc w:val="right"/>
              <w:rPr>
                <w:rFonts w:ascii="宋体" w:hAnsi="宋体" w:cs="宋体" w:eastAsia="宋体" w:hint="default"/>
                <w:sz w:val="18"/>
                <w:szCs w:val="18"/>
              </w:rPr>
            </w:pPr>
            <w:r>
              <w:rPr>
                <w:rFonts w:ascii="宋体"/>
                <w:sz w:val="18"/>
              </w:rPr>
              <w:t>190,648.74</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right="115"/>
              <w:jc w:val="right"/>
              <w:rPr>
                <w:rFonts w:ascii="宋体" w:hAnsi="宋体" w:cs="宋体" w:eastAsia="宋体" w:hint="default"/>
                <w:sz w:val="18"/>
                <w:szCs w:val="18"/>
              </w:rPr>
            </w:pPr>
            <w:r>
              <w:rPr>
                <w:rFonts w:ascii="宋体"/>
                <w:sz w:val="18"/>
              </w:rPr>
              <w:t>1,335,207.64</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sz w:val="18"/>
              </w:rPr>
              <w:t>-85.72%</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2" w:right="0"/>
              <w:jc w:val="left"/>
              <w:rPr>
                <w:rFonts w:ascii="宋体" w:hAnsi="宋体" w:cs="宋体" w:eastAsia="宋体" w:hint="default"/>
                <w:sz w:val="18"/>
                <w:szCs w:val="18"/>
              </w:rPr>
            </w:pPr>
            <w:r>
              <w:rPr>
                <w:rFonts w:ascii="宋体" w:hAnsi="宋体" w:cs="宋体" w:eastAsia="宋体" w:hint="default"/>
                <w:sz w:val="18"/>
                <w:szCs w:val="18"/>
              </w:rPr>
              <w:t>本报告期购买固定资产减少所致</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90"/>
              <w:jc w:val="left"/>
              <w:rPr>
                <w:rFonts w:ascii="宋体" w:hAnsi="宋体" w:cs="宋体" w:eastAsia="宋体" w:hint="default"/>
                <w:sz w:val="18"/>
                <w:szCs w:val="18"/>
              </w:rPr>
            </w:pPr>
            <w:r>
              <w:rPr>
                <w:rFonts w:ascii="宋体" w:hAnsi="宋体" w:cs="宋体" w:eastAsia="宋体" w:hint="default"/>
                <w:spacing w:val="10"/>
                <w:sz w:val="18"/>
                <w:szCs w:val="18"/>
              </w:rPr>
              <w:t>支付的其他与投资活动 </w:t>
            </w:r>
            <w:r>
              <w:rPr>
                <w:rFonts w:ascii="宋体" w:hAnsi="宋体" w:cs="宋体" w:eastAsia="宋体" w:hint="default"/>
                <w:sz w:val="18"/>
                <w:szCs w:val="18"/>
              </w:rPr>
              <w:t>有关的现金</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15"/>
              <w:jc w:val="right"/>
              <w:rPr>
                <w:rFonts w:ascii="宋体" w:hAnsi="宋体" w:cs="宋体" w:eastAsia="宋体" w:hint="default"/>
                <w:sz w:val="18"/>
                <w:szCs w:val="18"/>
              </w:rPr>
            </w:pPr>
            <w:r>
              <w:rPr>
                <w:rFonts w:ascii="宋体"/>
                <w:sz w:val="18"/>
              </w:rPr>
              <w:t>25,000,000.00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115"/>
              <w:jc w:val="right"/>
              <w:rPr>
                <w:rFonts w:ascii="宋体" w:hAnsi="宋体" w:cs="宋体" w:eastAsia="宋体" w:hint="default"/>
                <w:sz w:val="18"/>
                <w:szCs w:val="18"/>
              </w:rPr>
            </w:pPr>
            <w:r>
              <w:rPr>
                <w:rFonts w:ascii="宋体"/>
                <w:sz w:val="18"/>
              </w:rPr>
              <w:t>75,500,000.00</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sz w:val="18"/>
              </w:rPr>
              <w:t>-66.89%</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本报告期购买理财产品减少所致</w:t>
            </w:r>
          </w:p>
        </w:tc>
      </w:tr>
    </w:tbl>
    <w:p>
      <w:pPr>
        <w:spacing w:after="0" w:line="240" w:lineRule="auto"/>
        <w:jc w:val="left"/>
        <w:rPr>
          <w:rFonts w:ascii="宋体" w:hAnsi="宋体" w:cs="宋体" w:eastAsia="宋体" w:hint="default"/>
          <w:sz w:val="18"/>
          <w:szCs w:val="18"/>
        </w:rPr>
        <w:sectPr>
          <w:pgSz w:w="11910" w:h="16840"/>
          <w:pgMar w:header="747" w:footer="979" w:top="1060" w:bottom="1160" w:left="92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01" w:type="dxa"/>
        <w:tblLayout w:type="fixed"/>
        <w:tblCellMar>
          <w:top w:w="0" w:type="dxa"/>
          <w:left w:w="0" w:type="dxa"/>
          <w:bottom w:w="0" w:type="dxa"/>
          <w:right w:w="0" w:type="dxa"/>
        </w:tblCellMar>
        <w:tblLook w:val="01E0"/>
      </w:tblPr>
      <w:tblGrid>
        <w:gridCol w:w="2114"/>
        <w:gridCol w:w="1580"/>
        <w:gridCol w:w="1580"/>
        <w:gridCol w:w="1121"/>
        <w:gridCol w:w="3354"/>
      </w:tblGrid>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吸收投资所收到的现金</w:t>
            </w:r>
          </w:p>
        </w:tc>
        <w:tc>
          <w:tcPr>
            <w:tcW w:w="1580"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82" w:right="0"/>
              <w:jc w:val="left"/>
              <w:rPr>
                <w:rFonts w:ascii="宋体" w:hAnsi="宋体" w:cs="宋体" w:eastAsia="宋体" w:hint="default"/>
                <w:sz w:val="18"/>
                <w:szCs w:val="18"/>
              </w:rPr>
            </w:pPr>
            <w:r>
              <w:rPr>
                <w:rFonts w:ascii="宋体"/>
                <w:sz w:val="18"/>
              </w:rPr>
              <w:t>19,473,684.00</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sz w:val="18"/>
              </w:rPr>
              <w:t>-100.00%</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上个报告期收到股东投资款所致</w:t>
            </w:r>
          </w:p>
        </w:tc>
      </w:tr>
    </w:tbl>
    <w:p>
      <w:pPr>
        <w:spacing w:line="240" w:lineRule="auto" w:before="0"/>
        <w:rPr>
          <w:rFonts w:ascii="Times New Roman" w:hAnsi="Times New Roman" w:cs="Times New Roman" w:eastAsia="Times New Roman" w:hint="default"/>
          <w:sz w:val="20"/>
          <w:szCs w:val="20"/>
        </w:rPr>
      </w:pPr>
    </w:p>
    <w:p>
      <w:pPr>
        <w:spacing w:line="240" w:lineRule="auto" w:before="2"/>
        <w:rPr>
          <w:rFonts w:ascii="Times New Roman" w:hAnsi="Times New Roman" w:cs="Times New Roman" w:eastAsia="Times New Roman" w:hint="default"/>
          <w:sz w:val="15"/>
          <w:szCs w:val="15"/>
        </w:rPr>
      </w:pPr>
    </w:p>
    <w:p>
      <w:pPr>
        <w:pStyle w:val="Heading4"/>
        <w:spacing w:line="240" w:lineRule="auto"/>
        <w:ind w:left="214" w:right="6792"/>
        <w:jc w:val="left"/>
        <w:rPr>
          <w:b w:val="0"/>
          <w:bCs w:val="0"/>
        </w:rPr>
      </w:pPr>
      <w:r>
        <w:rPr/>
        <w:t>（</w:t>
      </w:r>
      <w:r>
        <w:rPr>
          <w:rFonts w:ascii="宋体" w:hAnsi="宋体" w:cs="宋体" w:eastAsia="宋体" w:hint="default"/>
        </w:rPr>
        <w:t>4</w:t>
      </w:r>
      <w:r>
        <w:rPr/>
        <w:t>）武汉优软</w:t>
      </w:r>
      <w:r>
        <w:rPr>
          <w:b w:val="0"/>
          <w:bCs w:val="0"/>
        </w:rPr>
      </w:r>
    </w:p>
    <w:p>
      <w:pPr>
        <w:spacing w:line="240" w:lineRule="auto" w:before="0"/>
        <w:rPr>
          <w:rFonts w:ascii="宋体" w:hAnsi="宋体" w:cs="宋体" w:eastAsia="宋体" w:hint="default"/>
          <w:b/>
          <w:bCs/>
          <w:sz w:val="8"/>
          <w:szCs w:val="8"/>
        </w:rPr>
      </w:pPr>
    </w:p>
    <w:tbl>
      <w:tblPr>
        <w:tblW w:w="0" w:type="auto"/>
        <w:jc w:val="left"/>
        <w:tblInd w:w="101" w:type="dxa"/>
        <w:tblLayout w:type="fixed"/>
        <w:tblCellMar>
          <w:top w:w="0" w:type="dxa"/>
          <w:left w:w="0" w:type="dxa"/>
          <w:bottom w:w="0" w:type="dxa"/>
          <w:right w:w="0" w:type="dxa"/>
        </w:tblCellMar>
        <w:tblLook w:val="01E0"/>
      </w:tblPr>
      <w:tblGrid>
        <w:gridCol w:w="2114"/>
        <w:gridCol w:w="1580"/>
        <w:gridCol w:w="1580"/>
        <w:gridCol w:w="1121"/>
        <w:gridCol w:w="3354"/>
      </w:tblGrid>
      <w:tr>
        <w:trPr>
          <w:trHeight w:val="402" w:hRule="exact"/>
        </w:trPr>
        <w:tc>
          <w:tcPr>
            <w:tcW w:w="9749"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资产负债表</w:t>
            </w:r>
          </w:p>
        </w:tc>
      </w:tr>
      <w:tr>
        <w:trPr>
          <w:trHeight w:val="401" w:hRule="exact"/>
        </w:trPr>
        <w:tc>
          <w:tcPr>
            <w:tcW w:w="21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1231" w:val="left" w:leader="none"/>
              </w:tabs>
              <w:spacing w:line="240" w:lineRule="auto" w:before="52"/>
              <w:ind w:left="691"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424"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423"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1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94" w:right="0"/>
              <w:jc w:val="left"/>
              <w:rPr>
                <w:rFonts w:ascii="宋体" w:hAnsi="宋体" w:cs="宋体" w:eastAsia="宋体" w:hint="default"/>
                <w:sz w:val="18"/>
                <w:szCs w:val="18"/>
              </w:rPr>
            </w:pPr>
            <w:r>
              <w:rPr>
                <w:rFonts w:ascii="宋体" w:hAnsi="宋体" w:cs="宋体" w:eastAsia="宋体" w:hint="default"/>
                <w:sz w:val="18"/>
                <w:szCs w:val="18"/>
              </w:rPr>
              <w:t>变动比例</w:t>
            </w:r>
          </w:p>
        </w:tc>
        <w:tc>
          <w:tcPr>
            <w:tcW w:w="33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27,756,055.40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1,519,414.90</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z w:val="18"/>
              </w:rPr>
              <w:t>1726.76%</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主要系本报告期销售规模增加所致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591,302.87</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1,006.55</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96" w:right="0"/>
              <w:jc w:val="left"/>
              <w:rPr>
                <w:rFonts w:ascii="宋体" w:hAnsi="宋体" w:cs="宋体" w:eastAsia="宋体" w:hint="default"/>
                <w:sz w:val="18"/>
                <w:szCs w:val="18"/>
              </w:rPr>
            </w:pPr>
            <w:r>
              <w:rPr>
                <w:rFonts w:ascii="宋体"/>
                <w:sz w:val="18"/>
              </w:rPr>
              <w:t>58645.50%</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主要系本报告期预缴企业所得税所致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44,000.00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104,000.00</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z w:val="18"/>
              </w:rPr>
              <w:t>-57.69%</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主要系装修费在本报告期摊销所致</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3,922.49</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2"/>
              <w:jc w:val="right"/>
              <w:rPr>
                <w:rFonts w:ascii="宋体" w:hAnsi="宋体" w:cs="宋体" w:eastAsia="宋体" w:hint="default"/>
                <w:sz w:val="18"/>
                <w:szCs w:val="18"/>
              </w:rPr>
            </w:pPr>
            <w:r>
              <w:rPr>
                <w:rFonts w:ascii="宋体"/>
                <w:sz w:val="18"/>
              </w:rPr>
              <w:t>100.00%</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2" w:right="99"/>
              <w:jc w:val="left"/>
              <w:rPr>
                <w:rFonts w:ascii="宋体" w:hAnsi="宋体" w:cs="宋体" w:eastAsia="宋体" w:hint="default"/>
                <w:sz w:val="18"/>
                <w:szCs w:val="18"/>
              </w:rPr>
            </w:pPr>
            <w:r>
              <w:rPr>
                <w:rFonts w:ascii="宋体" w:hAnsi="宋体" w:cs="宋体" w:eastAsia="宋体" w:hint="default"/>
                <w:spacing w:val="4"/>
                <w:sz w:val="18"/>
                <w:szCs w:val="18"/>
              </w:rPr>
              <w:t>主要系本报告期其他应收款坏账准备确 </w:t>
            </w:r>
            <w:r>
              <w:rPr>
                <w:rFonts w:ascii="宋体" w:hAnsi="宋体" w:cs="宋体" w:eastAsia="宋体" w:hint="default"/>
                <w:sz w:val="18"/>
                <w:szCs w:val="18"/>
              </w:rPr>
              <w:t>认递延所得税资产所致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193,584.90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z w:val="18"/>
              </w:rPr>
              <w:t>100.00%</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主要系本报告期末开发项目未完工所致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865,024.50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390,432.26</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z w:val="18"/>
              </w:rPr>
              <w:t>121.56%</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主要系本报告期员工人数增加所致</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73,750.28</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108,804.11</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2"/>
              <w:jc w:val="right"/>
              <w:rPr>
                <w:rFonts w:ascii="宋体" w:hAnsi="宋体" w:cs="宋体" w:eastAsia="宋体" w:hint="default"/>
                <w:sz w:val="18"/>
                <w:szCs w:val="18"/>
              </w:rPr>
            </w:pPr>
            <w:r>
              <w:rPr>
                <w:rFonts w:ascii="宋体"/>
                <w:sz w:val="18"/>
              </w:rPr>
              <w:t>-32.22%</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2" w:right="99"/>
              <w:jc w:val="left"/>
              <w:rPr>
                <w:rFonts w:ascii="宋体" w:hAnsi="宋体" w:cs="宋体" w:eastAsia="宋体" w:hint="default"/>
                <w:sz w:val="18"/>
                <w:szCs w:val="18"/>
              </w:rPr>
            </w:pPr>
            <w:r>
              <w:rPr>
                <w:rFonts w:ascii="宋体" w:hAnsi="宋体" w:cs="宋体" w:eastAsia="宋体" w:hint="default"/>
                <w:spacing w:val="4"/>
                <w:sz w:val="18"/>
                <w:szCs w:val="18"/>
              </w:rPr>
              <w:t>主要系本报告期末应交增值税及附加税 </w:t>
            </w:r>
            <w:r>
              <w:rPr>
                <w:rFonts w:ascii="宋体" w:hAnsi="宋体" w:cs="宋体" w:eastAsia="宋体" w:hint="default"/>
                <w:sz w:val="18"/>
                <w:szCs w:val="18"/>
              </w:rPr>
              <w:t>费减少所致</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2,888,891.33</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22,354.75</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sz w:val="18"/>
              </w:rPr>
              <w:t>12822.94%</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2" w:right="99"/>
              <w:jc w:val="left"/>
              <w:rPr>
                <w:rFonts w:ascii="宋体" w:hAnsi="宋体" w:cs="宋体" w:eastAsia="宋体" w:hint="default"/>
                <w:sz w:val="18"/>
                <w:szCs w:val="18"/>
              </w:rPr>
            </w:pPr>
            <w:r>
              <w:rPr>
                <w:rFonts w:ascii="宋体" w:hAnsi="宋体" w:cs="宋体" w:eastAsia="宋体" w:hint="default"/>
                <w:spacing w:val="4"/>
                <w:sz w:val="18"/>
                <w:szCs w:val="18"/>
              </w:rPr>
              <w:t>主要系本报告期应付内部往来款增加所 </w:t>
            </w:r>
            <w:r>
              <w:rPr>
                <w:rFonts w:ascii="宋体" w:hAnsi="宋体" w:cs="宋体" w:eastAsia="宋体" w:hint="default"/>
                <w:sz w:val="18"/>
                <w:szCs w:val="18"/>
              </w:rPr>
              <w:t>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2,086,061.66</w:t>
            </w:r>
          </w:p>
        </w:tc>
        <w:tc>
          <w:tcPr>
            <w:tcW w:w="1580"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z w:val="18"/>
              </w:rPr>
              <w:t>100.00%</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按公司会计政策计提盈余公积所致</w:t>
            </w:r>
          </w:p>
        </w:tc>
      </w:tr>
      <w:tr>
        <w:trPr>
          <w:trHeight w:val="403"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18,774,554.90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-1,942,559.98</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z w:val="18"/>
              </w:rPr>
              <w:t>1066.49%</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本报告期销售增加导致净利润增加</w:t>
            </w:r>
          </w:p>
        </w:tc>
      </w:tr>
      <w:tr>
        <w:trPr>
          <w:trHeight w:val="402" w:hRule="exact"/>
        </w:trPr>
        <w:tc>
          <w:tcPr>
            <w:tcW w:w="9749"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利润表</w:t>
            </w:r>
          </w:p>
        </w:tc>
      </w:tr>
      <w:tr>
        <w:trPr>
          <w:trHeight w:val="401" w:hRule="exact"/>
        </w:trPr>
        <w:tc>
          <w:tcPr>
            <w:tcW w:w="21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900" w:val="left" w:leader="none"/>
              </w:tabs>
              <w:spacing w:line="240" w:lineRule="auto" w:before="52"/>
              <w:ind w:right="510"/>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1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42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423"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11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94" w:right="0"/>
              <w:jc w:val="left"/>
              <w:rPr>
                <w:rFonts w:ascii="宋体" w:hAnsi="宋体" w:cs="宋体" w:eastAsia="宋体" w:hint="default"/>
                <w:sz w:val="18"/>
                <w:szCs w:val="18"/>
              </w:rPr>
            </w:pPr>
            <w:r>
              <w:rPr>
                <w:rFonts w:ascii="宋体" w:hAnsi="宋体" w:cs="宋体" w:eastAsia="宋体" w:hint="default"/>
                <w:sz w:val="18"/>
                <w:szCs w:val="18"/>
              </w:rPr>
              <w:t>变动比例</w:t>
            </w:r>
          </w:p>
        </w:tc>
        <w:tc>
          <w:tcPr>
            <w:tcW w:w="33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32,866,331.33</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2,764,215.29</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z w:val="18"/>
              </w:rPr>
              <w:t>1088.99%</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本报告期销售规模增加所致</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609,451.53</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20,126.48</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2"/>
              <w:jc w:val="right"/>
              <w:rPr>
                <w:rFonts w:ascii="宋体" w:hAnsi="宋体" w:cs="宋体" w:eastAsia="宋体" w:hint="default"/>
                <w:sz w:val="18"/>
                <w:szCs w:val="18"/>
              </w:rPr>
            </w:pPr>
            <w:r>
              <w:rPr>
                <w:rFonts w:ascii="宋体"/>
                <w:sz w:val="18"/>
              </w:rPr>
              <w:t>2928.11%</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2" w:right="99"/>
              <w:jc w:val="left"/>
              <w:rPr>
                <w:rFonts w:ascii="宋体" w:hAnsi="宋体" w:cs="宋体" w:eastAsia="宋体" w:hint="default"/>
                <w:sz w:val="18"/>
                <w:szCs w:val="18"/>
              </w:rPr>
            </w:pPr>
            <w:r>
              <w:rPr>
                <w:rFonts w:ascii="宋体" w:hAnsi="宋体" w:cs="宋体" w:eastAsia="宋体" w:hint="default"/>
                <w:spacing w:val="4"/>
                <w:sz w:val="18"/>
                <w:szCs w:val="18"/>
              </w:rPr>
              <w:t>本报告期销售规模增加导致应交增值税 </w:t>
            </w:r>
            <w:r>
              <w:rPr>
                <w:rFonts w:ascii="宋体" w:hAnsi="宋体" w:cs="宋体" w:eastAsia="宋体" w:hint="default"/>
                <w:sz w:val="18"/>
                <w:szCs w:val="18"/>
              </w:rPr>
              <w:t>增加</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79,701.22</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195,009.47</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2"/>
              <w:jc w:val="right"/>
              <w:rPr>
                <w:rFonts w:ascii="宋体" w:hAnsi="宋体" w:cs="宋体" w:eastAsia="宋体" w:hint="default"/>
                <w:sz w:val="18"/>
                <w:szCs w:val="18"/>
              </w:rPr>
            </w:pPr>
            <w:r>
              <w:rPr>
                <w:rFonts w:ascii="宋体"/>
                <w:sz w:val="18"/>
              </w:rPr>
              <w:t>-59.13%</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2" w:right="99"/>
              <w:jc w:val="left"/>
              <w:rPr>
                <w:rFonts w:ascii="宋体" w:hAnsi="宋体" w:cs="宋体" w:eastAsia="宋体" w:hint="default"/>
                <w:sz w:val="18"/>
                <w:szCs w:val="18"/>
              </w:rPr>
            </w:pPr>
            <w:r>
              <w:rPr>
                <w:rFonts w:ascii="宋体" w:hAnsi="宋体" w:cs="宋体" w:eastAsia="宋体" w:hint="default"/>
                <w:spacing w:val="4"/>
                <w:sz w:val="18"/>
                <w:szCs w:val="18"/>
              </w:rPr>
              <w:t>本报告期销售结构优化导致销售人员费 </w:t>
            </w:r>
            <w:r>
              <w:rPr>
                <w:rFonts w:ascii="宋体" w:hAnsi="宋体" w:cs="宋体" w:eastAsia="宋体" w:hint="default"/>
                <w:sz w:val="18"/>
                <w:szCs w:val="18"/>
              </w:rPr>
              <w:t>用减少所致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341,633.86</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153,943.48</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z w:val="18"/>
              </w:rPr>
              <w:t>121.92%</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主要系本报告期行政办公费用增加所致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5,593,184.14</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4,047,688.13</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z w:val="18"/>
              </w:rPr>
              <w:t>38.18%</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主要系研发投入增加所致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8,774.07</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1"/>
              <w:jc w:val="right"/>
              <w:rPr>
                <w:rFonts w:ascii="宋体" w:hAnsi="宋体" w:cs="宋体" w:eastAsia="宋体" w:hint="default"/>
                <w:sz w:val="18"/>
                <w:szCs w:val="18"/>
              </w:rPr>
            </w:pPr>
            <w:r>
              <w:rPr>
                <w:rFonts w:ascii="宋体"/>
                <w:sz w:val="18"/>
              </w:rPr>
              <w:t>2,110.84</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02"/>
              <w:jc w:val="right"/>
              <w:rPr>
                <w:rFonts w:ascii="宋体" w:hAnsi="宋体" w:cs="宋体" w:eastAsia="宋体" w:hint="default"/>
                <w:sz w:val="18"/>
                <w:szCs w:val="18"/>
              </w:rPr>
            </w:pPr>
            <w:r>
              <w:rPr>
                <w:rFonts w:ascii="宋体"/>
                <w:sz w:val="18"/>
              </w:rPr>
              <w:t>315.67%</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主要系坏账准备计提增加所致</w:t>
            </w:r>
          </w:p>
        </w:tc>
      </w:tr>
      <w:tr>
        <w:trPr>
          <w:trHeight w:val="715"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1,478,220.03</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75,057.36</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2"/>
              <w:jc w:val="right"/>
              <w:rPr>
                <w:rFonts w:ascii="宋体" w:hAnsi="宋体" w:cs="宋体" w:eastAsia="宋体" w:hint="default"/>
                <w:sz w:val="18"/>
                <w:szCs w:val="18"/>
              </w:rPr>
            </w:pPr>
            <w:r>
              <w:rPr>
                <w:rFonts w:ascii="宋体"/>
                <w:sz w:val="18"/>
              </w:rPr>
              <w:t>1869.45%</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2" w:right="99"/>
              <w:jc w:val="left"/>
              <w:rPr>
                <w:rFonts w:ascii="宋体" w:hAnsi="宋体" w:cs="宋体" w:eastAsia="宋体" w:hint="default"/>
                <w:sz w:val="18"/>
                <w:szCs w:val="18"/>
              </w:rPr>
            </w:pPr>
            <w:r>
              <w:rPr>
                <w:rFonts w:ascii="宋体" w:hAnsi="宋体" w:cs="宋体" w:eastAsia="宋体" w:hint="default"/>
                <w:spacing w:val="4"/>
                <w:sz w:val="18"/>
                <w:szCs w:val="18"/>
              </w:rPr>
              <w:t>主要系本报告期收到软件产品增值税退 </w:t>
            </w:r>
            <w:r>
              <w:rPr>
                <w:rFonts w:ascii="宋体" w:hAnsi="宋体" w:cs="宋体" w:eastAsia="宋体" w:hint="default"/>
                <w:sz w:val="18"/>
                <w:szCs w:val="18"/>
              </w:rPr>
              <w:t>税款增加所致</w:t>
            </w:r>
          </w:p>
        </w:tc>
      </w:tr>
      <w:tr>
        <w:trPr>
          <w:trHeight w:val="402" w:hRule="exact"/>
        </w:trPr>
        <w:tc>
          <w:tcPr>
            <w:tcW w:w="9749"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现金流量表</w:t>
            </w:r>
          </w:p>
        </w:tc>
      </w:tr>
      <w:tr>
        <w:trPr>
          <w:trHeight w:val="401" w:hRule="exact"/>
        </w:trPr>
        <w:tc>
          <w:tcPr>
            <w:tcW w:w="21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tabs>
                <w:tab w:pos="900" w:val="left" w:leader="none"/>
              </w:tabs>
              <w:spacing w:line="240" w:lineRule="auto" w:before="52"/>
              <w:ind w:right="510"/>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1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42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423" w:right="0"/>
              <w:jc w:val="left"/>
              <w:rPr>
                <w:rFonts w:ascii="宋体" w:hAnsi="宋体" w:cs="宋体" w:eastAsia="宋体" w:hint="default"/>
                <w:sz w:val="18"/>
                <w:szCs w:val="18"/>
              </w:rPr>
            </w:pPr>
            <w:r>
              <w:rPr>
                <w:rFonts w:ascii="宋体" w:hAnsi="宋体" w:cs="宋体" w:eastAsia="宋体" w:hint="default"/>
                <w:sz w:val="18"/>
                <w:szCs w:val="18"/>
              </w:rPr>
              <w:t>上期金额</w:t>
            </w:r>
          </w:p>
        </w:tc>
        <w:tc>
          <w:tcPr>
            <w:tcW w:w="11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94" w:right="0"/>
              <w:jc w:val="left"/>
              <w:rPr>
                <w:rFonts w:ascii="宋体" w:hAnsi="宋体" w:cs="宋体" w:eastAsia="宋体" w:hint="default"/>
                <w:sz w:val="18"/>
                <w:szCs w:val="18"/>
              </w:rPr>
            </w:pPr>
            <w:r>
              <w:rPr>
                <w:rFonts w:ascii="宋体" w:hAnsi="宋体" w:cs="宋体" w:eastAsia="宋体" w:hint="default"/>
                <w:sz w:val="18"/>
                <w:szCs w:val="18"/>
              </w:rPr>
              <w:t>变动比例</w:t>
            </w:r>
          </w:p>
        </w:tc>
        <w:tc>
          <w:tcPr>
            <w:tcW w:w="33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103" w:right="101"/>
              <w:jc w:val="left"/>
              <w:rPr>
                <w:rFonts w:ascii="宋体" w:hAnsi="宋体" w:cs="宋体" w:eastAsia="宋体" w:hint="default"/>
                <w:sz w:val="18"/>
                <w:szCs w:val="18"/>
              </w:rPr>
            </w:pPr>
            <w:r>
              <w:rPr>
                <w:rFonts w:ascii="宋体" w:hAnsi="宋体" w:cs="宋体" w:eastAsia="宋体" w:hint="default"/>
                <w:spacing w:val="-8"/>
                <w:sz w:val="18"/>
                <w:szCs w:val="18"/>
              </w:rPr>
              <w:t>销售商品、提供劳务收到</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的现金</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12,048,437.00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01"/>
              <w:jc w:val="right"/>
              <w:rPr>
                <w:rFonts w:ascii="宋体" w:hAnsi="宋体" w:cs="宋体" w:eastAsia="宋体" w:hint="default"/>
                <w:sz w:val="18"/>
                <w:szCs w:val="18"/>
              </w:rPr>
            </w:pPr>
            <w:r>
              <w:rPr>
                <w:rFonts w:ascii="宋体"/>
                <w:sz w:val="18"/>
              </w:rPr>
              <w:t>1,420,000.00</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right="102"/>
              <w:jc w:val="right"/>
              <w:rPr>
                <w:rFonts w:ascii="宋体" w:hAnsi="宋体" w:cs="宋体" w:eastAsia="宋体" w:hint="default"/>
                <w:sz w:val="18"/>
                <w:szCs w:val="18"/>
              </w:rPr>
            </w:pPr>
            <w:r>
              <w:rPr>
                <w:rFonts w:ascii="宋体"/>
                <w:sz w:val="18"/>
              </w:rPr>
              <w:t>748.48%</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102" w:right="99"/>
              <w:jc w:val="left"/>
              <w:rPr>
                <w:rFonts w:ascii="宋体" w:hAnsi="宋体" w:cs="宋体" w:eastAsia="宋体" w:hint="default"/>
                <w:sz w:val="18"/>
                <w:szCs w:val="18"/>
              </w:rPr>
            </w:pPr>
            <w:r>
              <w:rPr>
                <w:rFonts w:ascii="宋体" w:hAnsi="宋体" w:cs="宋体" w:eastAsia="宋体" w:hint="default"/>
                <w:spacing w:val="4"/>
                <w:sz w:val="18"/>
                <w:szCs w:val="18"/>
              </w:rPr>
              <w:t>本报告期销售规模增加导致销售回款增 </w:t>
            </w:r>
            <w:r>
              <w:rPr>
                <w:rFonts w:ascii="宋体" w:hAnsi="宋体" w:cs="宋体" w:eastAsia="宋体" w:hint="default"/>
                <w:sz w:val="18"/>
                <w:szCs w:val="18"/>
              </w:rPr>
              <w:t>加</w:t>
            </w:r>
          </w:p>
        </w:tc>
      </w:tr>
      <w:tr>
        <w:trPr>
          <w:trHeight w:val="715"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1,267,267.85</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2"/>
              <w:jc w:val="right"/>
              <w:rPr>
                <w:rFonts w:ascii="宋体" w:hAnsi="宋体" w:cs="宋体" w:eastAsia="宋体" w:hint="default"/>
                <w:sz w:val="18"/>
                <w:szCs w:val="18"/>
              </w:rPr>
            </w:pPr>
            <w:r>
              <w:rPr>
                <w:rFonts w:ascii="宋体"/>
                <w:sz w:val="18"/>
              </w:rPr>
              <w:t>100.00%</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2" w:right="99"/>
              <w:jc w:val="left"/>
              <w:rPr>
                <w:rFonts w:ascii="宋体" w:hAnsi="宋体" w:cs="宋体" w:eastAsia="宋体" w:hint="default"/>
                <w:sz w:val="18"/>
                <w:szCs w:val="18"/>
              </w:rPr>
            </w:pPr>
            <w:r>
              <w:rPr>
                <w:rFonts w:ascii="宋体" w:hAnsi="宋体" w:cs="宋体" w:eastAsia="宋体" w:hint="default"/>
                <w:spacing w:val="4"/>
                <w:sz w:val="18"/>
                <w:szCs w:val="18"/>
              </w:rPr>
              <w:t>主要系本报告期收到软件产品增值税退 </w:t>
            </w:r>
            <w:r>
              <w:rPr>
                <w:rFonts w:ascii="宋体" w:hAnsi="宋体" w:cs="宋体" w:eastAsia="宋体" w:hint="default"/>
                <w:sz w:val="18"/>
                <w:szCs w:val="18"/>
              </w:rPr>
              <w:t>税款增加所致</w:t>
            </w:r>
          </w:p>
        </w:tc>
      </w:tr>
    </w:tbl>
    <w:p>
      <w:pPr>
        <w:spacing w:after="0" w:line="316" w:lineRule="auto"/>
        <w:jc w:val="left"/>
        <w:rPr>
          <w:rFonts w:ascii="宋体" w:hAnsi="宋体" w:cs="宋体" w:eastAsia="宋体" w:hint="default"/>
          <w:sz w:val="18"/>
          <w:szCs w:val="18"/>
        </w:rPr>
        <w:sectPr>
          <w:pgSz w:w="11910" w:h="16840"/>
          <w:pgMar w:header="747" w:footer="979" w:top="1060" w:bottom="1160" w:left="920" w:right="0"/>
        </w:sectPr>
      </w:pPr>
    </w:p>
    <w:p>
      <w:pPr>
        <w:spacing w:line="240" w:lineRule="auto" w:before="6"/>
        <w:rPr>
          <w:rFonts w:ascii="宋体" w:hAnsi="宋体" w:cs="宋体" w:eastAsia="宋体" w:hint="default"/>
          <w:b/>
          <w:bCs/>
          <w:sz w:val="28"/>
          <w:szCs w:val="28"/>
        </w:rPr>
      </w:pPr>
    </w:p>
    <w:tbl>
      <w:tblPr>
        <w:tblW w:w="0" w:type="auto"/>
        <w:jc w:val="left"/>
        <w:tblInd w:w="101" w:type="dxa"/>
        <w:tblLayout w:type="fixed"/>
        <w:tblCellMar>
          <w:top w:w="0" w:type="dxa"/>
          <w:left w:w="0" w:type="dxa"/>
          <w:bottom w:w="0" w:type="dxa"/>
          <w:right w:w="0" w:type="dxa"/>
        </w:tblCellMar>
        <w:tblLook w:val="01E0"/>
      </w:tblPr>
      <w:tblGrid>
        <w:gridCol w:w="2114"/>
        <w:gridCol w:w="1580"/>
        <w:gridCol w:w="1580"/>
        <w:gridCol w:w="1121"/>
        <w:gridCol w:w="3354"/>
      </w:tblGrid>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90"/>
              <w:jc w:val="left"/>
              <w:rPr>
                <w:rFonts w:ascii="宋体" w:hAnsi="宋体" w:cs="宋体" w:eastAsia="宋体" w:hint="default"/>
                <w:sz w:val="18"/>
                <w:szCs w:val="18"/>
              </w:rPr>
            </w:pPr>
            <w:r>
              <w:rPr>
                <w:rFonts w:ascii="宋体" w:hAnsi="宋体" w:cs="宋体" w:eastAsia="宋体" w:hint="default"/>
                <w:spacing w:val="10"/>
                <w:sz w:val="18"/>
                <w:szCs w:val="18"/>
              </w:rPr>
              <w:t>收到其他与经营活动有 </w:t>
            </w:r>
            <w:r>
              <w:rPr>
                <w:rFonts w:ascii="宋体" w:hAnsi="宋体" w:cs="宋体" w:eastAsia="宋体" w:hint="default"/>
                <w:sz w:val="18"/>
                <w:szCs w:val="18"/>
              </w:rPr>
              <w:t>关的现金</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2,966,004.61</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202,460.32</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2"/>
              <w:jc w:val="right"/>
              <w:rPr>
                <w:rFonts w:ascii="宋体" w:hAnsi="宋体" w:cs="宋体" w:eastAsia="宋体" w:hint="default"/>
                <w:sz w:val="18"/>
                <w:szCs w:val="18"/>
              </w:rPr>
            </w:pPr>
            <w:r>
              <w:rPr>
                <w:rFonts w:ascii="宋体"/>
                <w:sz w:val="18"/>
              </w:rPr>
              <w:t>1364.98%</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本年收到内部往来款增加所致</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90"/>
              <w:jc w:val="left"/>
              <w:rPr>
                <w:rFonts w:ascii="宋体" w:hAnsi="宋体" w:cs="宋体" w:eastAsia="宋体" w:hint="default"/>
                <w:sz w:val="18"/>
                <w:szCs w:val="18"/>
              </w:rPr>
            </w:pPr>
            <w:r>
              <w:rPr>
                <w:rFonts w:ascii="宋体" w:hAnsi="宋体" w:cs="宋体" w:eastAsia="宋体" w:hint="default"/>
                <w:spacing w:val="10"/>
                <w:sz w:val="18"/>
                <w:szCs w:val="18"/>
              </w:rPr>
              <w:t>支付给职工以及为职工 </w:t>
            </w:r>
            <w:r>
              <w:rPr>
                <w:rFonts w:ascii="宋体" w:hAnsi="宋体" w:cs="宋体" w:eastAsia="宋体" w:hint="default"/>
                <w:sz w:val="18"/>
                <w:szCs w:val="18"/>
              </w:rPr>
              <w:t>支付的现金</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4,237,388.17</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2,859,910.12</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2"/>
              <w:jc w:val="right"/>
              <w:rPr>
                <w:rFonts w:ascii="宋体" w:hAnsi="宋体" w:cs="宋体" w:eastAsia="宋体" w:hint="default"/>
                <w:sz w:val="18"/>
                <w:szCs w:val="18"/>
              </w:rPr>
            </w:pPr>
            <w:r>
              <w:rPr>
                <w:rFonts w:ascii="宋体"/>
                <w:sz w:val="18"/>
              </w:rPr>
              <w:t>48.17%</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主要系本报告期人员数量增加所致</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11,385,881.47</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62,402.88</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2"/>
              <w:jc w:val="right"/>
              <w:rPr>
                <w:rFonts w:ascii="宋体" w:hAnsi="宋体" w:cs="宋体" w:eastAsia="宋体" w:hint="default"/>
                <w:sz w:val="18"/>
                <w:szCs w:val="18"/>
              </w:rPr>
            </w:pPr>
            <w:r>
              <w:rPr>
                <w:rFonts w:ascii="宋体"/>
                <w:sz w:val="18"/>
              </w:rPr>
              <w:t>18145.76%</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2" w:right="99"/>
              <w:jc w:val="left"/>
              <w:rPr>
                <w:rFonts w:ascii="宋体" w:hAnsi="宋体" w:cs="宋体" w:eastAsia="宋体" w:hint="default"/>
                <w:sz w:val="18"/>
                <w:szCs w:val="18"/>
              </w:rPr>
            </w:pPr>
            <w:r>
              <w:rPr>
                <w:rFonts w:ascii="宋体" w:hAnsi="宋体" w:cs="宋体" w:eastAsia="宋体" w:hint="default"/>
                <w:spacing w:val="4"/>
                <w:sz w:val="18"/>
                <w:szCs w:val="18"/>
              </w:rPr>
              <w:t>本报告期销售规模增加导致缴纳的税费 </w:t>
            </w:r>
            <w:r>
              <w:rPr>
                <w:rFonts w:ascii="宋体" w:hAnsi="宋体" w:cs="宋体" w:eastAsia="宋体" w:hint="default"/>
                <w:sz w:val="18"/>
                <w:szCs w:val="18"/>
              </w:rPr>
              <w:t>增加</w:t>
            </w:r>
          </w:p>
        </w:tc>
      </w:tr>
      <w:tr>
        <w:trPr>
          <w:trHeight w:val="714"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90"/>
              <w:jc w:val="left"/>
              <w:rPr>
                <w:rFonts w:ascii="宋体" w:hAnsi="宋体" w:cs="宋体" w:eastAsia="宋体" w:hint="default"/>
                <w:sz w:val="18"/>
                <w:szCs w:val="18"/>
              </w:rPr>
            </w:pPr>
            <w:r>
              <w:rPr>
                <w:rFonts w:ascii="宋体" w:hAnsi="宋体" w:cs="宋体" w:eastAsia="宋体" w:hint="default"/>
                <w:spacing w:val="10"/>
                <w:sz w:val="18"/>
                <w:szCs w:val="18"/>
              </w:rPr>
              <w:t>支付其他与经营活动有 </w:t>
            </w:r>
            <w:r>
              <w:rPr>
                <w:rFonts w:ascii="宋体" w:hAnsi="宋体" w:cs="宋体" w:eastAsia="宋体" w:hint="default"/>
                <w:sz w:val="18"/>
                <w:szCs w:val="18"/>
              </w:rPr>
              <w:t>关的现金</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1,083,599.71</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1"/>
              <w:jc w:val="right"/>
              <w:rPr>
                <w:rFonts w:ascii="宋体" w:hAnsi="宋体" w:cs="宋体" w:eastAsia="宋体" w:hint="default"/>
                <w:sz w:val="18"/>
                <w:szCs w:val="18"/>
              </w:rPr>
            </w:pPr>
            <w:r>
              <w:rPr>
                <w:rFonts w:ascii="宋体"/>
                <w:sz w:val="18"/>
              </w:rPr>
              <w:t>2,126,537.19</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02"/>
              <w:jc w:val="right"/>
              <w:rPr>
                <w:rFonts w:ascii="宋体" w:hAnsi="宋体" w:cs="宋体" w:eastAsia="宋体" w:hint="default"/>
                <w:sz w:val="18"/>
                <w:szCs w:val="18"/>
              </w:rPr>
            </w:pPr>
            <w:r>
              <w:rPr>
                <w:rFonts w:ascii="宋体"/>
                <w:sz w:val="18"/>
              </w:rPr>
              <w:t>-49.04%</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本报告期付现费用减少所致</w:t>
            </w:r>
          </w:p>
        </w:tc>
      </w:tr>
      <w:tr>
        <w:trPr>
          <w:trHeight w:val="1026"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90"/>
              <w:jc w:val="both"/>
              <w:rPr>
                <w:rFonts w:ascii="宋体" w:hAnsi="宋体" w:cs="宋体" w:eastAsia="宋体" w:hint="default"/>
                <w:sz w:val="18"/>
                <w:szCs w:val="18"/>
              </w:rPr>
            </w:pPr>
            <w:r>
              <w:rPr>
                <w:rFonts w:ascii="宋体" w:hAnsi="宋体" w:cs="宋体" w:eastAsia="宋体" w:hint="default"/>
                <w:spacing w:val="-8"/>
                <w:sz w:val="18"/>
                <w:szCs w:val="18"/>
              </w:rPr>
              <w:t>购建固定资产、无形资产</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0"/>
                <w:sz w:val="18"/>
                <w:szCs w:val="18"/>
              </w:rPr>
              <w:t>和其他长期资产支付的</w:t>
            </w:r>
            <w:r>
              <w:rPr>
                <w:rFonts w:ascii="宋体" w:hAnsi="宋体" w:cs="宋体" w:eastAsia="宋体" w:hint="default"/>
                <w:spacing w:val="10"/>
                <w:sz w:val="18"/>
                <w:szCs w:val="18"/>
              </w:rPr>
              <w:t> </w:t>
            </w:r>
            <w:r>
              <w:rPr>
                <w:rFonts w:ascii="宋体" w:hAnsi="宋体" w:cs="宋体" w:eastAsia="宋体" w:hint="default"/>
                <w:sz w:val="18"/>
                <w:szCs w:val="18"/>
              </w:rPr>
              <w:t>现金</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1,739.00</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1"/>
              <w:jc w:val="right"/>
              <w:rPr>
                <w:rFonts w:ascii="宋体" w:hAnsi="宋体" w:cs="宋体" w:eastAsia="宋体" w:hint="default"/>
                <w:sz w:val="18"/>
                <w:szCs w:val="18"/>
              </w:rPr>
            </w:pPr>
            <w:r>
              <w:rPr>
                <w:rFonts w:ascii="宋体"/>
                <w:sz w:val="18"/>
              </w:rPr>
              <w:t>68,194.00</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02"/>
              <w:jc w:val="right"/>
              <w:rPr>
                <w:rFonts w:ascii="宋体" w:hAnsi="宋体" w:cs="宋体" w:eastAsia="宋体" w:hint="default"/>
                <w:sz w:val="18"/>
                <w:szCs w:val="18"/>
              </w:rPr>
            </w:pPr>
            <w:r>
              <w:rPr>
                <w:rFonts w:ascii="宋体"/>
                <w:sz w:val="18"/>
              </w:rPr>
              <w:t>-97.45%</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2" w:right="0"/>
              <w:jc w:val="left"/>
              <w:rPr>
                <w:rFonts w:ascii="宋体" w:hAnsi="宋体" w:cs="宋体" w:eastAsia="宋体" w:hint="default"/>
                <w:sz w:val="18"/>
                <w:szCs w:val="18"/>
              </w:rPr>
            </w:pPr>
            <w:r>
              <w:rPr>
                <w:rFonts w:ascii="宋体" w:hAnsi="宋体" w:cs="宋体" w:eastAsia="宋体" w:hint="default"/>
                <w:sz w:val="18"/>
                <w:szCs w:val="18"/>
              </w:rPr>
              <w:t>本报告期购买固定资产减少所致</w:t>
            </w:r>
          </w:p>
        </w:tc>
      </w:tr>
      <w:tr>
        <w:trPr>
          <w:trHeight w:val="402" w:hRule="exact"/>
        </w:trPr>
        <w:tc>
          <w:tcPr>
            <w:tcW w:w="2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580" w:type="dxa"/>
            <w:tcBorders>
              <w:top w:val="single" w:sz="4" w:space="0" w:color="000000"/>
              <w:left w:val="single" w:sz="4" w:space="0" w:color="000000"/>
              <w:bottom w:val="single" w:sz="4" w:space="0" w:color="000000"/>
              <w:right w:val="single" w:sz="4" w:space="0" w:color="000000"/>
            </w:tcBorders>
          </w:tcPr>
          <w:p>
            <w:pP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宋体" w:hAnsi="宋体" w:cs="宋体" w:eastAsia="宋体" w:hint="default"/>
                <w:sz w:val="18"/>
                <w:szCs w:val="18"/>
              </w:rPr>
            </w:pPr>
            <w:r>
              <w:rPr>
                <w:rFonts w:ascii="宋体"/>
                <w:sz w:val="18"/>
              </w:rPr>
              <w:t>5,000,000.00</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z w:val="18"/>
              </w:rPr>
              <w:t>-100.00%</w:t>
            </w:r>
          </w:p>
        </w:tc>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上报告期收到母公司投资款所致</w:t>
            </w:r>
          </w:p>
        </w:tc>
      </w:tr>
    </w:tbl>
    <w:p>
      <w:pPr>
        <w:spacing w:line="240" w:lineRule="auto" w:before="2"/>
        <w:rPr>
          <w:rFonts w:ascii="宋体" w:hAnsi="宋体" w:cs="宋体" w:eastAsia="宋体" w:hint="default"/>
          <w:b/>
          <w:bCs/>
          <w:sz w:val="18"/>
          <w:szCs w:val="18"/>
        </w:rPr>
      </w:pPr>
    </w:p>
    <w:p>
      <w:pPr>
        <w:pStyle w:val="Heading2"/>
        <w:spacing w:line="240" w:lineRule="auto" w:before="26"/>
        <w:ind w:left="214" w:right="6792"/>
        <w:jc w:val="left"/>
        <w:rPr>
          <w:b w:val="0"/>
          <w:bCs w:val="0"/>
        </w:rPr>
      </w:pPr>
      <w:bookmarkStart w:name="八、公司控制的结构化主体情况" w:id="57"/>
      <w:bookmarkEnd w:id="57"/>
      <w:r>
        <w:rPr>
          <w:b w:val="0"/>
          <w:bCs w:val="0"/>
        </w:rPr>
      </w:r>
      <w:r>
        <w:rPr/>
        <w:t>八、公司控制的结构化主体情况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214"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24"/>
          <w:szCs w:val="24"/>
        </w:rPr>
      </w:pPr>
    </w:p>
    <w:p>
      <w:pPr>
        <w:pStyle w:val="Heading2"/>
        <w:spacing w:line="240" w:lineRule="auto"/>
        <w:ind w:left="214" w:right="6792"/>
        <w:jc w:val="left"/>
        <w:rPr>
          <w:b w:val="0"/>
          <w:bCs w:val="0"/>
        </w:rPr>
      </w:pPr>
      <w:bookmarkStart w:name="九、公司未来发展的展望" w:id="58"/>
      <w:bookmarkEnd w:id="58"/>
      <w:r>
        <w:rPr>
          <w:b w:val="0"/>
          <w:bCs w:val="0"/>
        </w:rPr>
      </w:r>
      <w:r>
        <w:rPr/>
        <w:t>九、公司未来发展的展望</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left="574" w:right="0" w:firstLine="1"/>
        <w:jc w:val="left"/>
      </w:pPr>
      <w:r>
        <w:rPr>
          <w:rFonts w:ascii="宋体" w:hAnsi="宋体" w:cs="宋体" w:eastAsia="宋体" w:hint="default"/>
          <w:b/>
          <w:bCs/>
        </w:rPr>
        <w:t>（一）行业格局和发展趋势</w:t>
      </w:r>
      <w:r>
        <w:rPr>
          <w:rFonts w:ascii="宋体" w:hAnsi="宋体" w:cs="宋体" w:eastAsia="宋体" w:hint="default"/>
          <w:b/>
          <w:bCs/>
          <w:w w:val="99"/>
        </w:rPr>
        <w:t> </w:t>
      </w:r>
      <w:r>
        <w:rPr>
          <w:spacing w:val="-2"/>
        </w:rPr>
        <w:t>公司是行业智能移动应用软硬件一体化解决方案提供商，智能移动信息化应用解决方案是企业信息化系统的核心组成部</w:t>
      </w:r>
    </w:p>
    <w:p>
      <w:pPr>
        <w:pStyle w:val="BodyText"/>
        <w:spacing w:line="224" w:lineRule="exact"/>
        <w:ind w:left="214" w:right="0"/>
        <w:jc w:val="left"/>
      </w:pPr>
      <w:r>
        <w:rPr/>
        <w:t>分之一。移动信息化应用以物联网技术为基础，融合了信息识别、数据采集、云计算、大数据等技术，物联网、云计算、大</w:t>
      </w:r>
    </w:p>
    <w:p>
      <w:pPr>
        <w:pStyle w:val="BodyText"/>
        <w:spacing w:line="309" w:lineRule="auto" w:before="76"/>
        <w:ind w:left="214" w:right="0"/>
        <w:jc w:val="left"/>
      </w:pPr>
      <w:r>
        <w:rPr>
          <w:spacing w:val="-4"/>
        </w:rPr>
        <w:t>数据三者又共同构成人工智能的基础。随着这三大技术的发展，行业智能移动应用解决方案在具体行业内的应用也由浅入深，</w:t>
      </w:r>
      <w:r>
        <w:rPr>
          <w:spacing w:val="-44"/>
        </w:rPr>
        <w:t> </w:t>
      </w:r>
      <w:r>
        <w:rPr>
          <w:spacing w:val="-44"/>
        </w:rPr>
      </w:r>
      <w:r>
        <w:rPr/>
        <w:t>从基础的数据采集和数据分析进一步向智能化的方向发展。随着</w:t>
      </w:r>
      <w:r>
        <w:rPr>
          <w:rFonts w:ascii="Times New Roman" w:hAnsi="Times New Roman" w:cs="Times New Roman" w:eastAsia="Times New Roman" w:hint="default"/>
        </w:rPr>
        <w:t>5G</w:t>
      </w:r>
      <w:r>
        <w:rPr/>
        <w:t>网络逐步部署到位，物联网相关产业进入快速发展新阶</w:t>
      </w:r>
      <w:r>
        <w:rPr>
          <w:spacing w:val="-43"/>
        </w:rPr>
        <w:t> </w:t>
      </w:r>
      <w:r>
        <w:rPr>
          <w:spacing w:val="-43"/>
        </w:rPr>
      </w:r>
      <w:r>
        <w:rPr/>
        <w:t>段，应用领域更为广阔，物联网价值快速释放。</w:t>
      </w:r>
    </w:p>
    <w:p>
      <w:pPr>
        <w:pStyle w:val="BodyText"/>
        <w:spacing w:line="316" w:lineRule="auto" w:before="24"/>
        <w:ind w:left="214" w:right="0" w:firstLine="360"/>
        <w:jc w:val="left"/>
      </w:pPr>
      <w:r>
        <w:rPr>
          <w:spacing w:val="-2"/>
        </w:rPr>
        <w:t>智能移动应用的行业场景极为丰富，包括物流快递、电子商务、零售和服务、生产制造、产品溯源、公共交通和行政执</w:t>
      </w:r>
      <w:r>
        <w:rPr/>
        <w:t> 法等。智能移动信息化产品在主要应用行业的发展趋势如下：</w:t>
      </w:r>
    </w:p>
    <w:p>
      <w:pPr>
        <w:spacing w:line="300" w:lineRule="auto" w:before="19"/>
        <w:ind w:left="57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物流快递和电商行业继续保持快速发展，信息技术建设投入持续加大</w:t>
      </w:r>
      <w:r>
        <w:rPr>
          <w:rFonts w:ascii="宋体" w:hAnsi="宋体" w:cs="宋体" w:eastAsia="宋体" w:hint="default"/>
          <w:b/>
          <w:bCs/>
          <w:w w:val="99"/>
          <w:sz w:val="18"/>
          <w:szCs w:val="18"/>
        </w:rPr>
        <w:t> </w:t>
      </w:r>
      <w:r>
        <w:rPr>
          <w:rFonts w:ascii="宋体" w:hAnsi="宋体" w:cs="宋体" w:eastAsia="宋体" w:hint="default"/>
          <w:spacing w:val="-2"/>
          <w:sz w:val="18"/>
          <w:szCs w:val="18"/>
        </w:rPr>
        <w:t>物流移动信息化应用解决方案以智能移动终端为载体，围绕物资的生产、采购、运输、存储、保管、分发、服务等物流</w:t>
      </w:r>
    </w:p>
    <w:p>
      <w:pPr>
        <w:pStyle w:val="BodyText"/>
        <w:spacing w:line="316" w:lineRule="auto" w:before="31"/>
        <w:ind w:left="214" w:right="0"/>
        <w:jc w:val="left"/>
      </w:pPr>
      <w:r>
        <w:rPr>
          <w:spacing w:val="-4"/>
        </w:rPr>
        <w:t>全过程进行信息的采集、交互、传输和管理，实现物资的供应方、需求方、存储方等的有效协调和无缝连接，构建高效快捷、</w:t>
      </w:r>
      <w:r>
        <w:rPr>
          <w:spacing w:val="-44"/>
        </w:rPr>
        <w:t> </w:t>
      </w:r>
      <w:r>
        <w:rPr>
          <w:spacing w:val="-44"/>
        </w:rPr>
      </w:r>
      <w:r>
        <w:rPr/>
        <w:t>精准可控的物流供应链全流程信息管理系统。</w:t>
      </w:r>
    </w:p>
    <w:p>
      <w:pPr>
        <w:pStyle w:val="BodyText"/>
        <w:spacing w:line="240" w:lineRule="auto" w:before="19"/>
        <w:ind w:left="574" w:right="0"/>
        <w:jc w:val="left"/>
      </w:pPr>
      <w:r>
        <w:rPr>
          <w:rFonts w:ascii="Times New Roman" w:hAnsi="Times New Roman" w:cs="Times New Roman" w:eastAsia="Times New Roman" w:hint="default"/>
        </w:rPr>
        <w:t>2010</w:t>
      </w:r>
      <w:r>
        <w:rPr/>
        <w:t>年起，中国快递行业在电商蓬勃发展的大背景下开始高速发展，</w:t>
      </w:r>
      <w:r>
        <w:rPr>
          <w:rFonts w:ascii="Times New Roman" w:hAnsi="Times New Roman" w:cs="Times New Roman" w:eastAsia="Times New Roman" w:hint="default"/>
        </w:rPr>
        <w:t>2010 </w:t>
      </w:r>
      <w:r>
        <w:rPr>
          <w:rFonts w:ascii="Times New Roman" w:hAnsi="Times New Roman" w:cs="Times New Roman" w:eastAsia="Times New Roman" w:hint="default"/>
          <w:spacing w:val="4"/>
        </w:rPr>
        <w:t> </w:t>
      </w:r>
      <w:r>
        <w:rPr/>
        <w:t>年以来我国快递业务量年均复合增长率达到</w:t>
      </w:r>
    </w:p>
    <w:p>
      <w:pPr>
        <w:pStyle w:val="BodyText"/>
        <w:spacing w:line="240" w:lineRule="auto" w:before="63"/>
        <w:ind w:left="214" w:right="0"/>
        <w:jc w:val="left"/>
      </w:pPr>
      <w:r>
        <w:rPr>
          <w:rFonts w:ascii="Times New Roman" w:hAnsi="Times New Roman" w:cs="Times New Roman" w:eastAsia="Times New Roman" w:hint="default"/>
        </w:rPr>
        <w:t>50.05%</w:t>
      </w:r>
      <w:r>
        <w:rPr/>
        <w:t>。随着基数的不断积累，近两年业务量及收入增速有所下滑，但整体来看快递行业仍呈现出高位运行的发展态势。</w:t>
      </w:r>
    </w:p>
    <w:p>
      <w:pPr>
        <w:pStyle w:val="BodyText"/>
        <w:spacing w:line="307" w:lineRule="auto" w:before="63"/>
        <w:ind w:left="214" w:right="1032"/>
        <w:jc w:val="left"/>
      </w:pPr>
      <w:r>
        <w:rPr>
          <w:rFonts w:ascii="Times New Roman" w:hAnsi="Times New Roman" w:cs="Times New Roman" w:eastAsia="Times New Roman" w:hint="default"/>
          <w:spacing w:val="-4"/>
        </w:rPr>
        <w:t>2018</w:t>
      </w:r>
      <w:r>
        <w:rPr>
          <w:spacing w:val="-4"/>
        </w:rPr>
        <w:t>年，全国快递服务企业业务量累计完成</w:t>
      </w:r>
      <w:r>
        <w:rPr>
          <w:rFonts w:ascii="Times New Roman" w:hAnsi="Times New Roman" w:cs="Times New Roman" w:eastAsia="Times New Roman" w:hint="default"/>
          <w:spacing w:val="-4"/>
        </w:rPr>
        <w:t>507.1</w:t>
      </w:r>
      <w:r>
        <w:rPr>
          <w:spacing w:val="-4"/>
        </w:rPr>
        <w:t>亿件，同比增长</w:t>
      </w:r>
      <w:r>
        <w:rPr>
          <w:rFonts w:ascii="Times New Roman" w:hAnsi="Times New Roman" w:cs="Times New Roman" w:eastAsia="Times New Roman" w:hint="default"/>
          <w:spacing w:val="-4"/>
        </w:rPr>
        <w:t>26.6%</w:t>
      </w:r>
      <w:r>
        <w:rPr>
          <w:spacing w:val="-4"/>
        </w:rPr>
        <w:t>；业务收入累计完成</w:t>
      </w:r>
      <w:r>
        <w:rPr>
          <w:rFonts w:ascii="Times New Roman" w:hAnsi="Times New Roman" w:cs="Times New Roman" w:eastAsia="Times New Roman" w:hint="default"/>
          <w:spacing w:val="-4"/>
        </w:rPr>
        <w:t>6,038.4</w:t>
      </w:r>
      <w:r>
        <w:rPr>
          <w:spacing w:val="-4"/>
        </w:rPr>
        <w:t>亿元，同比增长</w:t>
      </w:r>
      <w:r>
        <w:rPr>
          <w:rFonts w:ascii="Times New Roman" w:hAnsi="Times New Roman" w:cs="Times New Roman" w:eastAsia="Times New Roman" w:hint="default"/>
          <w:spacing w:val="-4"/>
        </w:rPr>
        <w:t>21.8%</w:t>
      </w:r>
      <w:r>
        <w:rPr>
          <w:spacing w:val="-4"/>
        </w:rPr>
        <w:t>。</w:t>
      </w:r>
      <w:r>
        <w:rPr>
          <w:rFonts w:ascii="Times New Roman" w:hAnsi="Times New Roman" w:cs="Times New Roman" w:eastAsia="Times New Roman" w:hint="default"/>
          <w:spacing w:val="-4"/>
        </w:rPr>
        <w:t>“</w:t>
      </w:r>
      <w:r>
        <w:rPr>
          <w:spacing w:val="-4"/>
        </w:rPr>
        <w:t>物</w:t>
      </w:r>
      <w:r>
        <w:rPr>
          <w:spacing w:val="-60"/>
        </w:rPr>
        <w:t> </w:t>
      </w:r>
      <w:r>
        <w:rPr>
          <w:spacing w:val="-2"/>
        </w:rPr>
        <w:t>联网</w:t>
      </w:r>
      <w:r>
        <w:rPr>
          <w:rFonts w:ascii="Times New Roman" w:hAnsi="Times New Roman" w:cs="Times New Roman" w:eastAsia="Times New Roman" w:hint="default"/>
          <w:spacing w:val="-2"/>
        </w:rPr>
        <w:t>+</w:t>
      </w:r>
      <w:r>
        <w:rPr>
          <w:spacing w:val="-2"/>
        </w:rPr>
        <w:t>大数据</w:t>
      </w:r>
      <w:r>
        <w:rPr>
          <w:rFonts w:ascii="Times New Roman" w:hAnsi="Times New Roman" w:cs="Times New Roman" w:eastAsia="Times New Roman" w:hint="default"/>
          <w:spacing w:val="-2"/>
        </w:rPr>
        <w:t>”</w:t>
      </w:r>
      <w:r>
        <w:rPr>
          <w:spacing w:val="-2"/>
        </w:rPr>
        <w:t>将实现物流供应链提速，目前各大电商和快递巨头已开始从智能数据终端、仓储无人车、自动分拣机等硬件设</w:t>
      </w:r>
      <w:r>
        <w:rPr>
          <w:spacing w:val="-65"/>
        </w:rPr>
        <w:t> </w:t>
      </w:r>
      <w:r>
        <w:rPr>
          <w:spacing w:val="-65"/>
        </w:rPr>
      </w:r>
      <w:r>
        <w:rPr/>
        <w:t>备和大数据系统入手，实现物流体系的改造升级，压缩配送时间、提高货品管理效率，物联网可谓是高效物流的关键一环。 因此，国内物流快递和电商企业将在未来几年内继续保持较大的信息技术建设投入。</w:t>
      </w:r>
    </w:p>
    <w:p>
      <w:pPr>
        <w:spacing w:line="290" w:lineRule="auto" w:before="26"/>
        <w:ind w:left="574" w:right="1242" w:firstLine="1"/>
        <w:jc w:val="left"/>
        <w:rPr>
          <w:rFonts w:ascii="Calibri" w:hAnsi="Calibri" w:cs="Calibri" w:eastAsia="Calibri" w:hint="default"/>
          <w:sz w:val="18"/>
          <w:szCs w:val="18"/>
        </w:rPr>
      </w:pPr>
      <w:r>
        <w:rPr>
          <w:rFonts w:ascii="宋体" w:hAnsi="宋体" w:cs="宋体" w:eastAsia="宋体" w:hint="default"/>
          <w:b/>
          <w:bCs/>
          <w:sz w:val="18"/>
          <w:szCs w:val="18"/>
        </w:rPr>
        <w:t>2.</w:t>
      </w:r>
      <w:r>
        <w:rPr>
          <w:rFonts w:ascii="宋体" w:hAnsi="宋体" w:cs="宋体" w:eastAsia="宋体" w:hint="default"/>
          <w:b/>
          <w:bCs/>
          <w:sz w:val="18"/>
          <w:szCs w:val="18"/>
        </w:rPr>
        <w:t>传统零售和服务行业向</w:t>
      </w:r>
      <w:r>
        <w:rPr>
          <w:rFonts w:ascii="Calibri" w:hAnsi="Calibri" w:cs="Calibri" w:eastAsia="Calibri" w:hint="default"/>
          <w:b/>
          <w:bCs/>
          <w:sz w:val="18"/>
          <w:szCs w:val="18"/>
        </w:rPr>
        <w:t>“</w:t>
      </w:r>
      <w:r>
        <w:rPr>
          <w:rFonts w:ascii="宋体" w:hAnsi="宋体" w:cs="宋体" w:eastAsia="宋体" w:hint="default"/>
          <w:b/>
          <w:bCs/>
          <w:sz w:val="18"/>
          <w:szCs w:val="18"/>
        </w:rPr>
        <w:t>新零售</w:t>
      </w:r>
      <w:r>
        <w:rPr>
          <w:rFonts w:ascii="Calibri" w:hAnsi="Calibri" w:cs="Calibri" w:eastAsia="Calibri" w:hint="default"/>
          <w:b/>
          <w:bCs/>
          <w:sz w:val="18"/>
          <w:szCs w:val="18"/>
        </w:rPr>
        <w:t>”</w:t>
      </w:r>
      <w:r>
        <w:rPr>
          <w:rFonts w:ascii="宋体" w:hAnsi="宋体" w:cs="宋体" w:eastAsia="宋体" w:hint="default"/>
          <w:b/>
          <w:bCs/>
          <w:sz w:val="18"/>
          <w:szCs w:val="18"/>
        </w:rPr>
        <w:t>转型，智能识别、移动支付技术应用更为深入</w:t>
      </w:r>
      <w:r>
        <w:rPr>
          <w:rFonts w:ascii="宋体" w:hAnsi="宋体" w:cs="宋体" w:eastAsia="宋体" w:hint="default"/>
          <w:b/>
          <w:bCs/>
          <w:w w:val="99"/>
          <w:sz w:val="18"/>
          <w:szCs w:val="18"/>
        </w:rPr>
        <w:t> </w:t>
      </w:r>
      <w:r>
        <w:rPr>
          <w:rFonts w:ascii="宋体" w:hAnsi="宋体" w:cs="宋体" w:eastAsia="宋体" w:hint="default"/>
          <w:sz w:val="18"/>
          <w:szCs w:val="18"/>
        </w:rPr>
        <w:t>云（云计算、大数据）、网（互联网、物联网）、端（</w:t>
      </w:r>
      <w:r>
        <w:rPr>
          <w:rFonts w:ascii="宋体" w:hAnsi="宋体" w:cs="宋体" w:eastAsia="宋体" w:hint="default"/>
          <w:sz w:val="18"/>
          <w:szCs w:val="18"/>
        </w:rPr>
        <w:t>PC</w:t>
      </w:r>
      <w:r>
        <w:rPr>
          <w:rFonts w:ascii="宋体" w:hAnsi="宋体" w:cs="宋体" w:eastAsia="宋体" w:hint="default"/>
          <w:spacing w:val="-1"/>
          <w:sz w:val="18"/>
          <w:szCs w:val="18"/>
        </w:rPr>
        <w:t> </w:t>
      </w:r>
      <w:r>
        <w:rPr>
          <w:rFonts w:ascii="宋体" w:hAnsi="宋体" w:cs="宋体" w:eastAsia="宋体" w:hint="default"/>
          <w:sz w:val="18"/>
          <w:szCs w:val="18"/>
        </w:rPr>
        <w:t>终端、移动终端、智能穿戴、传感器等）构建起</w:t>
      </w:r>
      <w:r>
        <w:rPr>
          <w:rFonts w:ascii="Calibri" w:hAnsi="Calibri" w:cs="Calibri" w:eastAsia="Calibri" w:hint="default"/>
          <w:sz w:val="18"/>
          <w:szCs w:val="18"/>
        </w:rPr>
        <w:t>“</w:t>
      </w:r>
      <w:r>
        <w:rPr>
          <w:rFonts w:ascii="宋体" w:hAnsi="宋体" w:cs="宋体" w:eastAsia="宋体" w:hint="default"/>
          <w:sz w:val="18"/>
          <w:szCs w:val="18"/>
        </w:rPr>
        <w:t>互联网</w:t>
      </w:r>
      <w:r>
        <w:rPr>
          <w:rFonts w:ascii="宋体" w:hAnsi="宋体" w:cs="宋体" w:eastAsia="宋体" w:hint="default"/>
          <w:sz w:val="18"/>
          <w:szCs w:val="18"/>
        </w:rPr>
        <w:t>+</w:t>
      </w:r>
      <w:r>
        <w:rPr>
          <w:rFonts w:ascii="Calibri" w:hAnsi="Calibri" w:cs="Calibri" w:eastAsia="Calibri" w:hint="default"/>
          <w:sz w:val="18"/>
          <w:szCs w:val="18"/>
        </w:rPr>
        <w:t>”</w:t>
      </w:r>
    </w:p>
    <w:p>
      <w:pPr>
        <w:pStyle w:val="BodyText"/>
        <w:spacing w:line="309" w:lineRule="auto" w:before="7"/>
        <w:ind w:left="214" w:right="1130"/>
        <w:jc w:val="both"/>
      </w:pPr>
      <w:r>
        <w:rPr>
          <w:spacing w:val="-2"/>
        </w:rPr>
        <w:t>下的新社会基础设施，为新零售准备了必要的条件。我国居民消费购买力日益攀升，消费主体个性化需求特征明显，对商品</w:t>
      </w:r>
      <w:r>
        <w:rPr>
          <w:spacing w:val="-66"/>
        </w:rPr>
        <w:t> </w:t>
      </w:r>
      <w:r>
        <w:rPr>
          <w:spacing w:val="-66"/>
        </w:rPr>
      </w:r>
      <w:r>
        <w:rPr>
          <w:spacing w:val="-2"/>
        </w:rPr>
        <w:t>与消费的适配度提出了更高的要求，消费升级也对零售升级产生了巨大的牵引力。在技术升级与消费升级驱动下，新零售应</w:t>
      </w:r>
      <w:r>
        <w:rPr>
          <w:spacing w:val="-66"/>
        </w:rPr>
        <w:t> </w:t>
      </w:r>
      <w:r>
        <w:rPr>
          <w:spacing w:val="-66"/>
        </w:rPr>
      </w:r>
      <w:r>
        <w:rPr>
          <w:spacing w:val="-1"/>
        </w:rPr>
        <w:t>运而生并快速发展。传统零售商在增速持续放缓的背景下，只有积极拥抱新技术，对</w:t>
      </w:r>
      <w:r>
        <w:rPr>
          <w:rFonts w:ascii="Calibri" w:hAnsi="Calibri" w:cs="Calibri" w:eastAsia="Calibri" w:hint="default"/>
          <w:spacing w:val="-1"/>
        </w:rPr>
        <w:t>“</w:t>
      </w:r>
      <w:r>
        <w:rPr>
          <w:spacing w:val="-1"/>
        </w:rPr>
        <w:t>人货场</w:t>
      </w:r>
      <w:r>
        <w:rPr>
          <w:rFonts w:ascii="Calibri" w:hAnsi="Calibri" w:cs="Calibri" w:eastAsia="Calibri" w:hint="default"/>
          <w:spacing w:val="-1"/>
        </w:rPr>
        <w:t>”</w:t>
      </w:r>
      <w:r>
        <w:rPr>
          <w:spacing w:val="-1"/>
        </w:rPr>
        <w:t>进行重构（包括</w:t>
      </w:r>
      <w:r>
        <w:rPr>
          <w:rFonts w:ascii="Calibri" w:hAnsi="Calibri" w:cs="Calibri" w:eastAsia="Calibri" w:hint="default"/>
          <w:spacing w:val="-1"/>
        </w:rPr>
        <w:t>“</w:t>
      </w:r>
      <w:r>
        <w:rPr>
          <w:spacing w:val="-1"/>
        </w:rPr>
        <w:t>人</w:t>
      </w:r>
      <w:r>
        <w:rPr>
          <w:rFonts w:ascii="Calibri" w:hAnsi="Calibri" w:cs="Calibri" w:eastAsia="Calibri" w:hint="default"/>
          <w:spacing w:val="-1"/>
        </w:rPr>
        <w:t>”</w:t>
      </w:r>
      <w:r>
        <w:rPr>
          <w:spacing w:val="-1"/>
        </w:rPr>
        <w:t>的重新定</w:t>
      </w:r>
      <w:r>
        <w:rPr>
          <w:spacing w:val="-60"/>
        </w:rPr>
        <w:t> </w:t>
      </w:r>
      <w:r>
        <w:rPr/>
        <w:t>位，</w:t>
      </w:r>
      <w:r>
        <w:rPr>
          <w:rFonts w:ascii="Calibri" w:hAnsi="Calibri" w:cs="Calibri" w:eastAsia="Calibri" w:hint="default"/>
        </w:rPr>
        <w:t>“</w:t>
      </w:r>
      <w:r>
        <w:rPr/>
        <w:t>货</w:t>
      </w:r>
      <w:r>
        <w:rPr>
          <w:rFonts w:ascii="Calibri" w:hAnsi="Calibri" w:cs="Calibri" w:eastAsia="Calibri" w:hint="default"/>
        </w:rPr>
        <w:t>”</w:t>
      </w:r>
      <w:r>
        <w:rPr/>
        <w:t>的数字化，</w:t>
      </w:r>
      <w:r>
        <w:rPr>
          <w:rFonts w:ascii="Calibri" w:hAnsi="Calibri" w:cs="Calibri" w:eastAsia="Calibri" w:hint="default"/>
        </w:rPr>
        <w:t>“</w:t>
      </w:r>
      <w:r>
        <w:rPr/>
        <w:t>场</w:t>
      </w:r>
      <w:r>
        <w:rPr>
          <w:rFonts w:ascii="Calibri" w:hAnsi="Calibri" w:cs="Calibri" w:eastAsia="Calibri" w:hint="default"/>
        </w:rPr>
        <w:t>”</w:t>
      </w:r>
      <w:r>
        <w:rPr/>
        <w:t>的模式重构），为消费者提供更快、更近、更多、更符合需求的服务，才是保持竞争力的根本。</w:t>
      </w:r>
    </w:p>
    <w:p>
      <w:pPr>
        <w:spacing w:after="0" w:line="309" w:lineRule="auto"/>
        <w:jc w:val="both"/>
        <w:sectPr>
          <w:pgSz w:w="11910" w:h="16840"/>
          <w:pgMar w:header="747" w:footer="979" w:top="1060" w:bottom="1160" w:left="920" w:right="0"/>
        </w:sectPr>
      </w:pPr>
    </w:p>
    <w:p>
      <w:pPr>
        <w:spacing w:line="240" w:lineRule="auto" w:before="12"/>
        <w:rPr>
          <w:rFonts w:ascii="宋体" w:hAnsi="宋体" w:cs="宋体" w:eastAsia="宋体" w:hint="default"/>
          <w:sz w:val="25"/>
          <w:szCs w:val="25"/>
        </w:rPr>
      </w:pPr>
    </w:p>
    <w:p>
      <w:pPr>
        <w:pStyle w:val="BodyText"/>
        <w:spacing w:line="316" w:lineRule="auto" w:before="44"/>
        <w:ind w:right="1130" w:firstLine="360"/>
        <w:jc w:val="both"/>
      </w:pPr>
      <w:r>
        <w:rPr>
          <w:spacing w:val="-2"/>
        </w:rPr>
        <w:t>人脸识别技术帮助商家快速识别消费者的身份信息。人脸信息具有高个性化的特点且获取便捷，通过人脸识别技术可以</w:t>
      </w:r>
      <w:r>
        <w:rPr/>
        <w:t> </w:t>
      </w:r>
      <w:r>
        <w:rPr>
          <w:spacing w:val="-2"/>
        </w:rPr>
        <w:t>快速获取消费者的个性化身体特征以识别消费者身份，可实现数据采集、会员管理、无感支付，从而实现消费者画像、大数</w:t>
      </w:r>
      <w:r>
        <w:rPr>
          <w:spacing w:val="-66"/>
        </w:rPr>
        <w:t> </w:t>
      </w:r>
      <w:r>
        <w:rPr>
          <w:spacing w:val="-66"/>
        </w:rPr>
      </w:r>
      <w:r>
        <w:rPr/>
        <w:t>据分析、精准营销等目的。</w:t>
      </w:r>
    </w:p>
    <w:p>
      <w:pPr>
        <w:pStyle w:val="BodyText"/>
        <w:spacing w:line="300" w:lineRule="auto" w:before="19"/>
        <w:ind w:right="1112" w:firstLine="360"/>
        <w:jc w:val="left"/>
      </w:pPr>
      <w:r>
        <w:rPr>
          <w:rFonts w:ascii="Times New Roman" w:hAnsi="Times New Roman" w:cs="Times New Roman" w:eastAsia="Times New Roman" w:hint="default"/>
        </w:rPr>
        <w:t>RFID</w:t>
      </w:r>
      <w:r>
        <w:rPr/>
        <w:t>技术可以快速批量识别商品信息。远距离</w:t>
      </w:r>
      <w:r>
        <w:rPr>
          <w:rFonts w:ascii="Times New Roman" w:hAnsi="Times New Roman" w:cs="Times New Roman" w:eastAsia="Times New Roman" w:hint="default"/>
        </w:rPr>
        <w:t>RFID</w:t>
      </w:r>
      <w:r>
        <w:rPr/>
        <w:t>技术，具有一次性读取多个标签、穿透性强、可多次读写、数据的 记忆容量大、阅读距离较远（可达十米）、性能稳定等优点，技术较为成熟，成为商品识别管理方面的主流技术。</w:t>
      </w:r>
    </w:p>
    <w:p>
      <w:pPr>
        <w:pStyle w:val="BodyText"/>
        <w:spacing w:line="314" w:lineRule="auto" w:before="31"/>
        <w:ind w:right="0" w:firstLine="360"/>
        <w:jc w:val="left"/>
      </w:pPr>
      <w:r>
        <w:rPr>
          <w:spacing w:val="-2"/>
        </w:rPr>
        <w:t>移动支付技术解决快捷支付和信息闭环的问题。移动支付技术在线下的高度渗透大大提升了支付便利性。单纯的信息闭</w:t>
      </w:r>
      <w:r>
        <w:rPr/>
        <w:t> </w:t>
      </w:r>
      <w:r>
        <w:rPr>
          <w:spacing w:val="-4"/>
        </w:rPr>
        <w:t>环并不能完整的反映出交易情况，只有涉及交易支付的闭环才能真正沉淀用户的数据，这些数据可以用来作为消费行为跟踪、</w:t>
      </w:r>
      <w:r>
        <w:rPr>
          <w:spacing w:val="-44"/>
        </w:rPr>
        <w:t> </w:t>
      </w:r>
      <w:r>
        <w:rPr>
          <w:spacing w:val="-44"/>
        </w:rPr>
      </w:r>
      <w:r>
        <w:rPr/>
        <w:t>消费信息记录、联系方式收集、消费习惯掌握，使商家可以进行</w:t>
      </w:r>
      <w:r>
        <w:rPr>
          <w:rFonts w:ascii="Times New Roman" w:hAnsi="Times New Roman" w:cs="Times New Roman" w:eastAsia="Times New Roman" w:hint="default"/>
        </w:rPr>
        <w:t>CRM</w:t>
      </w:r>
      <w:r>
        <w:rPr/>
        <w:t>客户管理、广告推荐系统等等大数据方面的应用；收 </w:t>
      </w:r>
      <w:r>
        <w:rPr>
          <w:spacing w:val="-2"/>
        </w:rPr>
        <w:t>单机构也能通过挖掘商户经营和交易数据，更好的为商户提供多样化的商业信息及金融服务，收单机构将以商户的需求为导</w:t>
      </w:r>
      <w:r>
        <w:rPr>
          <w:spacing w:val="-64"/>
        </w:rPr>
        <w:t> </w:t>
      </w:r>
      <w:r>
        <w:rPr>
          <w:spacing w:val="-64"/>
        </w:rPr>
      </w:r>
      <w:r>
        <w:rPr/>
        <w:t>向，整合线上线下资源，不断创新智能</w:t>
      </w:r>
      <w:r>
        <w:rPr>
          <w:rFonts w:ascii="Times New Roman" w:hAnsi="Times New Roman" w:cs="Times New Roman" w:eastAsia="Times New Roman" w:hint="default"/>
        </w:rPr>
        <w:t>POS</w:t>
      </w:r>
      <w:r>
        <w:rPr/>
        <w:t>的商业模式、丰富智能</w:t>
      </w:r>
      <w:r>
        <w:rPr>
          <w:rFonts w:ascii="Times New Roman" w:hAnsi="Times New Roman" w:cs="Times New Roman" w:eastAsia="Times New Roman" w:hint="default"/>
        </w:rPr>
        <w:t>POS</w:t>
      </w:r>
      <w:r>
        <w:rPr/>
        <w:t>的附加功能。</w:t>
      </w:r>
    </w:p>
    <w:p>
      <w:pPr>
        <w:spacing w:line="300" w:lineRule="auto" w:before="1"/>
        <w:ind w:left="514" w:right="1032"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新技术的应用，将进一步拓宽智能移动应用解决方案在智能仓储、智能制造、产品溯源领域的应用范围</w:t>
      </w:r>
      <w:r>
        <w:rPr>
          <w:rFonts w:ascii="宋体" w:hAnsi="宋体" w:cs="宋体" w:eastAsia="宋体" w:hint="default"/>
          <w:b/>
          <w:bCs/>
          <w:w w:val="99"/>
          <w:sz w:val="18"/>
          <w:szCs w:val="18"/>
        </w:rPr>
        <w:t> </w:t>
      </w:r>
      <w:r>
        <w:rPr>
          <w:rFonts w:ascii="宋体" w:hAnsi="宋体" w:cs="宋体" w:eastAsia="宋体" w:hint="default"/>
          <w:sz w:val="18"/>
          <w:szCs w:val="18"/>
        </w:rPr>
        <w:t>机器视觉是指利用相机、摄像机等传感器，配合机器视觉算法赋予智能设备人眼的功能，从而进行物体的识别、检测、</w:t>
      </w:r>
    </w:p>
    <w:p>
      <w:pPr>
        <w:pStyle w:val="BodyText"/>
        <w:spacing w:line="312" w:lineRule="auto" w:before="31"/>
        <w:ind w:right="1034"/>
        <w:jc w:val="left"/>
      </w:pPr>
      <w:r>
        <w:rPr>
          <w:spacing w:val="-2"/>
        </w:rPr>
        <w:t>测量等功能。三维机器视觉实现了对物体的三维识别和检测，是机器视觉的发展方向和热门研究领域。智能移动终端的信息</w:t>
      </w:r>
      <w:r>
        <w:rPr>
          <w:spacing w:val="-66"/>
        </w:rPr>
        <w:t> </w:t>
      </w:r>
      <w:r>
        <w:rPr>
          <w:spacing w:val="-66"/>
        </w:rPr>
      </w:r>
      <w:r>
        <w:rPr>
          <w:spacing w:val="-4"/>
        </w:rPr>
        <w:t>识别技术，也由现阶段的二维图像的分析和识别向三维识别发展，实现对物体的三维识别和检测。机器视觉技术在物流仓储、</w:t>
      </w:r>
      <w:r>
        <w:rPr>
          <w:spacing w:val="-44"/>
        </w:rPr>
        <w:t> </w:t>
      </w:r>
      <w:r>
        <w:rPr>
          <w:spacing w:val="-44"/>
        </w:rPr>
      </w:r>
      <w:r>
        <w:rPr/>
        <w:t>智能制造等行业有广泛的应用需求，公司为物流电商领域量身打造的具备体积测量功能的智能</w:t>
      </w:r>
      <w:r>
        <w:rPr>
          <w:rFonts w:ascii="Times New Roman" w:hAnsi="Times New Roman" w:cs="Times New Roman" w:eastAsia="Times New Roman" w:hint="default"/>
        </w:rPr>
        <w:t>3D</w:t>
      </w:r>
      <w:r>
        <w:rPr/>
        <w:t>测量仪正是该类技术应用 的创新成果。</w:t>
      </w:r>
    </w:p>
    <w:p>
      <w:pPr>
        <w:pStyle w:val="BodyText"/>
        <w:spacing w:line="316" w:lineRule="auto" w:before="22"/>
        <w:ind w:right="0" w:firstLine="360"/>
        <w:jc w:val="left"/>
      </w:pPr>
      <w:r>
        <w:rPr>
          <w:spacing w:val="-2"/>
        </w:rPr>
        <w:t>移动信息化应用与工业的融合将带来全新的增长机遇。近年来，我国政府通过工业化与信息化融合战略正在大力推进物</w:t>
      </w:r>
      <w:r>
        <w:rPr/>
        <w:t> </w:t>
      </w:r>
      <w:r>
        <w:rPr>
          <w:spacing w:val="-2"/>
        </w:rPr>
        <w:t>联网技术向传统行业中的深度渗透。在工业生产过程、供应链管理、节能减排等环节深度应用以物联网为基础的移动信息化</w:t>
      </w:r>
      <w:r>
        <w:rPr>
          <w:spacing w:val="-66"/>
        </w:rPr>
        <w:t> </w:t>
      </w:r>
      <w:r>
        <w:rPr>
          <w:spacing w:val="-66"/>
        </w:rPr>
      </w:r>
      <w:r>
        <w:rPr>
          <w:spacing w:val="-4"/>
        </w:rPr>
        <w:t>应用解决方案将成为制造业企业的标配。同时，工业云平台、工业大数据等配套服务模式将逐步完善，进一步整合服务资源，</w:t>
      </w:r>
      <w:r>
        <w:rPr>
          <w:spacing w:val="-46"/>
        </w:rPr>
        <w:t> </w:t>
      </w:r>
      <w:r>
        <w:rPr>
          <w:spacing w:val="-46"/>
        </w:rPr>
      </w:r>
      <w:r>
        <w:rPr/>
        <w:t>从而带动我国传统产业的全面转型升级。</w:t>
      </w:r>
    </w:p>
    <w:p>
      <w:pPr>
        <w:pStyle w:val="BodyText"/>
        <w:spacing w:line="319" w:lineRule="auto" w:before="19"/>
        <w:ind w:right="1032" w:firstLine="360"/>
        <w:jc w:val="left"/>
      </w:pPr>
      <w:r>
        <w:rPr>
          <w:spacing w:val="-2"/>
        </w:rPr>
        <w:t>区块链技术近几年在国内外发展非常迅速，产业化应用的进程在各行各业开始展开。在产品溯源领域，由于该领域业务</w:t>
      </w:r>
      <w:r>
        <w:rPr/>
        <w:t> 需要跨部门监管和跨行业合作，对数据传输过程中的安全性有较高要求。区块链的本质是一种不可篡改、分布式的数据库， </w:t>
      </w:r>
      <w:r>
        <w:rPr>
          <w:spacing w:val="-2"/>
        </w:rPr>
        <w:t>凭借其去中心化、交易不可更改和数据共享的特性，可以有效地解决第三方机构对监管数据的垄断、数据的防伪防篡改、系</w:t>
      </w:r>
      <w:r>
        <w:rPr>
          <w:spacing w:val="-66"/>
        </w:rPr>
        <w:t> </w:t>
      </w:r>
      <w:r>
        <w:rPr>
          <w:spacing w:val="-66"/>
        </w:rPr>
      </w:r>
      <w:r>
        <w:rPr>
          <w:spacing w:val="-2"/>
        </w:rPr>
        <w:t>统的公开透明、多方的共识信任以及追踪溯源等问题。公司凭借前期在食品、药品溯源领域的信息化经验，与外部机构合作</w:t>
      </w:r>
      <w:r>
        <w:rPr>
          <w:spacing w:val="-66"/>
        </w:rPr>
        <w:t> </w:t>
      </w:r>
      <w:r>
        <w:rPr>
          <w:spacing w:val="-66"/>
        </w:rPr>
      </w:r>
      <w:r>
        <w:rPr/>
        <w:t>研发基于区块链技术的食品溯源平台软件，这一尝试的目的是拓展智能移动应用解决方案在溯源领域的应用广度和深度。</w:t>
      </w:r>
    </w:p>
    <w:p>
      <w:pPr>
        <w:pStyle w:val="Heading4"/>
        <w:spacing w:line="240" w:lineRule="auto" w:before="17"/>
        <w:ind w:right="1134"/>
        <w:jc w:val="left"/>
        <w:rPr>
          <w:b w:val="0"/>
          <w:bCs w:val="0"/>
        </w:rPr>
      </w:pPr>
      <w:r>
        <w:rPr>
          <w:rFonts w:ascii="Times New Roman" w:hAnsi="Times New Roman" w:cs="Times New Roman" w:eastAsia="Times New Roman" w:hint="default"/>
        </w:rPr>
        <w:t>4.</w:t>
      </w:r>
      <w:r>
        <w:rPr/>
        <w:t>智慧城市建设的推进，带动公共交通和行政执法等领域的智能信息化需求上升</w:t>
      </w:r>
      <w:r>
        <w:rPr>
          <w:b w:val="0"/>
          <w:bCs w:val="0"/>
        </w:rPr>
      </w:r>
    </w:p>
    <w:p>
      <w:pPr>
        <w:pStyle w:val="BodyText"/>
        <w:spacing w:line="312" w:lineRule="auto" w:before="63"/>
        <w:ind w:right="1032" w:firstLine="360"/>
        <w:jc w:val="left"/>
      </w:pPr>
      <w:r>
        <w:rPr>
          <w:rFonts w:ascii="Times New Roman" w:hAnsi="Times New Roman" w:cs="Times New Roman" w:eastAsia="Times New Roman" w:hint="default"/>
        </w:rPr>
        <w:t>“</w:t>
      </w:r>
      <w:r>
        <w:rPr/>
        <w:t>智慧城市</w:t>
      </w:r>
      <w:r>
        <w:rPr>
          <w:rFonts w:ascii="Times New Roman" w:hAnsi="Times New Roman" w:cs="Times New Roman" w:eastAsia="Times New Roman" w:hint="default"/>
        </w:rPr>
        <w:t>”</w:t>
      </w:r>
      <w:r>
        <w:rPr/>
        <w:t>是以物联网为基础，基于数字城市</w:t>
      </w:r>
      <w:r>
        <w:rPr>
          <w:rFonts w:ascii="Times New Roman" w:hAnsi="Times New Roman" w:cs="Times New Roman" w:eastAsia="Times New Roman" w:hint="default"/>
        </w:rPr>
        <w:t>(</w:t>
      </w:r>
      <w:r>
        <w:rPr/>
        <w:t>网络城市</w:t>
      </w:r>
      <w:r>
        <w:rPr>
          <w:rFonts w:ascii="Times New Roman" w:hAnsi="Times New Roman" w:cs="Times New Roman" w:eastAsia="Times New Roman" w:hint="default"/>
        </w:rPr>
        <w:t>)</w:t>
      </w:r>
      <w:r>
        <w:rPr/>
        <w:t>之上，利用和融合更为先进的技术，通过物联化、互联化、智 能化的方式，使物与物、物与人、人与人互联互通，形成技术集成、综合应用、高端发展的现代化、网络化、信息化城市， </w:t>
      </w:r>
      <w:r>
        <w:rPr>
          <w:spacing w:val="-2"/>
        </w:rPr>
        <w:t>提高城市的智慧化程度。本质是通过更加透彻的感知、更加广泛的联接、更加集中和更加有深度的集数字化、网络化、智能</w:t>
      </w:r>
      <w:r>
        <w:rPr>
          <w:spacing w:val="-66"/>
        </w:rPr>
        <w:t> </w:t>
      </w:r>
      <w:r>
        <w:rPr>
          <w:spacing w:val="-66"/>
        </w:rPr>
      </w:r>
      <w:r>
        <w:rPr/>
        <w:t>化于一体的生态智慧城市。</w:t>
      </w:r>
      <w:r>
        <w:rPr>
          <w:rFonts w:ascii="Times New Roman" w:hAnsi="Times New Roman" w:cs="Times New Roman" w:eastAsia="Times New Roman" w:hint="default"/>
        </w:rPr>
        <w:t>2012</w:t>
      </w:r>
      <w:r>
        <w:rPr/>
        <w:t>年底，</w:t>
      </w:r>
      <w:r>
        <w:rPr>
          <w:rFonts w:ascii="Times New Roman" w:hAnsi="Times New Roman" w:cs="Times New Roman" w:eastAsia="Times New Roman" w:hint="default"/>
        </w:rPr>
        <w:t>“</w:t>
      </w:r>
      <w:r>
        <w:rPr/>
        <w:t>十八大</w:t>
      </w:r>
      <w:r>
        <w:rPr>
          <w:rFonts w:ascii="Times New Roman" w:hAnsi="Times New Roman" w:cs="Times New Roman" w:eastAsia="Times New Roman" w:hint="default"/>
        </w:rPr>
        <w:t>”</w:t>
      </w:r>
      <w:r>
        <w:rPr/>
        <w:t>关于建设中国特色社会主义的部署，使智慧城市建设跨入了新的发展阶段。 </w:t>
      </w:r>
      <w:r>
        <w:rPr>
          <w:spacing w:val="-2"/>
        </w:rPr>
        <w:t>发展智慧城市主要是利用物联网、云计算、人工智能、数据挖掘、知识管理等技术，在电子政务、两化深度融合、社会信息</w:t>
      </w:r>
      <w:r>
        <w:rPr>
          <w:spacing w:val="-72"/>
        </w:rPr>
        <w:t> </w:t>
      </w:r>
      <w:r>
        <w:rPr>
          <w:spacing w:val="-72"/>
        </w:rPr>
      </w:r>
      <w:r>
        <w:rPr>
          <w:spacing w:val="-2"/>
        </w:rPr>
        <w:t>化三大领域开展创新应用。公共交通、行政执法等领域的智能信息化建设作为智慧城市的重要组成部分，相关技术和产品的</w:t>
      </w:r>
      <w:r>
        <w:rPr>
          <w:spacing w:val="-66"/>
        </w:rPr>
        <w:t> </w:t>
      </w:r>
      <w:r>
        <w:rPr>
          <w:spacing w:val="-66"/>
        </w:rPr>
      </w:r>
      <w:r>
        <w:rPr/>
        <w:t>应用需求将持续上升。</w:t>
      </w:r>
    </w:p>
    <w:p>
      <w:pPr>
        <w:spacing w:line="300" w:lineRule="auto" w:before="22"/>
        <w:ind w:left="51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全球移动支付市场蓬勃发展，为智能</w:t>
      </w:r>
      <w:r>
        <w:rPr>
          <w:rFonts w:ascii="Times New Roman" w:hAnsi="Times New Roman" w:cs="Times New Roman" w:eastAsia="Times New Roman" w:hint="default"/>
          <w:b/>
          <w:bCs/>
          <w:sz w:val="18"/>
          <w:szCs w:val="18"/>
        </w:rPr>
        <w:t>POS</w:t>
      </w:r>
      <w:r>
        <w:rPr>
          <w:rFonts w:ascii="宋体" w:hAnsi="宋体" w:cs="宋体" w:eastAsia="宋体" w:hint="default"/>
          <w:b/>
          <w:bCs/>
          <w:sz w:val="18"/>
          <w:szCs w:val="18"/>
        </w:rPr>
        <w:t>终端厂商带来新机遇</w:t>
      </w:r>
      <w:r>
        <w:rPr>
          <w:rFonts w:ascii="宋体" w:hAnsi="宋体" w:cs="宋体" w:eastAsia="宋体" w:hint="default"/>
          <w:b/>
          <w:bCs/>
          <w:w w:val="99"/>
          <w:sz w:val="18"/>
          <w:szCs w:val="18"/>
        </w:rPr>
        <w:t> </w:t>
      </w:r>
      <w:r>
        <w:rPr>
          <w:rFonts w:ascii="宋体" w:hAnsi="宋体" w:cs="宋体" w:eastAsia="宋体" w:hint="default"/>
          <w:spacing w:val="-3"/>
          <w:sz w:val="18"/>
          <w:szCs w:val="18"/>
        </w:rPr>
        <w:t>随着移动支付在全球范围内的火速升温，智能</w:t>
      </w:r>
      <w:r>
        <w:rPr>
          <w:rFonts w:ascii="Times New Roman" w:hAnsi="Times New Roman" w:cs="Times New Roman" w:eastAsia="Times New Roman" w:hint="default"/>
          <w:spacing w:val="-3"/>
          <w:sz w:val="18"/>
          <w:szCs w:val="18"/>
        </w:rPr>
        <w:t>POS</w:t>
      </w:r>
      <w:r>
        <w:rPr>
          <w:rFonts w:ascii="宋体" w:hAnsi="宋体" w:cs="宋体" w:eastAsia="宋体" w:hint="default"/>
          <w:spacing w:val="-3"/>
          <w:sz w:val="18"/>
          <w:szCs w:val="18"/>
        </w:rPr>
        <w:t>作为新型商业模式的承载平台纷纷落地实体零售，尤其是印度、巴西、</w:t>
      </w:r>
    </w:p>
    <w:p>
      <w:pPr>
        <w:pStyle w:val="BodyText"/>
        <w:spacing w:line="300" w:lineRule="auto" w:before="13"/>
        <w:ind w:right="1129"/>
        <w:jc w:val="both"/>
      </w:pPr>
      <w:r>
        <w:rPr/>
        <w:t>东南亚、南美洲等发展中国家和地区对智能</w:t>
      </w:r>
      <w:r>
        <w:rPr>
          <w:rFonts w:ascii="Times New Roman" w:hAnsi="Times New Roman" w:cs="Times New Roman" w:eastAsia="Times New Roman" w:hint="default"/>
        </w:rPr>
        <w:t>POS</w:t>
      </w:r>
      <w:r>
        <w:rPr/>
        <w:t>的需求更为旺盛。根据印度国家支付公司（</w:t>
      </w:r>
      <w:r>
        <w:rPr>
          <w:rFonts w:ascii="Times New Roman" w:hAnsi="Times New Roman" w:cs="Times New Roman" w:eastAsia="Times New Roman" w:hint="default"/>
        </w:rPr>
        <w:t>NPCI</w:t>
      </w:r>
      <w:r>
        <w:rPr/>
        <w:t>）最新披露的数据显示，</w:t>
      </w:r>
      <w:r>
        <w:rPr>
          <w:spacing w:val="-21"/>
        </w:rPr>
        <w:t> </w:t>
      </w:r>
      <w:r>
        <w:rPr>
          <w:spacing w:val="-21"/>
        </w:rPr>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11</w:t>
      </w:r>
      <w:r>
        <w:rPr>
          <w:spacing w:val="-1"/>
        </w:rPr>
        <w:t>月，印度基于统一支付接口处理的移动支付交易量已经达到了</w:t>
      </w:r>
      <w:r>
        <w:rPr>
          <w:rFonts w:ascii="Times New Roman" w:hAnsi="Times New Roman" w:cs="Times New Roman" w:eastAsia="Times New Roman" w:hint="default"/>
          <w:spacing w:val="-1"/>
        </w:rPr>
        <w:t>6.20</w:t>
      </w:r>
      <w:r>
        <w:rPr>
          <w:spacing w:val="-1"/>
        </w:rPr>
        <w:t>亿笔，处理的总支付金额达到了</w:t>
      </w:r>
      <w:r>
        <w:rPr>
          <w:rFonts w:ascii="Times New Roman" w:hAnsi="Times New Roman" w:cs="Times New Roman" w:eastAsia="Times New Roman" w:hint="default"/>
          <w:spacing w:val="-1"/>
        </w:rPr>
        <w:t>10,259.48</w:t>
      </w:r>
      <w:r>
        <w:rPr>
          <w:spacing w:val="-1"/>
        </w:rPr>
        <w:t>亿印度</w:t>
      </w:r>
      <w:r>
        <w:rPr>
          <w:spacing w:val="-67"/>
        </w:rPr>
        <w:t> </w:t>
      </w:r>
      <w:r>
        <w:rPr/>
        <w:t>卢比。瑞士信贷发表报告称</w:t>
      </w:r>
      <w:r>
        <w:rPr>
          <w:rFonts w:ascii="Times New Roman" w:hAnsi="Times New Roman" w:cs="Times New Roman" w:eastAsia="Times New Roman" w:hint="default"/>
        </w:rPr>
        <w:t>2023</w:t>
      </w:r>
      <w:r>
        <w:rPr/>
        <w:t>年印度移动支付市场将成长到</w:t>
      </w:r>
      <w:r>
        <w:rPr>
          <w:rFonts w:ascii="Times New Roman" w:hAnsi="Times New Roman" w:cs="Times New Roman" w:eastAsia="Times New Roman" w:hint="default"/>
        </w:rPr>
        <w:t>1</w:t>
      </w:r>
      <w:r>
        <w:rPr/>
        <w:t>兆美元。随着移动支付全球化发展的不断加快，移动支付在</w:t>
      </w:r>
      <w:r>
        <w:rPr>
          <w:spacing w:val="-83"/>
        </w:rPr>
        <w:t> </w:t>
      </w:r>
      <w:r>
        <w:rPr>
          <w:spacing w:val="-83"/>
        </w:rPr>
      </w:r>
      <w:r>
        <w:rPr/>
        <w:t>海外拥有不可限量的发展潜力。</w:t>
      </w:r>
    </w:p>
    <w:p>
      <w:pPr>
        <w:pStyle w:val="BodyText"/>
        <w:spacing w:line="304" w:lineRule="auto" w:before="72"/>
        <w:ind w:right="1118" w:firstLine="361"/>
        <w:jc w:val="left"/>
      </w:pPr>
      <w:r>
        <w:rPr>
          <w:spacing w:val="-2"/>
        </w:rPr>
        <w:t>根据尼尔森与支付宝联合发布了《</w:t>
      </w:r>
      <w:r>
        <w:rPr>
          <w:rFonts w:ascii="Times New Roman" w:hAnsi="Times New Roman" w:cs="Times New Roman" w:eastAsia="Times New Roman" w:hint="default"/>
          <w:spacing w:val="-2"/>
        </w:rPr>
        <w:t>2018</w:t>
      </w:r>
      <w:r>
        <w:rPr>
          <w:spacing w:val="-2"/>
        </w:rPr>
        <w:t>年中国移动支付境外旅游市场发展与趋势白皮书》显示，中国游客的移动支付习</w:t>
      </w:r>
      <w:r>
        <w:rPr/>
        <w:t> </w:t>
      </w:r>
      <w:r>
        <w:rPr>
          <w:spacing w:val="-2"/>
        </w:rPr>
        <w:t>惯带动了移动支付在国外的快速发展，境外商户对接入中国移动支付系统的意愿呈现上升趋势，尤其是出境游人数最多的东</w:t>
      </w:r>
      <w:r>
        <w:rPr>
          <w:spacing w:val="-64"/>
        </w:rPr>
        <w:t> </w:t>
      </w:r>
      <w:r>
        <w:rPr>
          <w:spacing w:val="-64"/>
        </w:rPr>
      </w:r>
      <w:r>
        <w:rPr>
          <w:spacing w:val="-2"/>
        </w:rPr>
        <w:t>南亚地区。报告中指出：新加坡，马来西亚和泰国地区的商家中已有</w:t>
      </w:r>
      <w:r>
        <w:rPr>
          <w:rFonts w:ascii="Times New Roman" w:hAnsi="Times New Roman" w:cs="Times New Roman" w:eastAsia="Times New Roman" w:hint="default"/>
          <w:spacing w:val="-2"/>
        </w:rPr>
        <w:t>58</w:t>
      </w:r>
      <w:r>
        <w:rPr>
          <w:spacing w:val="-2"/>
        </w:rPr>
        <w:t>％接受移动支付，其中</w:t>
      </w:r>
      <w:r>
        <w:rPr>
          <w:rFonts w:ascii="Times New Roman" w:hAnsi="Times New Roman" w:cs="Times New Roman" w:eastAsia="Times New Roman" w:hint="default"/>
          <w:spacing w:val="-2"/>
        </w:rPr>
        <w:t>70</w:t>
      </w:r>
      <w:r>
        <w:rPr>
          <w:spacing w:val="-2"/>
        </w:rPr>
        <w:t>％接受中国移动支付，而在</w:t>
      </w:r>
      <w:r>
        <w:rPr>
          <w:spacing w:val="-62"/>
        </w:rPr>
        <w:t> </w:t>
      </w:r>
      <w:r>
        <w:rPr>
          <w:spacing w:val="-62"/>
        </w:rPr>
      </w:r>
      <w:r>
        <w:rPr/>
        <w:t>这些国家当地亦有四分之三的超市和便利店已经接受中国的移动支付，大约</w:t>
      </w:r>
      <w:r>
        <w:rPr>
          <w:rFonts w:ascii="Times New Roman" w:hAnsi="Times New Roman" w:cs="Times New Roman" w:eastAsia="Times New Roman" w:hint="default"/>
        </w:rPr>
        <w:t>71%</w:t>
      </w:r>
      <w:r>
        <w:rPr/>
        <w:t>的免税商店和奢侈品商店也采用了移动支 付。</w:t>
      </w:r>
    </w:p>
    <w:p>
      <w:pPr>
        <w:spacing w:after="0" w:line="304"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2" w:lineRule="auto" w:before="44"/>
        <w:ind w:right="1241" w:firstLine="361"/>
        <w:jc w:val="left"/>
      </w:pPr>
      <w:r>
        <w:rPr/>
        <w:t>因此，我们预测未来几年海外移动支付市场，尤其是东南亚、印度、南美等地区将会快速增长，这将为国内智能</w:t>
      </w:r>
      <w:r>
        <w:rPr>
          <w:rFonts w:ascii="Times New Roman" w:hAnsi="Times New Roman" w:cs="Times New Roman" w:eastAsia="Times New Roman" w:hint="default"/>
        </w:rPr>
        <w:t>POS</w:t>
      </w:r>
      <w:r>
        <w:rPr>
          <w:rFonts w:ascii="Times New Roman" w:hAnsi="Times New Roman" w:cs="Times New Roman" w:eastAsia="Times New Roman" w:hint="default"/>
          <w:spacing w:val="-1"/>
          <w:w w:val="99"/>
        </w:rPr>
        <w:t> </w:t>
      </w:r>
      <w:r>
        <w:rPr/>
        <w:t>终端厂商带来巨大的商机。</w:t>
      </w:r>
    </w:p>
    <w:p>
      <w:pPr>
        <w:pStyle w:val="Heading4"/>
        <w:spacing w:line="240" w:lineRule="auto" w:before="69"/>
        <w:ind w:right="1134"/>
        <w:jc w:val="left"/>
        <w:rPr>
          <w:b w:val="0"/>
          <w:bCs w:val="0"/>
        </w:rPr>
      </w:pPr>
      <w:r>
        <w:rPr/>
        <w:t>（二）公司发展战略</w:t>
      </w:r>
      <w:r>
        <w:rPr>
          <w:b w:val="0"/>
          <w:bCs w:val="0"/>
        </w:rPr>
      </w:r>
    </w:p>
    <w:p>
      <w:pPr>
        <w:spacing w:line="300" w:lineRule="auto" w:before="116"/>
        <w:ind w:left="51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、坚持创新驱动发展战略，掌握智能移动信息化领域核心技术</w:t>
      </w:r>
      <w:r>
        <w:rPr>
          <w:rFonts w:ascii="宋体" w:hAnsi="宋体" w:cs="宋体" w:eastAsia="宋体" w:hint="default"/>
          <w:b/>
          <w:bCs/>
          <w:w w:val="99"/>
          <w:sz w:val="18"/>
          <w:szCs w:val="18"/>
        </w:rPr>
        <w:t> </w:t>
      </w:r>
      <w:r>
        <w:rPr>
          <w:rFonts w:ascii="宋体" w:hAnsi="宋体" w:cs="宋体" w:eastAsia="宋体" w:hint="default"/>
          <w:spacing w:val="-2"/>
          <w:sz w:val="18"/>
          <w:szCs w:val="18"/>
        </w:rPr>
        <w:t>创新是公司发展的核心，是公司发展的加速器。要深入实施创新驱动发展战略，大力推进技术创新、业务模式创新和管</w:t>
      </w:r>
    </w:p>
    <w:p>
      <w:pPr>
        <w:pStyle w:val="BodyText"/>
        <w:spacing w:line="316" w:lineRule="auto" w:before="31"/>
        <w:ind w:right="1131"/>
        <w:jc w:val="both"/>
      </w:pPr>
      <w:r>
        <w:rPr>
          <w:spacing w:val="-2"/>
        </w:rPr>
        <w:t>理创新。聚焦突破核心关键技术，进一步提高自主创新能力，全面提升产品和服务的附加价值和市场竞争力。勇于开拓创新</w:t>
      </w:r>
      <w:r>
        <w:rPr>
          <w:spacing w:val="-66"/>
        </w:rPr>
        <w:t> </w:t>
      </w:r>
      <w:r>
        <w:rPr>
          <w:spacing w:val="-66"/>
        </w:rPr>
      </w:r>
      <w:r>
        <w:rPr/>
        <w:t>业务模式，运用互联网思维，推进智能移动信息化应用业务几何级数增长。</w:t>
      </w:r>
    </w:p>
    <w:p>
      <w:pPr>
        <w:spacing w:line="300" w:lineRule="auto" w:before="19"/>
        <w:ind w:left="51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、保持主营业务持续增长，继续深化智能移动信息化方案在各行业的应用</w:t>
      </w:r>
      <w:r>
        <w:rPr>
          <w:rFonts w:ascii="宋体" w:hAnsi="宋体" w:cs="宋体" w:eastAsia="宋体" w:hint="default"/>
          <w:b/>
          <w:bCs/>
          <w:w w:val="99"/>
          <w:sz w:val="18"/>
          <w:szCs w:val="18"/>
        </w:rPr>
        <w:t> </w:t>
      </w:r>
      <w:r>
        <w:rPr>
          <w:rFonts w:ascii="宋体" w:hAnsi="宋体" w:cs="宋体" w:eastAsia="宋体" w:hint="default"/>
          <w:spacing w:val="-2"/>
          <w:sz w:val="18"/>
          <w:szCs w:val="18"/>
        </w:rPr>
        <w:t>公司的目标是成为国际领先的行业级智能移动信息化应用解决方案提供商。以现有产品及技术平台为基础，公司努力提</w:t>
      </w:r>
    </w:p>
    <w:p>
      <w:pPr>
        <w:pStyle w:val="BodyText"/>
        <w:spacing w:line="316" w:lineRule="auto" w:before="31"/>
        <w:ind w:right="1130"/>
        <w:jc w:val="both"/>
      </w:pPr>
      <w:r>
        <w:rPr>
          <w:spacing w:val="-2"/>
        </w:rPr>
        <w:t>升核心竞争优势，进一步发掘智能移动信息化应用在物流、电子商务、零售、制造、金融等行业的深度；公司通过行业应用</w:t>
      </w:r>
      <w:r>
        <w:rPr>
          <w:spacing w:val="-67"/>
        </w:rPr>
        <w:t> </w:t>
      </w:r>
      <w:r>
        <w:rPr>
          <w:spacing w:val="-67"/>
        </w:rPr>
      </w:r>
      <w:r>
        <w:rPr/>
        <w:t>推广及树立标杆案例等方式，在医疗、电子政务、交通、电力等众多新兴领域进行市场拓展。</w:t>
      </w:r>
    </w:p>
    <w:p>
      <w:pPr>
        <w:spacing w:line="300" w:lineRule="auto" w:before="19"/>
        <w:ind w:left="51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、拓宽国内外销售渠道，逐步深入国际市场</w:t>
      </w:r>
      <w:r>
        <w:rPr>
          <w:rFonts w:ascii="宋体" w:hAnsi="宋体" w:cs="宋体" w:eastAsia="宋体" w:hint="default"/>
          <w:b/>
          <w:bCs/>
          <w:w w:val="99"/>
          <w:sz w:val="18"/>
          <w:szCs w:val="18"/>
        </w:rPr>
        <w:t> </w:t>
      </w:r>
      <w:r>
        <w:rPr>
          <w:rFonts w:ascii="宋体" w:hAnsi="宋体" w:cs="宋体" w:eastAsia="宋体" w:hint="default"/>
          <w:spacing w:val="-2"/>
          <w:sz w:val="18"/>
          <w:szCs w:val="18"/>
        </w:rPr>
        <w:t>公司将大力发展海外市场，通过加大海外市场营销力度并开展多种合作方式迅速提高海外市场份额，以确保公司未来收</w:t>
      </w:r>
    </w:p>
    <w:p>
      <w:pPr>
        <w:pStyle w:val="BodyText"/>
        <w:spacing w:line="240" w:lineRule="auto" w:before="31"/>
        <w:ind w:right="1134"/>
        <w:jc w:val="left"/>
      </w:pPr>
      <w:r>
        <w:rPr/>
        <w:t>入的稳定可持续增长。</w:t>
      </w:r>
    </w:p>
    <w:p>
      <w:pPr>
        <w:spacing w:line="340" w:lineRule="auto" w:before="76"/>
        <w:ind w:left="51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、整合行业及供应链资源，利用资本市场做大做强</w:t>
      </w:r>
      <w:r>
        <w:rPr>
          <w:rFonts w:ascii="宋体" w:hAnsi="宋体" w:cs="宋体" w:eastAsia="宋体" w:hint="default"/>
          <w:b/>
          <w:bCs/>
          <w:w w:val="99"/>
          <w:sz w:val="18"/>
          <w:szCs w:val="18"/>
        </w:rPr>
        <w:t> </w:t>
      </w:r>
      <w:r>
        <w:rPr>
          <w:rFonts w:ascii="宋体" w:hAnsi="宋体" w:cs="宋体" w:eastAsia="宋体" w:hint="default"/>
          <w:spacing w:val="-2"/>
          <w:sz w:val="18"/>
          <w:szCs w:val="18"/>
        </w:rPr>
        <w:t>随着业务的进一步发展和规模的逐步壮大，公司将根据需要选择适当的时机和合理的方式利用资本平台整合行业内及产</w:t>
      </w:r>
    </w:p>
    <w:p>
      <w:pPr>
        <w:pStyle w:val="BodyText"/>
        <w:spacing w:line="240" w:lineRule="auto" w:before="1"/>
        <w:ind w:right="1134"/>
        <w:jc w:val="left"/>
      </w:pPr>
      <w:r>
        <w:rPr/>
        <w:t>业链上下游的优秀资源，加快进行主营业务范围内的延展，进一步做大做强主业。</w:t>
      </w:r>
    </w:p>
    <w:p>
      <w:pPr>
        <w:pStyle w:val="Heading4"/>
        <w:spacing w:line="240" w:lineRule="auto" w:before="116"/>
        <w:ind w:right="1134"/>
        <w:jc w:val="left"/>
        <w:rPr>
          <w:b w:val="0"/>
          <w:bCs w:val="0"/>
        </w:rPr>
      </w:pPr>
      <w:r>
        <w:rPr/>
        <w:t>（三）</w:t>
      </w:r>
      <w:r>
        <w:rPr>
          <w:rFonts w:ascii="Times New Roman" w:hAnsi="Times New Roman" w:cs="Times New Roman" w:eastAsia="Times New Roman" w:hint="default"/>
        </w:rPr>
        <w:t>2019</w:t>
      </w:r>
      <w:r>
        <w:rPr/>
        <w:t>年度经营计划</w:t>
      </w:r>
      <w:r>
        <w:rPr>
          <w:b w:val="0"/>
          <w:bCs w:val="0"/>
        </w:rPr>
      </w:r>
    </w:p>
    <w:p>
      <w:pPr>
        <w:pStyle w:val="BodyText"/>
        <w:spacing w:line="338" w:lineRule="auto" w:before="103"/>
        <w:ind w:left="514" w:right="1118" w:firstLine="1"/>
        <w:jc w:val="left"/>
      </w:pPr>
      <w:r>
        <w:rPr>
          <w:rFonts w:ascii="Times New Roman" w:hAnsi="Times New Roman" w:cs="Times New Roman" w:eastAsia="Times New Roman" w:hint="default"/>
          <w:b/>
          <w:bCs/>
        </w:rPr>
        <w:t>1</w:t>
      </w:r>
      <w:r>
        <w:rPr>
          <w:rFonts w:ascii="宋体" w:hAnsi="宋体" w:cs="宋体" w:eastAsia="宋体" w:hint="default"/>
          <w:b/>
          <w:bCs/>
        </w:rPr>
        <w:t>、研发计划</w:t>
      </w:r>
      <w:r>
        <w:rPr>
          <w:rFonts w:ascii="宋体" w:hAnsi="宋体" w:cs="宋体" w:eastAsia="宋体" w:hint="default"/>
          <w:b/>
          <w:bCs/>
          <w:w w:val="99"/>
        </w:rPr>
        <w:t> </w:t>
      </w:r>
      <w:r>
        <w:rPr>
          <w:spacing w:val="-2"/>
        </w:rPr>
        <w:t>公司将坚持自主创新和科研投入，不断提升智能移动应用领域软硬件核心技术及产品优势，积极探索软件服务、数据运</w:t>
      </w:r>
    </w:p>
    <w:p>
      <w:pPr>
        <w:pStyle w:val="BodyText"/>
        <w:spacing w:line="357" w:lineRule="auto" w:before="4"/>
        <w:ind w:left="514" w:right="0" w:hanging="360"/>
        <w:jc w:val="left"/>
      </w:pPr>
      <w:r>
        <w:rPr/>
        <w:t>营等未来转型方向。 </w:t>
      </w:r>
      <w:r>
        <w:rPr>
          <w:spacing w:val="-2"/>
        </w:rPr>
        <w:t>公司将以现有产品和技术开发平台为基础，深化行业智能应用的纵向深度，围绕产品的功能升级及架构优化，不断加大</w:t>
      </w:r>
    </w:p>
    <w:p>
      <w:pPr>
        <w:pStyle w:val="BodyText"/>
        <w:spacing w:line="224" w:lineRule="exact"/>
        <w:ind w:right="0"/>
        <w:jc w:val="left"/>
      </w:pPr>
      <w:r>
        <w:rPr/>
        <w:t>对产品的升级开发力度，持续优化产品性能。同时，公司将进一步深入研究各行业客户需求，结合已有的行业经验，不断拓</w:t>
      </w:r>
    </w:p>
    <w:p>
      <w:pPr>
        <w:pStyle w:val="BodyText"/>
        <w:spacing w:line="302" w:lineRule="auto" w:before="76"/>
        <w:ind w:right="1041"/>
        <w:jc w:val="both"/>
      </w:pPr>
      <w:r>
        <w:rPr>
          <w:spacing w:val="-1"/>
        </w:rPr>
        <w:t>展行业智能应用的横向维度，重点聚焦研究智能支付、智慧物流、</w:t>
      </w:r>
      <w:r>
        <w:rPr>
          <w:rFonts w:ascii="Times New Roman" w:hAnsi="Times New Roman" w:cs="Times New Roman" w:eastAsia="Times New Roman" w:hint="default"/>
          <w:spacing w:val="-1"/>
        </w:rPr>
        <w:t>RFID</w:t>
      </w:r>
      <w:r>
        <w:rPr>
          <w:spacing w:val="-1"/>
        </w:rPr>
        <w:t>、生物识别、人工智能、数字认证等方面前沿技术，</w:t>
      </w:r>
      <w:r>
        <w:rPr>
          <w:spacing w:val="-80"/>
        </w:rPr>
        <w:t> </w:t>
      </w:r>
      <w:r>
        <w:rPr>
          <w:spacing w:val="-80"/>
        </w:rPr>
      </w:r>
      <w:r>
        <w:rPr/>
        <w:t>探索上述技术与行业应用的结合，推进先进技术在公司产品上的应用，促进公司产品技术升级。</w:t>
      </w:r>
    </w:p>
    <w:p>
      <w:pPr>
        <w:pStyle w:val="BodyText"/>
        <w:spacing w:line="338" w:lineRule="auto" w:before="70"/>
        <w:ind w:left="514" w:right="1032" w:firstLine="1"/>
        <w:jc w:val="left"/>
      </w:pPr>
      <w:r>
        <w:rPr>
          <w:rFonts w:ascii="Times New Roman" w:hAnsi="Times New Roman" w:cs="Times New Roman" w:eastAsia="Times New Roman" w:hint="default"/>
          <w:b/>
          <w:bCs/>
        </w:rPr>
        <w:t>2</w:t>
      </w:r>
      <w:r>
        <w:rPr>
          <w:rFonts w:ascii="宋体" w:hAnsi="宋体" w:cs="宋体" w:eastAsia="宋体" w:hint="default"/>
          <w:b/>
          <w:bCs/>
        </w:rPr>
        <w:t>、业务拓展计划</w:t>
      </w:r>
      <w:r>
        <w:rPr>
          <w:rFonts w:ascii="宋体" w:hAnsi="宋体" w:cs="宋体" w:eastAsia="宋体" w:hint="default"/>
          <w:b/>
          <w:bCs/>
          <w:w w:val="99"/>
        </w:rPr>
        <w:t> </w:t>
      </w:r>
      <w:r>
        <w:rPr/>
        <w:t>公司将重点拓展物流电商、新零售、智能支付、智能制造、公共交通等行业领域的客户，在全国范围内建立完善市场、</w:t>
      </w:r>
    </w:p>
    <w:p>
      <w:pPr>
        <w:pStyle w:val="BodyText"/>
        <w:spacing w:line="319" w:lineRule="auto" w:before="2"/>
        <w:ind w:right="1132"/>
        <w:jc w:val="both"/>
      </w:pPr>
      <w:r>
        <w:rPr>
          <w:spacing w:val="-2"/>
        </w:rPr>
        <w:t>销售和售后服务综合支持体系，扩大公司营销服务网络在国内市场的覆盖范围。通过产品宣传及在行业内树立具有广泛影响</w:t>
      </w:r>
      <w:r>
        <w:rPr>
          <w:spacing w:val="-64"/>
        </w:rPr>
        <w:t> </w:t>
      </w:r>
      <w:r>
        <w:rPr>
          <w:spacing w:val="-64"/>
        </w:rPr>
      </w:r>
      <w:r>
        <w:rPr/>
        <w:t>的标杆应用案例等方式，进一步提升公司产品及服务在各行业的认知度和满意度。</w:t>
      </w:r>
    </w:p>
    <w:p>
      <w:pPr>
        <w:pStyle w:val="BodyText"/>
        <w:spacing w:line="309" w:lineRule="auto" w:before="55"/>
        <w:ind w:right="1131" w:firstLine="360"/>
        <w:jc w:val="both"/>
      </w:pPr>
      <w:r>
        <w:rPr>
          <w:rFonts w:ascii="Times New Roman" w:hAnsi="Times New Roman" w:cs="Times New Roman" w:eastAsia="Times New Roman" w:hint="default"/>
          <w:spacing w:val="-2"/>
        </w:rPr>
        <w:t>2019</w:t>
      </w:r>
      <w:r>
        <w:rPr>
          <w:spacing w:val="-2"/>
        </w:rPr>
        <w:t>年，公司经营重点之一是深入开拓海外市场，公司将在海外产品技术支持及维护、海外市场新产品研发、海外产品</w:t>
      </w:r>
      <w:r>
        <w:rPr/>
        <w:t> </w:t>
      </w:r>
      <w:r>
        <w:rPr>
          <w:spacing w:val="-2"/>
        </w:rPr>
        <w:t>国际测试认证、准入和海外市场拓展这几个方面增加投入，同时加强海外市场售后服务体系建设投入，加大力度巩固已覆盖</w:t>
      </w:r>
      <w:r>
        <w:rPr>
          <w:spacing w:val="-66"/>
        </w:rPr>
        <w:t> </w:t>
      </w:r>
      <w:r>
        <w:rPr>
          <w:spacing w:val="-66"/>
        </w:rPr>
      </w:r>
      <w:r>
        <w:rPr/>
        <w:t>区域市场并开拓新区域市场业务，加快布局海外销售渠道，加大品牌宣传力度，塑造公司品牌的国际化形象。</w:t>
      </w:r>
    </w:p>
    <w:p>
      <w:pPr>
        <w:pStyle w:val="BodyText"/>
        <w:spacing w:line="338" w:lineRule="auto" w:before="65"/>
        <w:ind w:left="514" w:right="0" w:firstLine="1"/>
        <w:jc w:val="left"/>
      </w:pPr>
      <w:r>
        <w:rPr>
          <w:rFonts w:ascii="Times New Roman" w:hAnsi="Times New Roman" w:cs="Times New Roman" w:eastAsia="Times New Roman" w:hint="default"/>
          <w:b/>
          <w:bCs/>
        </w:rPr>
        <w:t>3</w:t>
      </w:r>
      <w:r>
        <w:rPr>
          <w:rFonts w:ascii="宋体" w:hAnsi="宋体" w:cs="宋体" w:eastAsia="宋体" w:hint="default"/>
          <w:b/>
          <w:bCs/>
        </w:rPr>
        <w:t>、公司治理计划</w:t>
      </w:r>
      <w:r>
        <w:rPr>
          <w:rFonts w:ascii="宋体" w:hAnsi="宋体" w:cs="宋体" w:eastAsia="宋体" w:hint="default"/>
          <w:b/>
          <w:bCs/>
          <w:w w:val="99"/>
        </w:rPr>
        <w:t> </w:t>
      </w:r>
      <w:r>
        <w:rPr>
          <w:spacing w:val="-2"/>
        </w:rPr>
        <w:t>公司将继续严格按照《公司法》、《证券法》等有关法律法规和规范性文件的规定，不断完善公司治理结构，确保股东</w:t>
      </w:r>
    </w:p>
    <w:p>
      <w:pPr>
        <w:pStyle w:val="BodyText"/>
        <w:spacing w:line="319" w:lineRule="auto" w:before="2"/>
        <w:ind w:right="1130"/>
        <w:jc w:val="both"/>
      </w:pPr>
      <w:r>
        <w:rPr>
          <w:spacing w:val="-2"/>
        </w:rPr>
        <w:t>能够充分行使权利，确保董事会能够按照法律、法规和《公司章程》的规定行使职权，确保独立董事能够认真履行职责，维</w:t>
      </w:r>
      <w:r>
        <w:rPr>
          <w:spacing w:val="-67"/>
        </w:rPr>
        <w:t> </w:t>
      </w:r>
      <w:r>
        <w:rPr>
          <w:spacing w:val="-67"/>
        </w:rPr>
      </w:r>
      <w:r>
        <w:rPr>
          <w:spacing w:val="-2"/>
        </w:rPr>
        <w:t>护公司利益及中小股东的合法权益，确保监事会能够独立有效地行使对董事、经理和其他高级管理人员及公司财务的监督权</w:t>
      </w:r>
      <w:r>
        <w:rPr>
          <w:spacing w:val="-64"/>
        </w:rPr>
        <w:t> </w:t>
      </w:r>
      <w:r>
        <w:rPr>
          <w:spacing w:val="-64"/>
        </w:rPr>
      </w:r>
      <w:r>
        <w:rPr/>
        <w:t>和检查权，为公司发展提供制度保障。</w:t>
      </w:r>
    </w:p>
    <w:p>
      <w:pPr>
        <w:spacing w:line="338" w:lineRule="auto" w:before="56"/>
        <w:ind w:left="514"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、管理提升和人力资源计划</w:t>
      </w:r>
      <w:r>
        <w:rPr>
          <w:rFonts w:ascii="宋体" w:hAnsi="宋体" w:cs="宋体" w:eastAsia="宋体" w:hint="default"/>
          <w:b/>
          <w:bCs/>
          <w:w w:val="99"/>
          <w:sz w:val="18"/>
          <w:szCs w:val="18"/>
        </w:rPr>
        <w:t> </w:t>
      </w:r>
      <w:r>
        <w:rPr>
          <w:rFonts w:ascii="宋体" w:hAnsi="宋体" w:cs="宋体" w:eastAsia="宋体" w:hint="default"/>
          <w:spacing w:val="-2"/>
          <w:sz w:val="18"/>
          <w:szCs w:val="18"/>
        </w:rPr>
        <w:t>公司将进一步推进精细化管理，通过降低管理成本和提高工作效率达到提升整体效益的目标：完善参股公司和控股子公</w:t>
      </w:r>
    </w:p>
    <w:p>
      <w:pPr>
        <w:pStyle w:val="BodyText"/>
        <w:spacing w:line="357" w:lineRule="auto" w:before="4"/>
        <w:ind w:left="514" w:right="0" w:hanging="360"/>
        <w:jc w:val="left"/>
      </w:pPr>
      <w:r>
        <w:rPr>
          <w:spacing w:val="-4"/>
        </w:rPr>
        <w:t>司的系统性、制度化管理；进一步提升公司信息化管理水平；进一步完善供应链体系建设，强化物料选型和研发同步和互动。</w:t>
      </w:r>
      <w:r>
        <w:rPr>
          <w:spacing w:val="-46"/>
        </w:rPr>
        <w:t> </w:t>
      </w:r>
      <w:r>
        <w:rPr>
          <w:spacing w:val="-46"/>
        </w:rPr>
      </w:r>
      <w:r>
        <w:rPr>
          <w:spacing w:val="-2"/>
        </w:rPr>
        <w:t>为满足公司业务规模扩大需求以及保证募集资金投资项目的顺利实施，公司将通过面向社会公开招聘、从同行引进、与</w:t>
      </w:r>
    </w:p>
    <w:p>
      <w:pPr>
        <w:pStyle w:val="BodyText"/>
        <w:spacing w:line="224" w:lineRule="exact"/>
        <w:ind w:right="0"/>
        <w:jc w:val="left"/>
      </w:pPr>
      <w:r>
        <w:rPr>
          <w:spacing w:val="-4"/>
        </w:rPr>
        <w:t>国内科研院校合作以及聘请专家顾问等方式，不断引进经营管理人才、高级技术人才、市场营销人才和一线生产工人。同时，</w:t>
      </w:r>
    </w:p>
    <w:p>
      <w:pPr>
        <w:spacing w:after="0" w:line="224" w:lineRule="exact"/>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348" w:lineRule="auto" w:before="44"/>
        <w:ind w:left="514" w:right="0" w:hanging="360"/>
        <w:jc w:val="left"/>
      </w:pPr>
      <w:r>
        <w:rPr>
          <w:spacing w:val="-4"/>
        </w:rPr>
        <w:t>公司将继续完善员工职业培训体系，完善岗位职责、绩效评价、薪酬分配等人力资源管理体系，持续提高员工的能力和素质。</w:t>
      </w:r>
      <w:r>
        <w:rPr>
          <w:spacing w:val="-46"/>
        </w:rPr>
        <w:t> </w:t>
      </w:r>
      <w:r>
        <w:rPr>
          <w:spacing w:val="-46"/>
        </w:rPr>
      </w:r>
      <w:r>
        <w:rPr>
          <w:rFonts w:ascii="Times New Roman" w:hAnsi="Times New Roman" w:cs="Times New Roman" w:eastAsia="Times New Roman" w:hint="default"/>
          <w:b/>
          <w:bCs/>
        </w:rPr>
        <w:t>5</w:t>
      </w:r>
      <w:r>
        <w:rPr>
          <w:rFonts w:ascii="宋体" w:hAnsi="宋体" w:cs="宋体" w:eastAsia="宋体" w:hint="default"/>
          <w:b/>
          <w:bCs/>
        </w:rPr>
        <w:t>、资本运作及投后管理计划</w:t>
      </w:r>
      <w:r>
        <w:rPr>
          <w:rFonts w:ascii="宋体" w:hAnsi="宋体" w:cs="宋体" w:eastAsia="宋体" w:hint="default"/>
          <w:b/>
          <w:bCs/>
          <w:w w:val="99"/>
        </w:rPr>
        <w:t> </w:t>
      </w:r>
      <w:r>
        <w:rPr>
          <w:spacing w:val="-4"/>
        </w:rPr>
        <w:t>公司将加强与瑞柏泰、天眼智通、上海芝柯、中世顺的资源整合和业务协同。同时，根据发展战略，围绕自身核心业务，</w:t>
      </w:r>
    </w:p>
    <w:p>
      <w:pPr>
        <w:pStyle w:val="BodyText"/>
        <w:spacing w:line="319" w:lineRule="auto"/>
        <w:ind w:right="0"/>
        <w:jc w:val="left"/>
      </w:pPr>
      <w:r>
        <w:rPr>
          <w:spacing w:val="-2"/>
        </w:rPr>
        <w:t>以增强公司中长期战略竞争能力为目的，公司将积极推动与珠海佳博科技股份有限公司重大资产重组事项，完善公司产品体</w:t>
      </w:r>
      <w:r>
        <w:rPr>
          <w:spacing w:val="-63"/>
        </w:rPr>
        <w:t> </w:t>
      </w:r>
      <w:r>
        <w:rPr>
          <w:spacing w:val="-63"/>
        </w:rPr>
      </w:r>
      <w:r>
        <w:rPr/>
        <w:t>系、提升公司的规模和综合竞争力。</w:t>
      </w:r>
    </w:p>
    <w:p>
      <w:pPr>
        <w:pStyle w:val="BodyText"/>
        <w:spacing w:line="302" w:lineRule="auto" w:before="55"/>
        <w:ind w:right="1132" w:firstLine="360"/>
        <w:jc w:val="both"/>
      </w:pPr>
      <w:r>
        <w:rPr>
          <w:spacing w:val="-2"/>
        </w:rPr>
        <w:t>上述经营计划、经营目标不代表上市公司对</w:t>
      </w:r>
      <w:r>
        <w:rPr>
          <w:rFonts w:ascii="Times New Roman" w:hAnsi="Times New Roman" w:cs="Times New Roman" w:eastAsia="Times New Roman" w:hint="default"/>
          <w:spacing w:val="-2"/>
        </w:rPr>
        <w:t>2019</w:t>
      </w:r>
      <w:r>
        <w:rPr>
          <w:spacing w:val="-2"/>
        </w:rPr>
        <w:t>年度的盈利预测，能否实现取决于市场状况变化、相关政策变化等多种</w:t>
      </w:r>
      <w:r>
        <w:rPr/>
        <w:t> 因素，存在很大的不确定性，请投资者特别注意。</w:t>
      </w:r>
    </w:p>
    <w:p>
      <w:pPr>
        <w:pStyle w:val="Heading4"/>
        <w:spacing w:line="240" w:lineRule="auto" w:before="69"/>
        <w:ind w:right="1134"/>
        <w:jc w:val="left"/>
        <w:rPr>
          <w:b w:val="0"/>
          <w:bCs w:val="0"/>
        </w:rPr>
      </w:pPr>
      <w:r>
        <w:rPr/>
        <w:t>（四）可能面对的风险</w:t>
      </w:r>
      <w:r>
        <w:rPr>
          <w:b w:val="0"/>
          <w:bCs w:val="0"/>
        </w:rPr>
      </w:r>
    </w:p>
    <w:p>
      <w:pPr>
        <w:pStyle w:val="BodyText"/>
        <w:spacing w:line="300" w:lineRule="auto" w:before="116"/>
        <w:ind w:left="514" w:right="0"/>
        <w:jc w:val="left"/>
      </w:pPr>
      <w:r>
        <w:rPr>
          <w:rFonts w:ascii="Times New Roman" w:hAnsi="Times New Roman" w:cs="Times New Roman" w:eastAsia="Times New Roman" w:hint="default"/>
          <w:b/>
          <w:bCs/>
        </w:rPr>
        <w:t>1</w:t>
      </w:r>
      <w:r>
        <w:rPr>
          <w:rFonts w:ascii="宋体" w:hAnsi="宋体" w:cs="宋体" w:eastAsia="宋体" w:hint="default"/>
          <w:b/>
          <w:bCs/>
        </w:rPr>
        <w:t>、国内外市场风险及对策</w:t>
      </w:r>
      <w:r>
        <w:rPr>
          <w:rFonts w:ascii="宋体" w:hAnsi="宋体" w:cs="宋体" w:eastAsia="宋体" w:hint="default"/>
          <w:b/>
          <w:bCs/>
          <w:w w:val="99"/>
        </w:rPr>
        <w:t> </w:t>
      </w:r>
      <w:r>
        <w:rPr>
          <w:spacing w:val="-2"/>
        </w:rPr>
        <w:t>近几年国内行业移动应用市场发展迅速，出现一批智能移动终端开发企业，其中部分企业在不同的应用领域拥有一定的</w:t>
      </w:r>
    </w:p>
    <w:p>
      <w:pPr>
        <w:pStyle w:val="BodyText"/>
        <w:spacing w:line="316" w:lineRule="auto" w:before="31"/>
        <w:ind w:right="1032"/>
        <w:jc w:val="left"/>
      </w:pPr>
      <w:r>
        <w:rPr>
          <w:spacing w:val="-2"/>
        </w:rPr>
        <w:t>优势。公司目前保持了快速发展的势头，在国内处于市场领先地位，但市场需求变化快速，且市场竞争越来越激烈，如果公</w:t>
      </w:r>
      <w:r>
        <w:rPr>
          <w:spacing w:val="-66"/>
        </w:rPr>
        <w:t> </w:t>
      </w:r>
      <w:r>
        <w:rPr>
          <w:spacing w:val="-66"/>
        </w:rPr>
      </w:r>
      <w:r>
        <w:rPr>
          <w:spacing w:val="-2"/>
        </w:rPr>
        <w:t>司未来在新产品或技术的开发、销售网络构建等方面不能有效适应市场的变化，公司将在市场竞争中处于不利地位。同时随</w:t>
      </w:r>
      <w:r>
        <w:rPr>
          <w:spacing w:val="-66"/>
        </w:rPr>
        <w:t> </w:t>
      </w:r>
      <w:r>
        <w:rPr>
          <w:spacing w:val="-66"/>
        </w:rPr>
      </w:r>
      <w:r>
        <w:rPr/>
        <w:t>着物联网、云计算、大数据、人工智能技术的发展，催生出大量新技术、商业模式，给市场带来了诸多不确定因素。对此， </w:t>
      </w:r>
      <w:r>
        <w:rPr>
          <w:spacing w:val="-2"/>
        </w:rPr>
        <w:t>公司将持续加大在研发方面的投入力度，确保关键技术行业领先和产品的核心竞争能力；在巩固原有销售区域的同时，适时</w:t>
      </w:r>
      <w:r>
        <w:rPr>
          <w:spacing w:val="-66"/>
        </w:rPr>
        <w:t> </w:t>
      </w:r>
      <w:r>
        <w:rPr>
          <w:spacing w:val="-66"/>
        </w:rPr>
      </w:r>
      <w:r>
        <w:rPr>
          <w:spacing w:val="-2"/>
        </w:rPr>
        <w:t>适度扩大销售区域，确保公司产品在全国范围内及海外市场与优质客户建立合作关系；加快推进精益生产管理水平，提高产</w:t>
      </w:r>
      <w:r>
        <w:rPr>
          <w:spacing w:val="-66"/>
        </w:rPr>
        <w:t> </w:t>
      </w:r>
      <w:r>
        <w:rPr>
          <w:spacing w:val="-66"/>
        </w:rPr>
      </w:r>
      <w:r>
        <w:rPr/>
        <w:t>品质量和售后服务，从而提升市场竞争力。</w:t>
      </w:r>
    </w:p>
    <w:p>
      <w:pPr>
        <w:pStyle w:val="BodyText"/>
        <w:spacing w:line="316" w:lineRule="auto" w:before="19"/>
        <w:ind w:right="1130" w:firstLine="360"/>
        <w:jc w:val="both"/>
      </w:pPr>
      <w:r>
        <w:rPr>
          <w:spacing w:val="-2"/>
        </w:rPr>
        <w:t>拓展海外市场是公司的一项经营计划，公司正在逐步建立相关营销体系。但海外拓展时可能面临当地政治经济局势是否</w:t>
      </w:r>
      <w:r>
        <w:rPr/>
        <w:t> </w:t>
      </w:r>
      <w:r>
        <w:rPr>
          <w:spacing w:val="-2"/>
        </w:rPr>
        <w:t>稳定，法律体系、市场变化和监管制度发生重大变化等无法预期的风险。对此，公司将密切关注相关国家政策，通过充分做</w:t>
      </w:r>
      <w:r>
        <w:rPr>
          <w:spacing w:val="-66"/>
        </w:rPr>
        <w:t> </w:t>
      </w:r>
      <w:r>
        <w:rPr>
          <w:spacing w:val="-66"/>
        </w:rPr>
      </w:r>
      <w:r>
        <w:rPr/>
        <w:t>好事前审查、购买相关保险等手段来降低海外市场拓展带来的风险。</w:t>
      </w:r>
    </w:p>
    <w:p>
      <w:pPr>
        <w:spacing w:line="300" w:lineRule="auto" w:before="19"/>
        <w:ind w:left="51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、智能移动终端产品价格和毛利率下降风险及对策</w:t>
      </w:r>
      <w:r>
        <w:rPr>
          <w:rFonts w:ascii="宋体" w:hAnsi="宋体" w:cs="宋体" w:eastAsia="宋体" w:hint="default"/>
          <w:b/>
          <w:bCs/>
          <w:w w:val="99"/>
          <w:sz w:val="18"/>
          <w:szCs w:val="18"/>
        </w:rPr>
        <w:t> </w:t>
      </w:r>
      <w:r>
        <w:rPr>
          <w:rFonts w:ascii="宋体" w:hAnsi="宋体" w:cs="宋体" w:eastAsia="宋体" w:hint="default"/>
          <w:spacing w:val="-2"/>
          <w:sz w:val="18"/>
          <w:szCs w:val="18"/>
        </w:rPr>
        <w:t>随着市场竞争日益激烈，公司利用产品设计能力和成本控制能力，在确保合理利润空间的前提下，主动通过调整价格和</w:t>
      </w:r>
    </w:p>
    <w:p>
      <w:pPr>
        <w:pStyle w:val="BodyText"/>
        <w:spacing w:line="316" w:lineRule="auto" w:before="32"/>
        <w:ind w:right="0"/>
        <w:jc w:val="left"/>
      </w:pPr>
      <w:r>
        <w:rPr>
          <w:spacing w:val="-4"/>
        </w:rPr>
        <w:t>产品结构的手段，在稳定物流行业业务规模的基础上，积极拓展其他行业市场，扩大了公司业务规模和市场影响力。近几年，</w:t>
      </w:r>
      <w:r>
        <w:rPr>
          <w:spacing w:val="-46"/>
        </w:rPr>
        <w:t> </w:t>
      </w:r>
      <w:r>
        <w:rPr>
          <w:spacing w:val="-46"/>
        </w:rPr>
      </w:r>
      <w:r>
        <w:rPr>
          <w:spacing w:val="-2"/>
        </w:rPr>
        <w:t>智能移动终端产品价格和毛利率呈下降趋势，如果未来竞争进一步加剧，产品价格和毛利率有继续下降的可能，对公司未来</w:t>
      </w:r>
      <w:r>
        <w:rPr>
          <w:spacing w:val="-65"/>
        </w:rPr>
        <w:t> </w:t>
      </w:r>
      <w:r>
        <w:rPr>
          <w:spacing w:val="-65"/>
        </w:rPr>
      </w:r>
      <w:r>
        <w:rPr>
          <w:spacing w:val="-2"/>
        </w:rPr>
        <w:t>的盈利能力将产生较大的影响。对此，公司要继续加大核心技术的研发，不断坚持产品、经营模式和管理创新，持续推出新</w:t>
      </w:r>
      <w:r>
        <w:rPr>
          <w:spacing w:val="-66"/>
        </w:rPr>
        <w:t> </w:t>
      </w:r>
      <w:r>
        <w:rPr>
          <w:spacing w:val="-66"/>
        </w:rPr>
      </w:r>
      <w:r>
        <w:rPr/>
        <w:t>产品，以保持公司产品的综合毛利率的稳定。</w:t>
      </w:r>
    </w:p>
    <w:p>
      <w:pPr>
        <w:pStyle w:val="BodyText"/>
        <w:spacing w:line="300" w:lineRule="auto" w:before="19"/>
        <w:ind w:left="514" w:right="1032"/>
        <w:jc w:val="left"/>
      </w:pPr>
      <w:r>
        <w:rPr>
          <w:rFonts w:ascii="Times New Roman" w:hAnsi="Times New Roman" w:cs="Times New Roman" w:eastAsia="Times New Roman" w:hint="default"/>
          <w:b/>
          <w:bCs/>
        </w:rPr>
        <w:t>3</w:t>
      </w:r>
      <w:r>
        <w:rPr>
          <w:rFonts w:ascii="宋体" w:hAnsi="宋体" w:cs="宋体" w:eastAsia="宋体" w:hint="default"/>
          <w:b/>
          <w:bCs/>
        </w:rPr>
        <w:t>、政策风险及对策</w:t>
      </w:r>
      <w:r>
        <w:rPr>
          <w:rFonts w:ascii="宋体" w:hAnsi="宋体" w:cs="宋体" w:eastAsia="宋体" w:hint="default"/>
          <w:b/>
          <w:bCs/>
          <w:w w:val="99"/>
        </w:rPr>
        <w:t> </w:t>
      </w:r>
      <w:r>
        <w:rPr/>
        <w:t>以物联网为基础的移动信息化应用属于新兴技术产业，是我国中长期战略规划中政策重点扶持产业，但某些技术创新、</w:t>
      </w:r>
    </w:p>
    <w:p>
      <w:pPr>
        <w:pStyle w:val="BodyText"/>
        <w:spacing w:line="316" w:lineRule="auto" w:before="31"/>
        <w:ind w:right="1132"/>
        <w:jc w:val="both"/>
      </w:pPr>
      <w:r>
        <w:rPr>
          <w:spacing w:val="-2"/>
        </w:rPr>
        <w:t>商业模式创新涉及的业务尚缺乏相关的行业标准和有关制度，甚至有些是跨多行业、涉及多主管部门的业务，新生市场缺乏</w:t>
      </w:r>
      <w:r>
        <w:rPr>
          <w:spacing w:val="-66"/>
        </w:rPr>
        <w:t> </w:t>
      </w:r>
      <w:r>
        <w:rPr>
          <w:spacing w:val="-66"/>
        </w:rPr>
      </w:r>
      <w:r>
        <w:rPr>
          <w:spacing w:val="-2"/>
        </w:rPr>
        <w:t>相关的政府政策，新兴业务需要相关政策支持。针对该风险，公司将加强当前对政策的研判，把握行业政策，研究行业发展</w:t>
      </w:r>
      <w:r>
        <w:rPr>
          <w:spacing w:val="-66"/>
        </w:rPr>
        <w:t> </w:t>
      </w:r>
      <w:r>
        <w:rPr>
          <w:spacing w:val="-66"/>
        </w:rPr>
      </w:r>
      <w:r>
        <w:rPr/>
        <w:t>趋势，加强公司相关业务的流程控制，积极应对行业监管给行业发展带来的新变化、新机遇和新挑战。</w:t>
      </w:r>
    </w:p>
    <w:p>
      <w:pPr>
        <w:spacing w:line="300" w:lineRule="auto" w:before="19"/>
        <w:ind w:left="51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4</w:t>
      </w:r>
      <w:r>
        <w:rPr>
          <w:rFonts w:ascii="宋体" w:hAnsi="宋体" w:cs="宋体" w:eastAsia="宋体" w:hint="default"/>
          <w:b/>
          <w:bCs/>
          <w:sz w:val="18"/>
          <w:szCs w:val="18"/>
        </w:rPr>
        <w:t>、技术人员流失风险及对策</w:t>
      </w:r>
      <w:r>
        <w:rPr>
          <w:rFonts w:ascii="宋体" w:hAnsi="宋体" w:cs="宋体" w:eastAsia="宋体" w:hint="default"/>
          <w:b/>
          <w:bCs/>
          <w:w w:val="99"/>
          <w:sz w:val="18"/>
          <w:szCs w:val="18"/>
        </w:rPr>
        <w:t> </w:t>
      </w:r>
      <w:r>
        <w:rPr>
          <w:rFonts w:ascii="宋体" w:hAnsi="宋体" w:cs="宋体" w:eastAsia="宋体" w:hint="default"/>
          <w:spacing w:val="-2"/>
          <w:sz w:val="18"/>
          <w:szCs w:val="18"/>
        </w:rPr>
        <w:t>人才资源是企业生存和发展必备的重要资源，特别是随着知识经济的到来，人才对企业发展的推动作用日益明显，人才</w:t>
      </w:r>
    </w:p>
    <w:p>
      <w:pPr>
        <w:pStyle w:val="BodyText"/>
        <w:spacing w:line="309" w:lineRule="auto" w:before="31"/>
        <w:ind w:right="1131"/>
        <w:jc w:val="both"/>
      </w:pPr>
      <w:r>
        <w:rPr>
          <w:spacing w:val="-2"/>
        </w:rPr>
        <w:t>资源对企业的重要性更加突出。近年来，国内物价水平持续上涨，公司员工工资及福利也呈上涨趋势，在人力成本上给公司</w:t>
      </w:r>
      <w:r>
        <w:rPr>
          <w:spacing w:val="-66"/>
        </w:rPr>
        <w:t> </w:t>
      </w:r>
      <w:r>
        <w:rPr>
          <w:spacing w:val="-66"/>
        </w:rPr>
      </w:r>
      <w:r>
        <w:rPr>
          <w:spacing w:val="-2"/>
        </w:rPr>
        <w:t>造成一些压力，另外</w:t>
      </w:r>
      <w:r>
        <w:rPr>
          <w:rFonts w:ascii="Times New Roman" w:hAnsi="Times New Roman" w:cs="Times New Roman" w:eastAsia="Times New Roman" w:hint="default"/>
          <w:spacing w:val="-2"/>
        </w:rPr>
        <w:t>IT</w:t>
      </w:r>
      <w:r>
        <w:rPr>
          <w:spacing w:val="-2"/>
        </w:rPr>
        <w:t>行业内激烈的人才竞争，给公司人才带来一定的流失风险。公司将通过提高员工福利待遇，为员工创</w:t>
      </w:r>
      <w:r>
        <w:rPr>
          <w:spacing w:val="-52"/>
        </w:rPr>
        <w:t> </w:t>
      </w:r>
      <w:r>
        <w:rPr>
          <w:spacing w:val="-52"/>
        </w:rPr>
      </w:r>
      <w:r>
        <w:rPr/>
        <w:t>造学习和锻炼的机会，在恰当的时机实施股权激励计划等方式吸引人才、留住人才。</w:t>
      </w:r>
    </w:p>
    <w:p>
      <w:pPr>
        <w:spacing w:line="300" w:lineRule="auto" w:before="24"/>
        <w:ind w:left="514" w:right="0" w:firstLine="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5</w:t>
      </w:r>
      <w:r>
        <w:rPr>
          <w:rFonts w:ascii="宋体" w:hAnsi="宋体" w:cs="宋体" w:eastAsia="宋体" w:hint="default"/>
          <w:b/>
          <w:bCs/>
          <w:sz w:val="18"/>
          <w:szCs w:val="18"/>
        </w:rPr>
        <w:t>、税收优惠政策对公司业绩影响的风险及对策</w:t>
      </w:r>
      <w:r>
        <w:rPr>
          <w:rFonts w:ascii="宋体" w:hAnsi="宋体" w:cs="宋体" w:eastAsia="宋体" w:hint="default"/>
          <w:b/>
          <w:bCs/>
          <w:w w:val="99"/>
          <w:sz w:val="18"/>
          <w:szCs w:val="18"/>
        </w:rPr>
        <w:t> </w:t>
      </w:r>
      <w:r>
        <w:rPr>
          <w:rFonts w:ascii="宋体" w:hAnsi="宋体" w:cs="宋体" w:eastAsia="宋体" w:hint="default"/>
          <w:spacing w:val="-2"/>
          <w:sz w:val="18"/>
          <w:szCs w:val="18"/>
        </w:rPr>
        <w:t>报告期内，公司及部分子公司依法享受了国家高新技术企业和软件企业的所得税优惠、软件产品的增值税优惠政策。根</w:t>
      </w:r>
    </w:p>
    <w:p>
      <w:pPr>
        <w:pStyle w:val="BodyText"/>
        <w:spacing w:line="240" w:lineRule="auto" w:before="31"/>
        <w:ind w:right="1134"/>
        <w:jc w:val="left"/>
      </w:pPr>
      <w:r>
        <w:rPr/>
        <w:t>据合并报表口径，公司及部分子公司报告期内享受的税收优惠对经营成果的影响如下表：</w:t>
      </w:r>
    </w:p>
    <w:p>
      <w:pPr>
        <w:pStyle w:val="BodyText"/>
        <w:spacing w:line="240" w:lineRule="auto" w:before="76"/>
        <w:ind w:left="5856" w:right="1130"/>
        <w:jc w:val="right"/>
      </w:pPr>
      <w:r>
        <w:rPr/>
        <w:t>单位：元</w:t>
      </w:r>
    </w:p>
    <w:p>
      <w:pPr>
        <w:spacing w:line="240" w:lineRule="auto" w:before="0"/>
        <w:rPr>
          <w:rFonts w:ascii="宋体" w:hAnsi="宋体" w:cs="宋体" w:eastAsia="宋体"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4963"/>
        <w:gridCol w:w="4672"/>
      </w:tblGrid>
      <w:tr>
        <w:trPr>
          <w:trHeight w:val="347" w:hRule="exact"/>
        </w:trPr>
        <w:tc>
          <w:tcPr>
            <w:tcW w:w="496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67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p>
        </w:tc>
      </w:tr>
      <w:tr>
        <w:trPr>
          <w:trHeight w:val="347" w:hRule="exact"/>
        </w:trPr>
        <w:tc>
          <w:tcPr>
            <w:tcW w:w="49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right="1"/>
              <w:jc w:val="center"/>
              <w:rPr>
                <w:rFonts w:ascii="Times New Roman" w:hAnsi="Times New Roman" w:cs="Times New Roman" w:eastAsia="Times New Roman" w:hint="default"/>
                <w:sz w:val="12"/>
                <w:szCs w:val="12"/>
              </w:rPr>
            </w:pPr>
            <w:r>
              <w:rPr>
                <w:rFonts w:ascii="宋体" w:hAnsi="宋体" w:cs="宋体" w:eastAsia="宋体" w:hint="default"/>
                <w:sz w:val="18"/>
                <w:szCs w:val="18"/>
              </w:rPr>
              <w:t>所得税优惠合计</w:t>
            </w:r>
            <w:r>
              <w:rPr>
                <w:rFonts w:ascii="Times New Roman" w:hAnsi="Times New Roman" w:cs="Times New Roman" w:eastAsia="Times New Roman" w:hint="default"/>
                <w:position w:val="8"/>
                <w:sz w:val="12"/>
                <w:szCs w:val="12"/>
              </w:rPr>
              <w:t>01</w:t>
            </w:r>
            <w:r>
              <w:rPr>
                <w:rFonts w:ascii="Times New Roman" w:hAnsi="Times New Roman" w:cs="Times New Roman" w:eastAsia="Times New Roman" w:hint="default"/>
                <w:sz w:val="12"/>
                <w:szCs w:val="12"/>
              </w:rPr>
            </w:r>
          </w:p>
        </w:tc>
        <w:tc>
          <w:tcPr>
            <w:tcW w:w="46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12,181,295.71</w:t>
            </w:r>
          </w:p>
        </w:tc>
      </w:tr>
      <w:tr>
        <w:trPr>
          <w:trHeight w:val="347" w:hRule="exact"/>
        </w:trPr>
        <w:tc>
          <w:tcPr>
            <w:tcW w:w="49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增值税返还</w:t>
            </w:r>
          </w:p>
        </w:tc>
        <w:tc>
          <w:tcPr>
            <w:tcW w:w="46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19,339,558.58</w:t>
            </w:r>
          </w:p>
        </w:tc>
      </w:tr>
      <w:tr>
        <w:trPr>
          <w:trHeight w:val="348" w:hRule="exact"/>
        </w:trPr>
        <w:tc>
          <w:tcPr>
            <w:tcW w:w="49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税收优惠合计</w:t>
            </w:r>
          </w:p>
        </w:tc>
        <w:tc>
          <w:tcPr>
            <w:tcW w:w="46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Times New Roman" w:hAnsi="Times New Roman" w:cs="Times New Roman" w:eastAsia="Times New Roman" w:hint="default"/>
                <w:sz w:val="18"/>
                <w:szCs w:val="18"/>
              </w:rPr>
            </w:pPr>
            <w:r>
              <w:rPr>
                <w:rFonts w:ascii="Times New Roman"/>
                <w:sz w:val="18"/>
              </w:rPr>
              <w:t>31,520,854.29</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2"/>
        <w:rPr>
          <w:rFonts w:ascii="宋体" w:hAnsi="宋体" w:cs="宋体" w:eastAsia="宋体" w:hint="default"/>
          <w:sz w:val="2"/>
          <w:szCs w:val="2"/>
        </w:rPr>
      </w:pPr>
    </w:p>
    <w:tbl>
      <w:tblPr>
        <w:tblW w:w="0" w:type="auto"/>
        <w:jc w:val="left"/>
        <w:tblInd w:w="106" w:type="dxa"/>
        <w:tblLayout w:type="fixed"/>
        <w:tblCellMar>
          <w:top w:w="0" w:type="dxa"/>
          <w:left w:w="0" w:type="dxa"/>
          <w:bottom w:w="0" w:type="dxa"/>
          <w:right w:w="0" w:type="dxa"/>
        </w:tblCellMar>
        <w:tblLook w:val="01E0"/>
      </w:tblPr>
      <w:tblGrid>
        <w:gridCol w:w="4963"/>
        <w:gridCol w:w="4672"/>
      </w:tblGrid>
      <w:tr>
        <w:trPr>
          <w:trHeight w:val="335" w:hRule="exact"/>
        </w:trPr>
        <w:tc>
          <w:tcPr>
            <w:tcW w:w="4963" w:type="dxa"/>
            <w:tcBorders>
              <w:top w:val="single" w:sz="6" w:space="0" w:color="000000"/>
              <w:left w:val="nil" w:sz="6" w:space="0" w:color="auto"/>
              <w:bottom w:val="single" w:sz="6" w:space="0" w:color="000000"/>
              <w:right w:val="nil" w:sz="6" w:space="0" w:color="auto"/>
            </w:tcBorders>
          </w:tcPr>
          <w:p>
            <w:pPr/>
          </w:p>
        </w:tc>
        <w:tc>
          <w:tcPr>
            <w:tcW w:w="4672" w:type="dxa"/>
            <w:tcBorders>
              <w:top w:val="single" w:sz="6" w:space="0" w:color="000000"/>
              <w:left w:val="nil" w:sz="6" w:space="0" w:color="auto"/>
              <w:bottom w:val="single" w:sz="6" w:space="0" w:color="000000"/>
              <w:right w:val="nil" w:sz="6" w:space="0" w:color="auto"/>
            </w:tcBorders>
          </w:tcPr>
          <w:p>
            <w:pPr/>
          </w:p>
        </w:tc>
      </w:tr>
      <w:tr>
        <w:trPr>
          <w:trHeight w:val="348" w:hRule="exact"/>
        </w:trPr>
        <w:tc>
          <w:tcPr>
            <w:tcW w:w="496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137" w:right="0"/>
              <w:jc w:val="left"/>
              <w:rPr>
                <w:rFonts w:ascii="宋体" w:hAnsi="宋体" w:cs="宋体" w:eastAsia="宋体" w:hint="default"/>
                <w:sz w:val="18"/>
                <w:szCs w:val="18"/>
              </w:rPr>
            </w:pPr>
            <w:r>
              <w:rPr>
                <w:rFonts w:ascii="宋体" w:hAnsi="宋体" w:cs="宋体" w:eastAsia="宋体" w:hint="default"/>
                <w:sz w:val="18"/>
                <w:szCs w:val="18"/>
              </w:rPr>
              <w:t>税收优惠占利润总额的比例（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6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20.87%</w:t>
            </w:r>
          </w:p>
        </w:tc>
      </w:tr>
    </w:tbl>
    <w:p>
      <w:pPr>
        <w:pStyle w:val="BodyText"/>
        <w:spacing w:line="300" w:lineRule="auto" w:before="10"/>
        <w:ind w:left="474" w:right="1032" w:hanging="360"/>
        <w:jc w:val="left"/>
      </w:pPr>
      <w:r>
        <w:rPr/>
        <w:t>注</w:t>
      </w:r>
      <w:r>
        <w:rPr>
          <w:rFonts w:ascii="Times New Roman" w:hAnsi="Times New Roman" w:cs="Times New Roman" w:eastAsia="Times New Roman" w:hint="default"/>
        </w:rPr>
        <w:t>01</w:t>
      </w:r>
      <w:r>
        <w:rPr/>
        <w:t>：公司实际适用的企业所得税税率与</w:t>
      </w:r>
      <w:r>
        <w:rPr>
          <w:rFonts w:ascii="Times New Roman" w:hAnsi="Times New Roman" w:cs="Times New Roman" w:eastAsia="Times New Roman" w:hint="default"/>
        </w:rPr>
        <w:t>25%</w:t>
      </w:r>
      <w:r>
        <w:rPr/>
        <w:t>的税率相比较。 如果国家调整相关税收支持政策，或公司由于无法继续保持国家高新技术企业身份等原因无法继续享受相关优惠政策，</w:t>
      </w:r>
    </w:p>
    <w:p>
      <w:pPr>
        <w:pStyle w:val="BodyText"/>
        <w:spacing w:line="319" w:lineRule="auto" w:before="31"/>
        <w:ind w:left="114" w:right="1032"/>
        <w:jc w:val="left"/>
      </w:pPr>
      <w:r>
        <w:rPr>
          <w:spacing w:val="-2"/>
        </w:rPr>
        <w:t>则有可能提高公司的税负，从而给公司业绩带来不利影响。公司将不断发展主营业务，提高经营业绩，逐步降低对税收优惠</w:t>
      </w:r>
      <w:r>
        <w:rPr>
          <w:spacing w:val="-66"/>
        </w:rPr>
        <w:t> </w:t>
      </w:r>
      <w:r>
        <w:rPr>
          <w:spacing w:val="-66"/>
        </w:rPr>
      </w:r>
      <w:r>
        <w:rPr/>
        <w:t>政策的依赖。</w:t>
      </w:r>
    </w:p>
    <w:p>
      <w:pPr>
        <w:pStyle w:val="BodyText"/>
        <w:spacing w:line="340" w:lineRule="auto" w:before="17"/>
        <w:ind w:left="474" w:right="1032"/>
        <w:jc w:val="left"/>
      </w:pPr>
      <w:r>
        <w:rPr>
          <w:rFonts w:ascii="Times New Roman" w:hAnsi="Times New Roman" w:cs="Times New Roman" w:eastAsia="Times New Roman" w:hint="default"/>
          <w:b/>
          <w:bCs/>
        </w:rPr>
        <w:t>6</w:t>
      </w:r>
      <w:r>
        <w:rPr>
          <w:rFonts w:ascii="宋体" w:hAnsi="宋体" w:cs="宋体" w:eastAsia="宋体" w:hint="default"/>
          <w:b/>
          <w:bCs/>
        </w:rPr>
        <w:t>、商誉减值风险及对策</w:t>
      </w:r>
      <w:r>
        <w:rPr>
          <w:rFonts w:ascii="宋体" w:hAnsi="宋体" w:cs="宋体" w:eastAsia="宋体" w:hint="default"/>
          <w:b/>
          <w:bCs/>
          <w:w w:val="99"/>
        </w:rPr>
        <w:t> </w:t>
      </w:r>
      <w:r>
        <w:rPr>
          <w:spacing w:val="-2"/>
        </w:rPr>
        <w:t>由于公司的对外投资并购，在合并资产负债表中形成一定金额的商誉，如未来通过并购吸收的有关子公司业绩达不到预</w:t>
      </w:r>
    </w:p>
    <w:p>
      <w:pPr>
        <w:pStyle w:val="BodyText"/>
        <w:spacing w:line="319" w:lineRule="auto"/>
        <w:ind w:left="114" w:right="1032"/>
        <w:jc w:val="left"/>
      </w:pPr>
      <w:r>
        <w:rPr>
          <w:spacing w:val="-4"/>
        </w:rPr>
        <w:t>期，可能出现计提商誉减值的风险。针对此风险，公司将加强子公司管理，在业务方面整体筹划，和被并购的公司协同发展；</w:t>
      </w:r>
      <w:r>
        <w:rPr>
          <w:spacing w:val="-44"/>
        </w:rPr>
        <w:t> </w:t>
      </w:r>
      <w:r>
        <w:rPr>
          <w:spacing w:val="-44"/>
        </w:rPr>
      </w:r>
      <w:r>
        <w:rPr>
          <w:spacing w:val="-2"/>
        </w:rPr>
        <w:t>加强被并购企业管理，输出品牌、技术、资金等资源，强化战略规划、预算、目标、绩效等管理手段，加强对被并购企业之</w:t>
      </w:r>
      <w:r>
        <w:rPr>
          <w:spacing w:val="-67"/>
        </w:rPr>
        <w:t> </w:t>
      </w:r>
      <w:r>
        <w:rPr>
          <w:spacing w:val="-67"/>
        </w:rPr>
      </w:r>
      <w:r>
        <w:rPr>
          <w:spacing w:val="-2"/>
        </w:rPr>
        <w:t>间的人员培训、交流、学习；财务方面，协助被并购企业搭建符合上市公司标准的财务管理体系；并在技术、业务、客户等</w:t>
      </w:r>
      <w:r>
        <w:rPr>
          <w:spacing w:val="-71"/>
        </w:rPr>
        <w:t> </w:t>
      </w:r>
      <w:r>
        <w:rPr>
          <w:spacing w:val="-71"/>
        </w:rPr>
      </w:r>
      <w:r>
        <w:rPr/>
        <w:t>方面进行资源整合，提高被并购公司的盈利水平，保障并购子公司稳健发展。</w:t>
      </w:r>
    </w:p>
    <w:p>
      <w:pPr>
        <w:pStyle w:val="BodyText"/>
        <w:spacing w:line="338" w:lineRule="auto" w:before="56"/>
        <w:ind w:left="548" w:right="1032" w:hanging="75"/>
        <w:jc w:val="left"/>
      </w:pPr>
      <w:r>
        <w:rPr>
          <w:rFonts w:ascii="Times New Roman" w:hAnsi="Times New Roman" w:cs="Times New Roman" w:eastAsia="Times New Roman" w:hint="default"/>
          <w:b/>
          <w:bCs/>
        </w:rPr>
        <w:t>7</w:t>
      </w:r>
      <w:r>
        <w:rPr>
          <w:rFonts w:ascii="宋体" w:hAnsi="宋体" w:cs="宋体" w:eastAsia="宋体" w:hint="default"/>
          <w:b/>
          <w:bCs/>
        </w:rPr>
        <w:t>、应收账款回收风险</w:t>
      </w:r>
      <w:r>
        <w:rPr>
          <w:rFonts w:ascii="宋体" w:hAnsi="宋体" w:cs="宋体" w:eastAsia="宋体" w:hint="default"/>
          <w:b/>
          <w:bCs/>
          <w:w w:val="99"/>
        </w:rPr>
        <w:t> </w:t>
      </w:r>
      <w:r>
        <w:rPr/>
        <w:t>随着公司业务规模的扩大特别是海外业务的增长，公司应收账款余额逐步增加，尽管公司下游客户多为大型快递企业</w:t>
      </w:r>
    </w:p>
    <w:p>
      <w:pPr>
        <w:pStyle w:val="BodyText"/>
        <w:spacing w:line="319" w:lineRule="auto" w:before="2"/>
        <w:ind w:left="114" w:right="1032"/>
        <w:jc w:val="left"/>
      </w:pPr>
      <w:r>
        <w:rPr>
          <w:spacing w:val="-2"/>
        </w:rPr>
        <w:t>和电商、零售企业，资金实力雄厚，信用情况良好，应收账款可回收性较强，但如果未来市场环境发生剧烈变动，下游客户</w:t>
      </w:r>
      <w:r>
        <w:rPr>
          <w:spacing w:val="-68"/>
        </w:rPr>
        <w:t> </w:t>
      </w:r>
      <w:r>
        <w:rPr>
          <w:spacing w:val="-68"/>
        </w:rPr>
      </w:r>
      <w:r>
        <w:rPr/>
        <w:t>的经营状况可能发生重大不利变化，可能出现现金流紧张而支付困难的情形，则会导致公司存在一定的应收账款回收风险。</w:t>
      </w:r>
    </w:p>
    <w:p>
      <w:pPr>
        <w:spacing w:line="240" w:lineRule="auto" w:before="6"/>
        <w:rPr>
          <w:rFonts w:ascii="宋体" w:hAnsi="宋体" w:cs="宋体" w:eastAsia="宋体" w:hint="default"/>
          <w:sz w:val="20"/>
          <w:szCs w:val="20"/>
        </w:rPr>
      </w:pPr>
    </w:p>
    <w:p>
      <w:pPr>
        <w:pStyle w:val="Heading2"/>
        <w:spacing w:line="240" w:lineRule="auto"/>
        <w:ind w:left="114" w:right="1032"/>
        <w:jc w:val="left"/>
        <w:rPr>
          <w:b w:val="0"/>
          <w:bCs w:val="0"/>
        </w:rPr>
      </w:pPr>
      <w:bookmarkStart w:name="十、接待调研、沟通、采访等活动登记表" w:id="59"/>
      <w:bookmarkEnd w:id="59"/>
      <w:r>
        <w:rPr>
          <w:b w:val="0"/>
          <w:bCs w:val="0"/>
        </w:rPr>
      </w:r>
      <w:r>
        <w:rPr/>
        <w:t>十、接待调研、沟通、采访等活动登记表</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left="114" w:right="1032"/>
        <w:jc w:val="left"/>
        <w:rPr>
          <w:b w:val="0"/>
          <w:bCs w:val="0"/>
        </w:rPr>
      </w:pPr>
      <w:bookmarkStart w:name="1、报告期内接待调研、沟通、采访等活动登记表" w:id="60"/>
      <w:bookmarkEnd w:id="60"/>
      <w:r>
        <w:rPr>
          <w:b w:val="0"/>
          <w:bCs w:val="0"/>
        </w:rPr>
      </w:r>
      <w:r>
        <w:rPr>
          <w:rFonts w:ascii="Times New Roman" w:hAnsi="Times New Roman" w:cs="Times New Roman" w:eastAsia="Times New Roman" w:hint="default"/>
        </w:rPr>
        <w:t>1</w:t>
      </w:r>
      <w:r>
        <w:rPr/>
        <w:t>、报告期内接待调研、沟通、采访等活动登记表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114" w:right="10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6"/>
          <w:szCs w:val="6"/>
        </w:rPr>
      </w:pPr>
    </w:p>
    <w:tbl>
      <w:tblPr>
        <w:tblW w:w="0" w:type="auto"/>
        <w:jc w:val="left"/>
        <w:tblInd w:w="109" w:type="dxa"/>
        <w:tblLayout w:type="fixed"/>
        <w:tblCellMar>
          <w:top w:w="0" w:type="dxa"/>
          <w:left w:w="0" w:type="dxa"/>
          <w:bottom w:w="0" w:type="dxa"/>
          <w:right w:w="0" w:type="dxa"/>
        </w:tblCellMar>
        <w:tblLook w:val="01E0"/>
      </w:tblPr>
      <w:tblGrid>
        <w:gridCol w:w="1702"/>
        <w:gridCol w:w="992"/>
        <w:gridCol w:w="1276"/>
        <w:gridCol w:w="5600"/>
      </w:tblGrid>
      <w:tr>
        <w:trPr>
          <w:trHeight w:val="402"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5" w:right="0"/>
              <w:jc w:val="left"/>
              <w:rPr>
                <w:rFonts w:ascii="宋体" w:hAnsi="宋体" w:cs="宋体" w:eastAsia="宋体" w:hint="default"/>
                <w:sz w:val="18"/>
                <w:szCs w:val="18"/>
              </w:rPr>
            </w:pPr>
            <w:r>
              <w:rPr>
                <w:rFonts w:ascii="宋体" w:hAnsi="宋体" w:cs="宋体" w:eastAsia="宋体" w:hint="default"/>
                <w:sz w:val="18"/>
                <w:szCs w:val="18"/>
              </w:rPr>
              <w:t>接待时间</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0" w:right="0"/>
              <w:jc w:val="left"/>
              <w:rPr>
                <w:rFonts w:ascii="宋体" w:hAnsi="宋体" w:cs="宋体" w:eastAsia="宋体" w:hint="default"/>
                <w:sz w:val="18"/>
                <w:szCs w:val="18"/>
              </w:rPr>
            </w:pPr>
            <w:r>
              <w:rPr>
                <w:rFonts w:ascii="宋体" w:hAnsi="宋体" w:cs="宋体" w:eastAsia="宋体" w:hint="default"/>
                <w:sz w:val="18"/>
                <w:szCs w:val="18"/>
              </w:rPr>
              <w:t>接待方式</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56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个人</w:t>
            </w:r>
          </w:p>
        </w:tc>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43">
              <w:r>
                <w:rPr>
                  <w:rFonts w:ascii="Times New Roman"/>
                  <w:sz w:val="18"/>
                </w:rPr>
                <w:t>http://static.cninfo.com.cn/finalpage/2018-05-10/1204929452.DOC</w:t>
              </w:r>
            </w:hyperlink>
          </w:p>
        </w:tc>
      </w:tr>
      <w:tr>
        <w:trPr>
          <w:trHeight w:val="402"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5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hyperlink r:id="rId44">
              <w:r>
                <w:rPr>
                  <w:rFonts w:ascii="Times New Roman"/>
                  <w:sz w:val="18"/>
                </w:rPr>
                <w:t>http://static.cninfo.com.cn/finalpage/2018-11-05/1205582461.DOC</w:t>
              </w:r>
            </w:hyperlink>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1020" w:right="0"/>
        </w:sectPr>
      </w:pPr>
    </w:p>
    <w:p>
      <w:pPr>
        <w:spacing w:line="240" w:lineRule="auto" w:before="12"/>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7pt;height:.75pt;mso-position-horizontal-relative:char;mso-position-vertical-relative:line" coordorigin="0,0" coordsize="9714,15">
            <v:group style="position:absolute;left:7;top:7;width:9700;height:2" coordorigin="7,7" coordsize="9700,2">
              <v:shape style="position:absolute;left:7;top:7;width:9700;height:2" coordorigin="7,7" coordsize="9700,0" path="m7,7l9707,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pStyle w:val="Heading1"/>
        <w:spacing w:line="240" w:lineRule="auto"/>
        <w:ind w:right="1473"/>
        <w:jc w:val="center"/>
        <w:rPr>
          <w:b w:val="0"/>
          <w:bCs w:val="0"/>
        </w:rPr>
      </w:pPr>
      <w:bookmarkStart w:name="第五节 重要事项" w:id="61"/>
      <w:bookmarkEnd w:id="61"/>
      <w:r>
        <w:rPr>
          <w:b w:val="0"/>
          <w:bCs w:val="0"/>
        </w:rPr>
      </w:r>
      <w:bookmarkStart w:name="_bookmark4" w:id="62"/>
      <w:bookmarkEnd w:id="62"/>
      <w:r>
        <w:rPr>
          <w:b w:val="0"/>
          <w:bCs w:val="0"/>
        </w:rPr>
      </w:r>
      <w:r>
        <w:rPr/>
        <w:t>第五节</w:t>
      </w:r>
      <w:r>
        <w:rPr>
          <w:spacing w:val="-5"/>
        </w:rPr>
        <w:t> </w:t>
      </w:r>
      <w:r>
        <w:rPr/>
        <w:t>重要事项</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0"/>
        <w:jc w:val="both"/>
        <w:rPr>
          <w:b w:val="0"/>
          <w:bCs w:val="0"/>
        </w:rPr>
      </w:pPr>
      <w:bookmarkStart w:name="一、公司普通股利润分配及资本公积金转增股本情况" w:id="63"/>
      <w:bookmarkEnd w:id="63"/>
      <w:r>
        <w:rPr>
          <w:b w:val="0"/>
          <w:bCs w:val="0"/>
        </w:rPr>
      </w:r>
      <w:r>
        <w:rPr/>
        <w:t>一、公司普通股利润分配及资本公积金转增股本情况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0"/>
        <w:jc w:val="both"/>
      </w:pPr>
      <w:r>
        <w:rPr/>
        <w:t>报告期内普通股利润分配政策，特别是现金分红政策的制定、执行或调整情况</w:t>
      </w:r>
    </w:p>
    <w:p>
      <w:pPr>
        <w:pStyle w:val="BodyText"/>
        <w:spacing w:line="338" w:lineRule="auto" w:before="117"/>
        <w:ind w:left="514" w:right="1118" w:hanging="3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w:t>
      </w:r>
      <w:r>
        <w:rPr>
          <w:spacing w:val="-2"/>
        </w:rPr>
        <w:t>报告期内，公司严格按照《公司章程》和现金分红政策的有关规定实施公司的利润分配方案，相关审议程序和决策机制</w:t>
      </w:r>
    </w:p>
    <w:p>
      <w:pPr>
        <w:pStyle w:val="BodyText"/>
        <w:spacing w:line="319" w:lineRule="auto" w:before="2"/>
        <w:ind w:right="1131"/>
        <w:jc w:val="both"/>
      </w:pPr>
      <w:r>
        <w:rPr>
          <w:spacing w:val="-2"/>
        </w:rPr>
        <w:t>完备。公司分配预案拟定和决策时，独立董事尽职履责并发挥了应有的作用，公司也听取了中小股东的意见和诉求，相关的</w:t>
      </w:r>
      <w:r>
        <w:rPr>
          <w:spacing w:val="-66"/>
        </w:rPr>
        <w:t> </w:t>
      </w:r>
      <w:r>
        <w:rPr>
          <w:spacing w:val="-66"/>
        </w:rPr>
      </w:r>
      <w:r>
        <w:rPr>
          <w:spacing w:val="-2"/>
        </w:rPr>
        <w:t>议案经由董事会、监事会审议过后提交股东大会审议，并由独立董事发表独立意见，审议通过后在规定时间内进行实施，切</w:t>
      </w:r>
      <w:r>
        <w:rPr>
          <w:spacing w:val="-66"/>
        </w:rPr>
        <w:t> </w:t>
      </w:r>
      <w:r>
        <w:rPr>
          <w:spacing w:val="-66"/>
        </w:rPr>
      </w:r>
      <w:r>
        <w:rPr/>
        <w:t>实保证了全体股东的利益。</w:t>
      </w:r>
    </w:p>
    <w:p>
      <w:pPr>
        <w:pStyle w:val="BodyText"/>
        <w:spacing w:line="300" w:lineRule="auto" w:before="55"/>
        <w:ind w:right="0" w:firstLine="360"/>
        <w:jc w:val="left"/>
      </w:pP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15</w:t>
      </w:r>
      <w:r>
        <w:rPr>
          <w:spacing w:val="-2"/>
        </w:rPr>
        <w:t>日，经公司</w:t>
      </w:r>
      <w:r>
        <w:rPr>
          <w:rFonts w:ascii="Times New Roman" w:hAnsi="Times New Roman" w:cs="Times New Roman" w:eastAsia="Times New Roman" w:hint="default"/>
          <w:spacing w:val="-2"/>
        </w:rPr>
        <w:t>2017</w:t>
      </w:r>
      <w:r>
        <w:rPr>
          <w:spacing w:val="-2"/>
        </w:rPr>
        <w:t>年度股东大会审议批准，公司</w:t>
      </w:r>
      <w:r>
        <w:rPr>
          <w:rFonts w:ascii="Times New Roman" w:hAnsi="Times New Roman" w:cs="Times New Roman" w:eastAsia="Times New Roman" w:hint="default"/>
          <w:spacing w:val="-2"/>
        </w:rPr>
        <w:t>2017</w:t>
      </w:r>
      <w:r>
        <w:rPr>
          <w:spacing w:val="-2"/>
        </w:rPr>
        <w:t>年权益分派方案为：以公司总股本</w:t>
      </w:r>
      <w:r>
        <w:rPr>
          <w:rFonts w:ascii="Times New Roman" w:hAnsi="Times New Roman" w:cs="Times New Roman" w:eastAsia="Times New Roman" w:hint="default"/>
          <w:spacing w:val="-2"/>
        </w:rPr>
        <w:t>280,000,000</w:t>
      </w:r>
      <w:r>
        <w:rPr>
          <w:spacing w:val="-2"/>
        </w:rPr>
        <w:t>股为基数，</w:t>
      </w:r>
      <w:r>
        <w:rPr/>
        <w:t> 向全体股东每</w:t>
      </w:r>
      <w:r>
        <w:rPr>
          <w:rFonts w:ascii="Times New Roman" w:hAnsi="Times New Roman" w:cs="Times New Roman" w:eastAsia="Times New Roman" w:hint="default"/>
        </w:rPr>
        <w:t>10</w:t>
      </w:r>
      <w:r>
        <w:rPr/>
        <w:t>股派</w:t>
      </w:r>
      <w:r>
        <w:rPr>
          <w:rFonts w:ascii="Times New Roman" w:hAnsi="Times New Roman" w:cs="Times New Roman" w:eastAsia="Times New Roman" w:hint="default"/>
        </w:rPr>
        <w:t>0.2</w:t>
      </w:r>
      <w:r>
        <w:rPr/>
        <w:t>元人民币现金（含税），本次利润分配不送红股，不以资本公积金转增股本。上述方案已于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 </w:t>
      </w:r>
      <w:r>
        <w:rPr/>
        <w:t>月</w:t>
      </w:r>
      <w:r>
        <w:rPr>
          <w:rFonts w:ascii="Times New Roman" w:hAnsi="Times New Roman" w:cs="Times New Roman" w:eastAsia="Times New Roman" w:hint="default"/>
        </w:rPr>
        <w:t>24</w:t>
      </w:r>
      <w:r>
        <w:rPr/>
        <w:t>日实施完毕。</w:t>
      </w:r>
    </w:p>
    <w:p>
      <w:pPr>
        <w:spacing w:line="240" w:lineRule="auto" w:before="3"/>
        <w:rPr>
          <w:rFonts w:ascii="宋体" w:hAnsi="宋体" w:cs="宋体" w:eastAsia="宋体" w:hint="default"/>
          <w:sz w:val="3"/>
          <w:szCs w:val="3"/>
        </w:rPr>
      </w:pPr>
    </w:p>
    <w:tbl>
      <w:tblPr>
        <w:tblW w:w="0" w:type="auto"/>
        <w:jc w:val="left"/>
        <w:tblInd w:w="160" w:type="dxa"/>
        <w:tblLayout w:type="fixed"/>
        <w:tblCellMar>
          <w:top w:w="0" w:type="dxa"/>
          <w:left w:w="0" w:type="dxa"/>
          <w:bottom w:w="0" w:type="dxa"/>
          <w:right w:w="0" w:type="dxa"/>
        </w:tblCellMar>
        <w:tblLook w:val="01E0"/>
      </w:tblPr>
      <w:tblGrid>
        <w:gridCol w:w="6641"/>
        <w:gridCol w:w="2916"/>
      </w:tblGrid>
      <w:tr>
        <w:trPr>
          <w:trHeight w:val="402"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0"/>
              <w:jc w:val="center"/>
              <w:rPr>
                <w:rFonts w:ascii="宋体" w:hAnsi="宋体" w:cs="宋体" w:eastAsia="宋体" w:hint="default"/>
                <w:sz w:val="18"/>
                <w:szCs w:val="18"/>
              </w:rPr>
            </w:pPr>
            <w:r>
              <w:rPr>
                <w:rFonts w:ascii="宋体" w:hAnsi="宋体" w:cs="宋体" w:eastAsia="宋体" w:hint="default"/>
                <w:sz w:val="18"/>
                <w:szCs w:val="18"/>
              </w:rPr>
              <w:t>现金分红政策的专项说明</w:t>
            </w:r>
          </w:p>
        </w:tc>
      </w:tr>
      <w:tr>
        <w:trPr>
          <w:trHeight w:val="402" w:hRule="exact"/>
        </w:trPr>
        <w:tc>
          <w:tcPr>
            <w:tcW w:w="66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是否符合公司章程的规定或股东大会决议的要求：</w:t>
            </w:r>
          </w:p>
        </w:tc>
        <w:tc>
          <w:tcPr>
            <w:tcW w:w="2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66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分红标准和比例是否明确和清晰：</w:t>
            </w:r>
          </w:p>
        </w:tc>
        <w:tc>
          <w:tcPr>
            <w:tcW w:w="2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66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相关的决策程序和机制是否完备：</w:t>
            </w:r>
          </w:p>
        </w:tc>
        <w:tc>
          <w:tcPr>
            <w:tcW w:w="2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66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独立董事是否履职尽责并发挥了应有的作用：</w:t>
            </w:r>
          </w:p>
        </w:tc>
        <w:tc>
          <w:tcPr>
            <w:tcW w:w="2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66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中小股东是否有充分表达意见和诉求的机会，其合法权益是否得到了充分保护：</w:t>
            </w:r>
          </w:p>
        </w:tc>
        <w:tc>
          <w:tcPr>
            <w:tcW w:w="2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66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现金分红政策进行调整或变更的，条件及程序是否合规、透明：</w:t>
            </w:r>
          </w:p>
        </w:tc>
        <w:tc>
          <w:tcPr>
            <w:tcW w:w="2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pStyle w:val="BodyText"/>
        <w:spacing w:line="240" w:lineRule="auto" w:before="51"/>
        <w:ind w:right="1134"/>
        <w:jc w:val="left"/>
      </w:pPr>
      <w:r>
        <w:rPr/>
        <w:t>公司报告期利润分配预案及资本公积金转增股本预案与公司章程和分红管理办法等的相关规定一致</w:t>
      </w:r>
    </w:p>
    <w:p>
      <w:pPr>
        <w:pStyle w:val="BodyText"/>
        <w:spacing w:line="348" w:lineRule="auto" w:before="117"/>
        <w:ind w:right="427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 </w:t>
      </w:r>
      <w:r>
        <w:rPr/>
        <w:t>否 </w:t>
      </w:r>
      <w:r>
        <w:rPr>
          <w:rFonts w:ascii="Times New Roman" w:hAnsi="Times New Roman" w:cs="Times New Roman" w:eastAsia="Times New Roman" w:hint="default"/>
        </w:rPr>
        <w:t>□</w:t>
      </w:r>
      <w:r>
        <w:rPr>
          <w:rFonts w:ascii="Times New Roman" w:hAnsi="Times New Roman" w:cs="Times New Roman" w:eastAsia="Times New Roman" w:hint="default"/>
          <w:spacing w:val="43"/>
        </w:rPr>
        <w:t> </w:t>
      </w:r>
      <w:r>
        <w:rPr/>
        <w:t>不适用 公司报告期利润分配预案及资本公积金转增股本预案符合公司章程等的相关规定。 本年度利润分配及资本公积金转增股本情况</w:t>
      </w:r>
    </w:p>
    <w:p>
      <w:pPr>
        <w:spacing w:line="240" w:lineRule="auto" w:before="0"/>
        <w:rPr>
          <w:rFonts w:ascii="宋体" w:hAnsi="宋体" w:cs="宋体" w:eastAsia="宋体" w:hint="default"/>
          <w:sz w:val="2"/>
          <w:szCs w:val="2"/>
        </w:rPr>
      </w:pPr>
    </w:p>
    <w:tbl>
      <w:tblPr>
        <w:tblW w:w="0" w:type="auto"/>
        <w:jc w:val="left"/>
        <w:tblInd w:w="160" w:type="dxa"/>
        <w:tblLayout w:type="fixed"/>
        <w:tblCellMar>
          <w:top w:w="0" w:type="dxa"/>
          <w:left w:w="0" w:type="dxa"/>
          <w:bottom w:w="0" w:type="dxa"/>
          <w:right w:w="0" w:type="dxa"/>
        </w:tblCellMar>
        <w:tblLook w:val="01E0"/>
      </w:tblPr>
      <w:tblGrid>
        <w:gridCol w:w="4798"/>
        <w:gridCol w:w="4760"/>
      </w:tblGrid>
      <w:tr>
        <w:trPr>
          <w:trHeight w:val="402" w:hRule="exact"/>
        </w:trPr>
        <w:tc>
          <w:tcPr>
            <w:tcW w:w="4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476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w:t>
            </w:r>
            <w:r>
              <w:rPr>
                <w:rFonts w:ascii="宋体" w:hAnsi="宋体" w:cs="宋体" w:eastAsia="宋体" w:hint="default"/>
                <w:spacing w:val="1"/>
                <w:sz w:val="18"/>
                <w:szCs w:val="18"/>
              </w:rPr>
              <w:t>数</w:t>
            </w: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476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0.30</w:t>
            </w:r>
          </w:p>
        </w:tc>
      </w:tr>
      <w:tr>
        <w:trPr>
          <w:trHeight w:val="402" w:hRule="exact"/>
        </w:trPr>
        <w:tc>
          <w:tcPr>
            <w:tcW w:w="4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476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476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280,000,000</w:t>
            </w:r>
          </w:p>
        </w:tc>
      </w:tr>
      <w:tr>
        <w:trPr>
          <w:trHeight w:val="402" w:hRule="exact"/>
        </w:trPr>
        <w:tc>
          <w:tcPr>
            <w:tcW w:w="4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现金分红金额（元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476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8,400,000.00</w:t>
            </w:r>
          </w:p>
        </w:tc>
      </w:tr>
      <w:tr>
        <w:trPr>
          <w:trHeight w:val="402" w:hRule="exact"/>
        </w:trPr>
        <w:tc>
          <w:tcPr>
            <w:tcW w:w="4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以其他方式（如回购股份）现金分红金额（元）</w:t>
            </w:r>
          </w:p>
        </w:tc>
        <w:tc>
          <w:tcPr>
            <w:tcW w:w="476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4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现金分红总额（含其他方式</w:t>
            </w:r>
            <w:r>
              <w:rPr>
                <w:rFonts w:ascii="宋体" w:hAnsi="宋体" w:cs="宋体" w:eastAsia="宋体" w:hint="default"/>
                <w:spacing w:val="-90"/>
                <w:sz w:val="18"/>
                <w:szCs w:val="18"/>
              </w:rPr>
              <w:t>）</w:t>
            </w:r>
            <w:r>
              <w:rPr>
                <w:rFonts w:ascii="宋体" w:hAnsi="宋体" w:cs="宋体" w:eastAsia="宋体" w:hint="default"/>
                <w:sz w:val="18"/>
                <w:szCs w:val="18"/>
              </w:rPr>
              <w:t>（元）</w:t>
            </w:r>
          </w:p>
        </w:tc>
        <w:tc>
          <w:tcPr>
            <w:tcW w:w="476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4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476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7" w:hRule="exact"/>
        </w:trPr>
        <w:tc>
          <w:tcPr>
            <w:tcW w:w="4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现金分红总额（含其他方式）占利润分配总额的比例</w:t>
            </w:r>
          </w:p>
        </w:tc>
        <w:tc>
          <w:tcPr>
            <w:tcW w:w="476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396" w:hRule="exact"/>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 w:right="1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3" w:hRule="exact"/>
        </w:trPr>
        <w:tc>
          <w:tcPr>
            <w:tcW w:w="95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pacing w:val="-2"/>
                <w:sz w:val="18"/>
                <w:szCs w:val="18"/>
              </w:rPr>
              <w:t>公司发展阶段不易区分但有重大资金支出安排的，进行利润分配时，现金分红在本次利润分配中所占比例最低应达到</w:t>
            </w:r>
            <w:r>
              <w:rPr>
                <w:rFonts w:ascii="宋体" w:hAnsi="宋体" w:cs="宋体" w:eastAsia="宋体" w:hint="default"/>
                <w:spacing w:val="-1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pStyle w:val="BodyText"/>
        <w:spacing w:line="240" w:lineRule="auto"/>
        <w:ind w:left="5856" w:right="1141"/>
        <w:jc w:val="right"/>
      </w:pPr>
      <w:r>
        <w:rPr/>
        <w:pict>
          <v:shape style="position:absolute;margin-left:56.459999pt;margin-top:-69.968277pt;width:479.2pt;height:103.1pt;mso-position-horizontal-relative:page;mso-position-vertical-relative:paragraph;z-index:12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9569"/>
                  </w:tblGrid>
                  <w:tr>
                    <w:trPr>
                      <w:trHeight w:val="402" w:hRule="exact"/>
                    </w:trPr>
                    <w:tc>
                      <w:tcPr>
                        <w:tcW w:w="95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88"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1650" w:hRule="exact"/>
                    </w:trPr>
                    <w:tc>
                      <w:tcPr>
                        <w:tcW w:w="9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经大华会计师事务所（特殊普通合伙）审计，母公司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年度净利润为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49,244,224.77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元，按实现净利润的</w:t>
                        </w:r>
                        <w:r>
                          <w:rPr>
                            <w:rFonts w:ascii="宋体" w:hAnsi="宋体" w:cs="宋体" w:eastAsia="宋体" w:hint="default"/>
                            <w:spacing w:val="-1"/>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4"/>
                            <w:sz w:val="18"/>
                            <w:szCs w:val="18"/>
                          </w:rPr>
                          <w:t> </w:t>
                        </w:r>
                        <w:r>
                          <w:rPr>
                            <w:rFonts w:ascii="宋体" w:hAnsi="宋体" w:cs="宋体" w:eastAsia="宋体" w:hint="default"/>
                            <w:sz w:val="18"/>
                            <w:szCs w:val="18"/>
                          </w:rPr>
                          <w:t>提取法</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定公积金之后，截至</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年</w:t>
                        </w:r>
                        <w:r>
                          <w:rPr>
                            <w:rFonts w:ascii="宋体" w:hAnsi="宋体" w:cs="宋体" w:eastAsia="宋体" w:hint="default"/>
                            <w:spacing w:val="-5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1"/>
                            <w:sz w:val="18"/>
                            <w:szCs w:val="18"/>
                          </w:rPr>
                          <w:t> </w:t>
                        </w:r>
                        <w:r>
                          <w:rPr>
                            <w:rFonts w:ascii="宋体" w:hAnsi="宋体" w:cs="宋体" w:eastAsia="宋体" w:hint="default"/>
                            <w:sz w:val="18"/>
                            <w:szCs w:val="18"/>
                          </w:rPr>
                          <w:t>日，母公司未分配利润为</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148,059,292.80</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元。为持续回报股东，与全体股东共同分享</w:t>
                        </w:r>
                      </w:p>
                      <w:p>
                        <w:pPr>
                          <w:pStyle w:val="TableParagraph"/>
                          <w:spacing w:line="240" w:lineRule="auto" w:before="63"/>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公司发展的经营成果</w:t>
                        </w:r>
                        <w:r>
                          <w:rPr>
                            <w:rFonts w:ascii="宋体" w:hAnsi="宋体" w:cs="宋体" w:eastAsia="宋体" w:hint="default"/>
                            <w:spacing w:val="-74"/>
                            <w:sz w:val="18"/>
                            <w:szCs w:val="18"/>
                          </w:rPr>
                          <w:t>，</w:t>
                        </w: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Times New Roman" w:hAnsi="Times New Roman" w:cs="Times New Roman" w:eastAsia="Times New Roman" w:hint="default"/>
                            <w:spacing w:val="1"/>
                            <w:sz w:val="18"/>
                            <w:szCs w:val="18"/>
                          </w:rPr>
                          <w:t>2</w:t>
                        </w:r>
                        <w:r>
                          <w:rPr>
                            <w:rFonts w:ascii="Times New Roman" w:hAnsi="Times New Roman" w:cs="Times New Roman" w:eastAsia="Times New Roman" w:hint="default"/>
                            <w:sz w:val="18"/>
                            <w:szCs w:val="18"/>
                          </w:rPr>
                          <w:t>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年度利润分配拟以现有总股本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万股向全体股东按每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w:t>
                        </w:r>
                        <w:r>
                          <w:rPr>
                            <w:rFonts w:ascii="宋体" w:hAnsi="宋体" w:cs="宋体" w:eastAsia="宋体" w:hint="default"/>
                            <w:spacing w:val="1"/>
                            <w:sz w:val="18"/>
                            <w:szCs w:val="18"/>
                          </w:rPr>
                          <w:t>发</w:t>
                        </w:r>
                        <w:r>
                          <w:rPr>
                            <w:rFonts w:ascii="宋体" w:hAnsi="宋体" w:cs="宋体" w:eastAsia="宋体" w:hint="default"/>
                            <w:sz w:val="18"/>
                            <w:szCs w:val="18"/>
                          </w:rPr>
                          <w:t>现金股利人民币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0.30</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pacing w:val="-15"/>
                            <w:sz w:val="18"/>
                            <w:szCs w:val="18"/>
                          </w:rPr>
                          <w:t>元</w:t>
                        </w:r>
                        <w:r>
                          <w:rPr>
                            <w:rFonts w:ascii="宋体" w:hAnsi="宋体" w:cs="宋体" w:eastAsia="宋体" w:hint="default"/>
                            <w:sz w:val="18"/>
                            <w:szCs w:val="18"/>
                          </w:rPr>
                          <w:t>（含税</w:t>
                        </w:r>
                        <w:r>
                          <w:rPr>
                            <w:rFonts w:ascii="宋体" w:hAnsi="宋体" w:cs="宋体" w:eastAsia="宋体" w:hint="default"/>
                            <w:spacing w:val="-90"/>
                            <w:sz w:val="18"/>
                            <w:szCs w:val="18"/>
                          </w:rPr>
                          <w:t>）</w:t>
                        </w:r>
                        <w:r>
                          <w:rPr>
                            <w:rFonts w:ascii="宋体" w:hAnsi="宋体" w:cs="宋体" w:eastAsia="宋体" w:hint="default"/>
                            <w:spacing w:val="-15"/>
                            <w:sz w:val="18"/>
                            <w:szCs w:val="18"/>
                          </w:rPr>
                          <w:t>，</w:t>
                        </w:r>
                        <w:r>
                          <w:rPr>
                            <w:rFonts w:ascii="宋体" w:hAnsi="宋体" w:cs="宋体" w:eastAsia="宋体" w:hint="default"/>
                            <w:sz w:val="18"/>
                            <w:szCs w:val="18"/>
                          </w:rPr>
                          <w:t>合计派发现金股利</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8,400,000.00</w:t>
                        </w:r>
                        <w:r>
                          <w:rPr>
                            <w:rFonts w:ascii="Times New Roman" w:hAnsi="Times New Roman" w:cs="Times New Roman" w:eastAsia="Times New Roman" w:hint="default"/>
                            <w:spacing w:val="-2"/>
                            <w:sz w:val="18"/>
                            <w:szCs w:val="18"/>
                          </w:rPr>
                          <w:t> </w:t>
                        </w:r>
                        <w:r>
                          <w:rPr>
                            <w:rFonts w:ascii="宋体" w:hAnsi="宋体" w:cs="宋体" w:eastAsia="宋体" w:hint="default"/>
                            <w:spacing w:val="-15"/>
                            <w:sz w:val="18"/>
                            <w:szCs w:val="18"/>
                          </w:rPr>
                          <w:t>元</w:t>
                        </w:r>
                        <w:r>
                          <w:rPr>
                            <w:rFonts w:ascii="宋体" w:hAnsi="宋体" w:cs="宋体" w:eastAsia="宋体" w:hint="default"/>
                            <w:sz w:val="18"/>
                            <w:szCs w:val="18"/>
                          </w:rPr>
                          <w:t>（含税</w:t>
                        </w:r>
                        <w:r>
                          <w:rPr>
                            <w:rFonts w:ascii="宋体" w:hAnsi="宋体" w:cs="宋体" w:eastAsia="宋体" w:hint="default"/>
                            <w:spacing w:val="-90"/>
                            <w:sz w:val="18"/>
                            <w:szCs w:val="18"/>
                          </w:rPr>
                          <w:t>）</w:t>
                        </w:r>
                        <w:r>
                          <w:rPr>
                            <w:rFonts w:ascii="宋体" w:hAnsi="宋体" w:cs="宋体" w:eastAsia="宋体" w:hint="default"/>
                            <w:spacing w:val="-15"/>
                            <w:sz w:val="18"/>
                            <w:szCs w:val="18"/>
                          </w:rPr>
                          <w:t>，</w:t>
                        </w:r>
                        <w:r>
                          <w:rPr>
                            <w:rFonts w:ascii="宋体" w:hAnsi="宋体" w:cs="宋体" w:eastAsia="宋体" w:hint="default"/>
                            <w:sz w:val="18"/>
                            <w:szCs w:val="18"/>
                          </w:rPr>
                          <w:t>剩余未分配利润结转以后年度</w:t>
                        </w:r>
                        <w:r>
                          <w:rPr>
                            <w:rFonts w:ascii="宋体" w:hAnsi="宋体" w:cs="宋体" w:eastAsia="宋体" w:hint="default"/>
                            <w:spacing w:val="-15"/>
                            <w:sz w:val="18"/>
                            <w:szCs w:val="18"/>
                          </w:rPr>
                          <w:t>。</w:t>
                        </w:r>
                        <w:r>
                          <w:rPr>
                            <w:rFonts w:ascii="宋体" w:hAnsi="宋体" w:cs="宋体" w:eastAsia="宋体" w:hint="default"/>
                            <w:sz w:val="18"/>
                            <w:szCs w:val="18"/>
                          </w:rPr>
                          <w:t>本年度不以资本公积金转增股本</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不送红股。本利润分配预案尚需提交公司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年年度股东大会审议通过。</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pStyle w:val="BodyText"/>
        <w:spacing w:line="240" w:lineRule="auto"/>
        <w:ind w:right="1134"/>
        <w:jc w:val="left"/>
      </w:pPr>
      <w:r>
        <w:rPr/>
        <w:t>公司近</w:t>
      </w:r>
      <w:r>
        <w:rPr>
          <w:spacing w:val="-46"/>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年</w:t>
      </w:r>
      <w:r>
        <w:rPr>
          <w:spacing w:val="1"/>
        </w:rPr>
        <w:t>（</w:t>
      </w:r>
      <w:r>
        <w:rPr/>
        <w:t>包括本报告期）的普通股股利分配方案（预案</w:t>
      </w:r>
      <w:r>
        <w:rPr>
          <w:spacing w:val="-90"/>
        </w:rPr>
        <w:t>）</w:t>
      </w:r>
      <w:r>
        <w:rPr/>
        <w:t>、资本公积金转增股本方案（预案）情况</w:t>
      </w:r>
    </w:p>
    <w:p>
      <w:pPr>
        <w:pStyle w:val="BodyText"/>
        <w:spacing w:line="302" w:lineRule="auto" w:before="102"/>
        <w:ind w:right="1077" w:firstLine="361"/>
        <w:jc w:val="left"/>
      </w:pPr>
      <w:r>
        <w:rPr>
          <w:rFonts w:ascii="Times New Roman" w:hAnsi="Times New Roman" w:cs="Times New Roman" w:eastAsia="Times New Roman" w:hint="default"/>
          <w:b/>
          <w:bCs/>
        </w:rPr>
        <w:t>2016</w:t>
      </w:r>
      <w:r>
        <w:rPr>
          <w:rFonts w:ascii="宋体" w:hAnsi="宋体" w:cs="宋体" w:eastAsia="宋体" w:hint="default"/>
          <w:b/>
          <w:bCs/>
        </w:rPr>
        <w:t>年度利润分配及资本公积转增股本方案：</w:t>
      </w:r>
      <w:r>
        <w:rPr/>
        <w:t>以截止</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日的总股本</w:t>
      </w:r>
      <w:r>
        <w:rPr>
          <w:rFonts w:ascii="Times New Roman" w:hAnsi="Times New Roman" w:cs="Times New Roman" w:eastAsia="Times New Roman" w:hint="default"/>
        </w:rPr>
        <w:t>8000</w:t>
      </w:r>
      <w:r>
        <w:rPr/>
        <w:t>万股为基数，向全体股东每</w:t>
      </w:r>
      <w:r>
        <w:rPr>
          <w:rFonts w:ascii="Times New Roman" w:hAnsi="Times New Roman" w:cs="Times New Roman" w:eastAsia="Times New Roman" w:hint="default"/>
        </w:rPr>
        <w:t>10</w:t>
      </w:r>
      <w:r>
        <w:rPr/>
        <w:t>股派 发现金股利人民币</w:t>
      </w:r>
      <w:r>
        <w:rPr>
          <w:rFonts w:ascii="Times New Roman" w:hAnsi="Times New Roman" w:cs="Times New Roman" w:eastAsia="Times New Roman" w:hint="default"/>
        </w:rPr>
        <w:t>1.5</w:t>
      </w:r>
      <w:r>
        <w:rPr/>
        <w:t>元（含税）；同时以资本公积金向全体股东每</w:t>
      </w:r>
      <w:r>
        <w:rPr>
          <w:rFonts w:ascii="Times New Roman" w:hAnsi="Times New Roman" w:cs="Times New Roman" w:eastAsia="Times New Roman" w:hint="default"/>
        </w:rPr>
        <w:t>10</w:t>
      </w:r>
      <w:r>
        <w:rPr/>
        <w:t>股转增</w:t>
      </w:r>
      <w:r>
        <w:rPr>
          <w:rFonts w:ascii="Times New Roman" w:hAnsi="Times New Roman" w:cs="Times New Roman" w:eastAsia="Times New Roman" w:hint="default"/>
        </w:rPr>
        <w:t>25</w:t>
      </w:r>
      <w:r>
        <w:rPr/>
        <w:t>股。上述方案已于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23</w:t>
      </w:r>
      <w:r>
        <w:rPr/>
        <w:t>日实施完毕。</w:t>
      </w:r>
    </w:p>
    <w:p>
      <w:pPr>
        <w:spacing w:before="49"/>
        <w:ind w:left="515"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sz w:val="18"/>
          <w:szCs w:val="18"/>
        </w:rPr>
        <w:t>2017</w:t>
      </w:r>
      <w:r>
        <w:rPr>
          <w:rFonts w:ascii="宋体" w:hAnsi="宋体" w:cs="宋体" w:eastAsia="宋体" w:hint="default"/>
          <w:b/>
          <w:bCs/>
          <w:sz w:val="18"/>
          <w:szCs w:val="18"/>
        </w:rPr>
        <w:t>年度利润分配方案：</w:t>
      </w:r>
      <w:r>
        <w:rPr>
          <w:rFonts w:ascii="宋体" w:hAnsi="宋体" w:cs="宋体" w:eastAsia="宋体" w:hint="default"/>
          <w:sz w:val="18"/>
          <w:szCs w:val="18"/>
        </w:rPr>
        <w:t>以截止</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日的总股本</w:t>
      </w:r>
      <w:r>
        <w:rPr>
          <w:rFonts w:ascii="Times New Roman" w:hAnsi="Times New Roman" w:cs="Times New Roman" w:eastAsia="Times New Roman" w:hint="default"/>
          <w:sz w:val="18"/>
          <w:szCs w:val="18"/>
        </w:rPr>
        <w:t>28,000</w:t>
      </w:r>
      <w:r>
        <w:rPr>
          <w:rFonts w:ascii="宋体" w:hAnsi="宋体" w:cs="宋体" w:eastAsia="宋体" w:hint="default"/>
          <w:sz w:val="18"/>
          <w:szCs w:val="18"/>
        </w:rPr>
        <w:t>万股为基数，向全体股东每</w:t>
      </w:r>
      <w:r>
        <w:rPr>
          <w:rFonts w:ascii="Times New Roman" w:hAnsi="Times New Roman" w:cs="Times New Roman" w:eastAsia="Times New Roman" w:hint="default"/>
          <w:sz w:val="18"/>
          <w:szCs w:val="18"/>
        </w:rPr>
        <w:t>10</w:t>
      </w:r>
      <w:r>
        <w:rPr>
          <w:rFonts w:ascii="宋体" w:hAnsi="宋体" w:cs="宋体" w:eastAsia="宋体" w:hint="default"/>
          <w:sz w:val="18"/>
          <w:szCs w:val="18"/>
        </w:rPr>
        <w:t>股派发现金股利人民币</w:t>
      </w:r>
      <w:r>
        <w:rPr>
          <w:rFonts w:ascii="Times New Roman" w:hAnsi="Times New Roman" w:cs="Times New Roman" w:eastAsia="Times New Roman" w:hint="default"/>
          <w:sz w:val="18"/>
          <w:szCs w:val="18"/>
        </w:rPr>
        <w:t>0.2</w:t>
      </w:r>
    </w:p>
    <w:p>
      <w:pPr>
        <w:pStyle w:val="BodyText"/>
        <w:spacing w:line="240" w:lineRule="auto" w:before="64"/>
        <w:ind w:right="1134"/>
        <w:jc w:val="left"/>
      </w:pPr>
      <w:r>
        <w:rPr/>
        <w:t>元（含税），本次利润分配不送红股，不以资本公积金转增股本。上述方案已于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24</w:t>
      </w:r>
      <w:r>
        <w:rPr/>
        <w:t>日实施完毕。</w:t>
      </w:r>
    </w:p>
    <w:p>
      <w:pPr>
        <w:spacing w:before="102"/>
        <w:ind w:left="515"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b/>
          <w:bCs/>
          <w:sz w:val="18"/>
          <w:szCs w:val="18"/>
        </w:rPr>
        <w:t>2018</w:t>
      </w:r>
      <w:r>
        <w:rPr>
          <w:rFonts w:ascii="宋体" w:hAnsi="宋体" w:cs="宋体" w:eastAsia="宋体" w:hint="default"/>
          <w:b/>
          <w:bCs/>
          <w:sz w:val="18"/>
          <w:szCs w:val="18"/>
        </w:rPr>
        <w:t>年度利润分配预案：</w:t>
      </w:r>
      <w:r>
        <w:rPr>
          <w:rFonts w:ascii="宋体" w:hAnsi="宋体" w:cs="宋体" w:eastAsia="宋体" w:hint="default"/>
          <w:sz w:val="18"/>
          <w:szCs w:val="18"/>
        </w:rPr>
        <w:t>以截止</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日的总股本</w:t>
      </w:r>
      <w:r>
        <w:rPr>
          <w:rFonts w:ascii="Times New Roman" w:hAnsi="Times New Roman" w:cs="Times New Roman" w:eastAsia="Times New Roman" w:hint="default"/>
          <w:sz w:val="18"/>
          <w:szCs w:val="18"/>
        </w:rPr>
        <w:t>28,000</w:t>
      </w:r>
      <w:r>
        <w:rPr>
          <w:rFonts w:ascii="宋体" w:hAnsi="宋体" w:cs="宋体" w:eastAsia="宋体" w:hint="default"/>
          <w:sz w:val="18"/>
          <w:szCs w:val="18"/>
        </w:rPr>
        <w:t>万股为基数，向全体股东每</w:t>
      </w:r>
      <w:r>
        <w:rPr>
          <w:rFonts w:ascii="Times New Roman" w:hAnsi="Times New Roman" w:cs="Times New Roman" w:eastAsia="Times New Roman" w:hint="default"/>
          <w:sz w:val="18"/>
          <w:szCs w:val="18"/>
        </w:rPr>
        <w:t>10</w:t>
      </w:r>
      <w:r>
        <w:rPr>
          <w:rFonts w:ascii="宋体" w:hAnsi="宋体" w:cs="宋体" w:eastAsia="宋体" w:hint="default"/>
          <w:sz w:val="18"/>
          <w:szCs w:val="18"/>
        </w:rPr>
        <w:t>股派发现金股利人民币</w:t>
      </w:r>
      <w:r>
        <w:rPr>
          <w:rFonts w:ascii="Times New Roman" w:hAnsi="Times New Roman" w:cs="Times New Roman" w:eastAsia="Times New Roman" w:hint="default"/>
          <w:sz w:val="18"/>
          <w:szCs w:val="18"/>
        </w:rPr>
        <w:t>0.3</w:t>
      </w:r>
    </w:p>
    <w:p>
      <w:pPr>
        <w:pStyle w:val="BodyText"/>
        <w:spacing w:line="357" w:lineRule="auto" w:before="64"/>
        <w:ind w:right="5532"/>
        <w:jc w:val="left"/>
      </w:pPr>
      <w:r>
        <w:rPr/>
        <w:t>元（含税），本次利润分配不送红股，不以资本公积金转增股本。 公司近三年（包括本报告期）普通股现金分红情况表</w:t>
      </w:r>
    </w:p>
    <w:p>
      <w:pPr>
        <w:pStyle w:val="BodyText"/>
        <w:spacing w:line="240" w:lineRule="auto" w:before="28"/>
        <w:ind w:left="5856"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198"/>
        <w:gridCol w:w="1194"/>
        <w:gridCol w:w="1196"/>
        <w:gridCol w:w="1197"/>
        <w:gridCol w:w="1196"/>
        <w:gridCol w:w="1185"/>
        <w:gridCol w:w="1207"/>
        <w:gridCol w:w="1184"/>
      </w:tblGrid>
      <w:tr>
        <w:trPr>
          <w:trHeight w:val="161" w:hRule="exact"/>
        </w:trPr>
        <w:tc>
          <w:tcPr>
            <w:tcW w:w="1198" w:type="dxa"/>
            <w:vMerge w:val="restart"/>
            <w:tcBorders>
              <w:top w:val="single" w:sz="4" w:space="0" w:color="000000"/>
              <w:left w:val="single" w:sz="4" w:space="0" w:color="000000"/>
              <w:right w:val="single" w:sz="4" w:space="0" w:color="000000"/>
            </w:tcBorders>
            <w:shd w:val="clear" w:color="auto" w:fill="D2D2D2"/>
          </w:tcPr>
          <w:p>
            <w:pPr/>
          </w:p>
        </w:tc>
        <w:tc>
          <w:tcPr>
            <w:tcW w:w="1194" w:type="dxa"/>
            <w:vMerge w:val="restart"/>
            <w:tcBorders>
              <w:top w:val="single" w:sz="4" w:space="0" w:color="000000"/>
              <w:left w:val="single" w:sz="4" w:space="0" w:color="000000"/>
              <w:right w:val="single" w:sz="4" w:space="0" w:color="000000"/>
            </w:tcBorders>
            <w:shd w:val="clear" w:color="auto" w:fill="D2D2D2"/>
          </w:tcPr>
          <w:p>
            <w:pPr/>
          </w:p>
        </w:tc>
        <w:tc>
          <w:tcPr>
            <w:tcW w:w="1196" w:type="dxa"/>
            <w:vMerge w:val="restart"/>
            <w:tcBorders>
              <w:top w:val="single" w:sz="4" w:space="0" w:color="000000"/>
              <w:left w:val="single" w:sz="4" w:space="0" w:color="000000"/>
              <w:right w:val="single" w:sz="4" w:space="0" w:color="000000"/>
            </w:tcBorders>
            <w:shd w:val="clear" w:color="auto" w:fill="D2D2D2"/>
          </w:tcPr>
          <w:p>
            <w:pPr/>
          </w:p>
        </w:tc>
        <w:tc>
          <w:tcPr>
            <w:tcW w:w="1197" w:type="dxa"/>
            <w:tcBorders>
              <w:top w:val="single" w:sz="4" w:space="0" w:color="000000"/>
              <w:left w:val="single" w:sz="4" w:space="0" w:color="000000"/>
              <w:bottom w:val="nil" w:sz="6" w:space="0" w:color="auto"/>
              <w:right w:val="single" w:sz="4" w:space="0" w:color="000000"/>
            </w:tcBorders>
            <w:shd w:val="clear" w:color="auto" w:fill="D2D2D2"/>
          </w:tcPr>
          <w:p>
            <w:pPr/>
          </w:p>
        </w:tc>
        <w:tc>
          <w:tcPr>
            <w:tcW w:w="1196" w:type="dxa"/>
            <w:vMerge w:val="restart"/>
            <w:tcBorders>
              <w:top w:val="single" w:sz="4" w:space="0" w:color="000000"/>
              <w:left w:val="single" w:sz="4" w:space="0" w:color="000000"/>
              <w:right w:val="single" w:sz="4" w:space="0" w:color="000000"/>
            </w:tcBorders>
            <w:shd w:val="clear" w:color="auto" w:fill="D2D2D2"/>
          </w:tcPr>
          <w:p>
            <w:pPr/>
          </w:p>
        </w:tc>
        <w:tc>
          <w:tcPr>
            <w:tcW w:w="1185"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7" w:type="dxa"/>
            <w:vMerge w:val="restart"/>
            <w:tcBorders>
              <w:top w:val="single" w:sz="4" w:space="0" w:color="000000"/>
              <w:left w:val="single" w:sz="4" w:space="0" w:color="000000"/>
              <w:right w:val="single" w:sz="4" w:space="0" w:color="000000"/>
            </w:tcBorders>
            <w:shd w:val="clear" w:color="auto" w:fill="D2D2D2"/>
          </w:tcPr>
          <w:p>
            <w:pPr/>
          </w:p>
        </w:tc>
        <w:tc>
          <w:tcPr>
            <w:tcW w:w="11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9" w:lineRule="auto" w:before="75"/>
              <w:ind w:left="53" w:right="39"/>
              <w:jc w:val="center"/>
              <w:rPr>
                <w:rFonts w:ascii="宋体" w:hAnsi="宋体" w:cs="宋体" w:eastAsia="宋体" w:hint="default"/>
                <w:sz w:val="18"/>
                <w:szCs w:val="18"/>
              </w:rPr>
            </w:pPr>
            <w:r>
              <w:rPr>
                <w:rFonts w:ascii="宋体" w:hAnsi="宋体" w:cs="宋体" w:eastAsia="宋体" w:hint="default"/>
                <w:sz w:val="18"/>
                <w:szCs w:val="18"/>
              </w:rPr>
              <w:t>（含其他方 式）占合并报 表中归属于上 市公司普通股 股东的净利润 的比率</w:t>
            </w: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197"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2" w:right="52"/>
              <w:jc w:val="center"/>
              <w:rPr>
                <w:rFonts w:ascii="宋体" w:hAnsi="宋体" w:cs="宋体" w:eastAsia="宋体" w:hint="default"/>
                <w:sz w:val="18"/>
                <w:szCs w:val="18"/>
              </w:rPr>
            </w:pPr>
            <w:r>
              <w:rPr>
                <w:rFonts w:ascii="宋体" w:hAnsi="宋体" w:cs="宋体" w:eastAsia="宋体" w:hint="default"/>
                <w:sz w:val="18"/>
                <w:szCs w:val="18"/>
              </w:rPr>
              <w:t>现金分红金额 占合并报表中 归属于上市公 司普通股股东 的净利润的比 率</w:t>
            </w:r>
          </w:p>
        </w:tc>
        <w:tc>
          <w:tcPr>
            <w:tcW w:w="1196" w:type="dxa"/>
            <w:vMerge/>
            <w:tcBorders>
              <w:left w:val="single" w:sz="4" w:space="0" w:color="000000"/>
              <w:right w:val="single" w:sz="4" w:space="0" w:color="000000"/>
            </w:tcBorders>
            <w:shd w:val="clear" w:color="auto" w:fill="D2D2D2"/>
          </w:tcPr>
          <w:p>
            <w:pPr/>
          </w:p>
        </w:tc>
        <w:tc>
          <w:tcPr>
            <w:tcW w:w="118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3" w:right="39"/>
              <w:jc w:val="both"/>
              <w:rPr>
                <w:rFonts w:ascii="宋体" w:hAnsi="宋体" w:cs="宋体" w:eastAsia="宋体" w:hint="default"/>
                <w:sz w:val="18"/>
                <w:szCs w:val="18"/>
              </w:rPr>
            </w:pPr>
            <w:r>
              <w:rPr>
                <w:rFonts w:ascii="宋体" w:hAnsi="宋体" w:cs="宋体" w:eastAsia="宋体" w:hint="default"/>
                <w:sz w:val="18"/>
                <w:szCs w:val="18"/>
              </w:rPr>
              <w:t>以其他方式现 金分红金额占 合并报表中归 属于上市公司 普通股股东的 净利润的比例</w:t>
            </w: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3" w:right="50"/>
              <w:jc w:val="center"/>
              <w:rPr>
                <w:rFonts w:ascii="宋体" w:hAnsi="宋体" w:cs="宋体" w:eastAsia="宋体" w:hint="default"/>
                <w:sz w:val="18"/>
                <w:szCs w:val="18"/>
              </w:rPr>
            </w:pPr>
            <w:r>
              <w:rPr>
                <w:rFonts w:ascii="宋体" w:hAnsi="宋体" w:cs="宋体" w:eastAsia="宋体" w:hint="default"/>
                <w:sz w:val="18"/>
                <w:szCs w:val="18"/>
              </w:rPr>
              <w:t>分红年度合并 报表中归属于 上市公司普通 股股东的净利 润</w:t>
            </w:r>
          </w:p>
        </w:tc>
        <w:tc>
          <w:tcPr>
            <w:tcW w:w="1197"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9" w:lineRule="auto" w:before="75"/>
              <w:ind w:left="52" w:right="51"/>
              <w:jc w:val="center"/>
              <w:rPr>
                <w:rFonts w:ascii="宋体" w:hAnsi="宋体" w:cs="宋体" w:eastAsia="宋体" w:hint="default"/>
                <w:sz w:val="18"/>
                <w:szCs w:val="18"/>
              </w:rPr>
            </w:pPr>
            <w:r>
              <w:rPr>
                <w:rFonts w:ascii="宋体" w:hAnsi="宋体" w:cs="宋体" w:eastAsia="宋体" w:hint="default"/>
                <w:sz w:val="18"/>
                <w:szCs w:val="18"/>
              </w:rPr>
              <w:t>（如回购股 份）现金分红 的金额</w:t>
            </w: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bottom w:val="nil" w:sz="6" w:space="0" w:color="auto"/>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bottom w:val="nil" w:sz="6" w:space="0" w:color="auto"/>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4" w:right="0"/>
              <w:jc w:val="left"/>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319" w:lineRule="auto" w:before="75"/>
              <w:ind w:left="424" w:right="141" w:hanging="270"/>
              <w:jc w:val="left"/>
              <w:rPr>
                <w:rFonts w:ascii="宋体" w:hAnsi="宋体" w:cs="宋体" w:eastAsia="宋体" w:hint="default"/>
                <w:sz w:val="18"/>
                <w:szCs w:val="18"/>
              </w:rPr>
            </w:pPr>
            <w:r>
              <w:rPr>
                <w:rFonts w:ascii="宋体" w:hAnsi="宋体" w:cs="宋体" w:eastAsia="宋体" w:hint="default"/>
                <w:sz w:val="18"/>
                <w:szCs w:val="18"/>
              </w:rPr>
              <w:t>（含其他方 式）</w:t>
            </w: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bottom w:val="nil" w:sz="6" w:space="0" w:color="auto"/>
              <w:right w:val="single" w:sz="4" w:space="0" w:color="000000"/>
            </w:tcBorders>
            <w:shd w:val="clear" w:color="auto" w:fill="D2D2D2"/>
          </w:tcPr>
          <w:p>
            <w:pPr/>
          </w:p>
        </w:tc>
        <w:tc>
          <w:tcPr>
            <w:tcW w:w="119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现金分红金额</w:t>
            </w:r>
          </w:p>
          <w:p>
            <w:pPr>
              <w:pStyle w:val="TableParagraph"/>
              <w:spacing w:line="240" w:lineRule="auto" w:before="76"/>
              <w:ind w:right="1"/>
              <w:jc w:val="center"/>
              <w:rPr>
                <w:rFonts w:ascii="宋体" w:hAnsi="宋体" w:cs="宋体" w:eastAsia="宋体" w:hint="default"/>
                <w:sz w:val="18"/>
                <w:szCs w:val="18"/>
              </w:rPr>
            </w:pPr>
            <w:r>
              <w:rPr>
                <w:rFonts w:ascii="宋体" w:hAnsi="宋体" w:cs="宋体" w:eastAsia="宋体" w:hint="default"/>
                <w:sz w:val="18"/>
                <w:szCs w:val="18"/>
              </w:rPr>
              <w:t>（含税）</w:t>
            </w:r>
          </w:p>
        </w:tc>
        <w:tc>
          <w:tcPr>
            <w:tcW w:w="1196"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392" w:hRule="exact"/>
        </w:trPr>
        <w:tc>
          <w:tcPr>
            <w:tcW w:w="119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194"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val="restart"/>
            <w:tcBorders>
              <w:top w:val="nil" w:sz="6" w:space="0" w:color="auto"/>
              <w:left w:val="single" w:sz="4" w:space="0" w:color="000000"/>
              <w:right w:val="single" w:sz="4" w:space="0" w:color="000000"/>
            </w:tcBorders>
            <w:shd w:val="clear" w:color="auto" w:fill="D2D2D2"/>
          </w:tcPr>
          <w:p>
            <w:pPr/>
          </w:p>
        </w:tc>
        <w:tc>
          <w:tcPr>
            <w:tcW w:w="1194" w:type="dxa"/>
            <w:vMerge/>
            <w:tcBorders>
              <w:left w:val="single" w:sz="4" w:space="0" w:color="000000"/>
              <w:bottom w:val="nil" w:sz="6" w:space="0" w:color="auto"/>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4" w:type="dxa"/>
            <w:vMerge w:val="restart"/>
            <w:tcBorders>
              <w:top w:val="nil" w:sz="6" w:space="0" w:color="auto"/>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bottom w:val="nil" w:sz="6" w:space="0" w:color="auto"/>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val="restart"/>
            <w:tcBorders>
              <w:top w:val="nil" w:sz="6" w:space="0" w:color="auto"/>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tcBorders>
              <w:left w:val="single" w:sz="4" w:space="0" w:color="000000"/>
              <w:bottom w:val="nil" w:sz="6" w:space="0" w:color="auto"/>
              <w:right w:val="single" w:sz="4" w:space="0" w:color="000000"/>
            </w:tcBorders>
            <w:shd w:val="clear" w:color="auto" w:fill="D2D2D2"/>
          </w:tcPr>
          <w:p>
            <w:pPr/>
          </w:p>
        </w:tc>
        <w:tc>
          <w:tcPr>
            <w:tcW w:w="1197" w:type="dxa"/>
            <w:vMerge/>
            <w:tcBorders>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
        </w:tc>
        <w:tc>
          <w:tcPr>
            <w:tcW w:w="1185" w:type="dxa"/>
            <w:vMerge/>
            <w:tcBorders>
              <w:left w:val="single" w:sz="4" w:space="0" w:color="000000"/>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56" w:hRule="exact"/>
        </w:trPr>
        <w:tc>
          <w:tcPr>
            <w:tcW w:w="1198" w:type="dxa"/>
            <w:vMerge/>
            <w:tcBorders>
              <w:left w:val="single" w:sz="4" w:space="0" w:color="000000"/>
              <w:right w:val="single" w:sz="4" w:space="0" w:color="000000"/>
            </w:tcBorders>
            <w:shd w:val="clear" w:color="auto" w:fill="D2D2D2"/>
          </w:tcPr>
          <w:p>
            <w:pPr/>
          </w:p>
        </w:tc>
        <w:tc>
          <w:tcPr>
            <w:tcW w:w="1194" w:type="dxa"/>
            <w:vMerge/>
            <w:tcBorders>
              <w:left w:val="single" w:sz="4" w:space="0" w:color="000000"/>
              <w:right w:val="single" w:sz="4" w:space="0" w:color="000000"/>
            </w:tcBorders>
            <w:shd w:val="clear" w:color="auto" w:fill="D2D2D2"/>
          </w:tcPr>
          <w:p>
            <w:pPr/>
          </w:p>
        </w:tc>
        <w:tc>
          <w:tcPr>
            <w:tcW w:w="1196" w:type="dxa"/>
            <w:vMerge w:val="restart"/>
            <w:tcBorders>
              <w:top w:val="nil" w:sz="6" w:space="0" w:color="auto"/>
              <w:left w:val="single" w:sz="4" w:space="0" w:color="000000"/>
              <w:right w:val="single" w:sz="4" w:space="0" w:color="000000"/>
            </w:tcBorders>
            <w:shd w:val="clear" w:color="auto" w:fill="D2D2D2"/>
          </w:tcPr>
          <w:p>
            <w:pPr/>
          </w:p>
        </w:tc>
        <w:tc>
          <w:tcPr>
            <w:tcW w:w="1197" w:type="dxa"/>
            <w:vMerge/>
            <w:tcBorders>
              <w:left w:val="single" w:sz="4" w:space="0" w:color="000000"/>
              <w:bottom w:val="nil" w:sz="6" w:space="0" w:color="auto"/>
              <w:right w:val="single" w:sz="4" w:space="0" w:color="000000"/>
            </w:tcBorders>
            <w:shd w:val="clear" w:color="auto" w:fill="D2D2D2"/>
          </w:tcPr>
          <w:p>
            <w:pPr/>
          </w:p>
        </w:tc>
        <w:tc>
          <w:tcPr>
            <w:tcW w:w="1196" w:type="dxa"/>
            <w:vMerge/>
            <w:tcBorders>
              <w:left w:val="single" w:sz="4" w:space="0" w:color="000000"/>
              <w:right w:val="single" w:sz="4" w:space="0" w:color="000000"/>
            </w:tcBorders>
            <w:shd w:val="clear" w:color="auto" w:fill="D2D2D2"/>
          </w:tcPr>
          <w:p>
            <w:pPr/>
          </w:p>
        </w:tc>
        <w:tc>
          <w:tcPr>
            <w:tcW w:w="1185" w:type="dxa"/>
            <w:vMerge/>
            <w:tcBorders>
              <w:left w:val="single" w:sz="4" w:space="0" w:color="000000"/>
              <w:bottom w:val="nil" w:sz="6" w:space="0" w:color="auto"/>
              <w:right w:val="single" w:sz="4" w:space="0" w:color="000000"/>
            </w:tcBorders>
            <w:shd w:val="clear" w:color="auto" w:fill="D2D2D2"/>
          </w:tcPr>
          <w:p>
            <w:pPr/>
          </w:p>
        </w:tc>
        <w:tc>
          <w:tcPr>
            <w:tcW w:w="1207" w:type="dxa"/>
            <w:vMerge/>
            <w:tcBorders>
              <w:left w:val="single" w:sz="4" w:space="0" w:color="000000"/>
              <w:right w:val="single" w:sz="4" w:space="0" w:color="000000"/>
            </w:tcBorders>
            <w:shd w:val="clear" w:color="auto" w:fill="D2D2D2"/>
          </w:tcPr>
          <w:p>
            <w:pPr/>
          </w:p>
        </w:tc>
        <w:tc>
          <w:tcPr>
            <w:tcW w:w="1184" w:type="dxa"/>
            <w:vMerge/>
            <w:tcBorders>
              <w:left w:val="single" w:sz="4" w:space="0" w:color="000000"/>
              <w:right w:val="single" w:sz="4" w:space="0" w:color="000000"/>
            </w:tcBorders>
            <w:shd w:val="clear" w:color="auto" w:fill="D2D2D2"/>
          </w:tcPr>
          <w:p>
            <w:pPr/>
          </w:p>
        </w:tc>
      </w:tr>
      <w:tr>
        <w:trPr>
          <w:trHeight w:val="161" w:hRule="exact"/>
        </w:trPr>
        <w:tc>
          <w:tcPr>
            <w:tcW w:w="1198" w:type="dxa"/>
            <w:vMerge/>
            <w:tcBorders>
              <w:left w:val="single" w:sz="4" w:space="0" w:color="000000"/>
              <w:bottom w:val="single" w:sz="4" w:space="0" w:color="000000"/>
              <w:right w:val="single" w:sz="4" w:space="0" w:color="000000"/>
            </w:tcBorders>
            <w:shd w:val="clear" w:color="auto" w:fill="D2D2D2"/>
          </w:tcPr>
          <w:p>
            <w:pPr/>
          </w:p>
        </w:tc>
        <w:tc>
          <w:tcPr>
            <w:tcW w:w="1194"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7" w:type="dxa"/>
            <w:tcBorders>
              <w:top w:val="nil" w:sz="6" w:space="0" w:color="auto"/>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85"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7" w:type="dxa"/>
            <w:vMerge/>
            <w:tcBorders>
              <w:left w:val="single" w:sz="4" w:space="0" w:color="000000"/>
              <w:bottom w:val="single" w:sz="4" w:space="0" w:color="000000"/>
              <w:right w:val="single" w:sz="4" w:space="0" w:color="000000"/>
            </w:tcBorders>
            <w:shd w:val="clear" w:color="auto" w:fill="D2D2D2"/>
          </w:tcPr>
          <w:p>
            <w:pPr/>
          </w:p>
        </w:tc>
        <w:tc>
          <w:tcPr>
            <w:tcW w:w="118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117,250,420.08</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7.16%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0.00%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8,400,000.00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7.16%</w:t>
            </w:r>
          </w:p>
        </w:tc>
      </w:tr>
      <w:tr>
        <w:trPr>
          <w:trHeight w:val="402"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48,613,327.58</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pacing w:val="-2"/>
                <w:sz w:val="18"/>
              </w:rPr>
              <w:t>11.52%</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0.00%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5,600,000.00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pacing w:val="-2"/>
                <w:sz w:val="18"/>
              </w:rPr>
              <w:t>11.52%</w:t>
            </w:r>
          </w:p>
        </w:tc>
      </w:tr>
      <w:tr>
        <w:trPr>
          <w:trHeight w:val="402"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12,000,000.00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67,565,437.52</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17.76%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0.00</w:t>
            </w:r>
          </w:p>
        </w:tc>
        <w:tc>
          <w:tcPr>
            <w:tcW w:w="11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0.00%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12,000,000.00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z w:val="18"/>
              </w:rPr>
              <w:t>17.76%</w:t>
            </w:r>
          </w:p>
        </w:tc>
      </w:tr>
    </w:tbl>
    <w:p>
      <w:pPr>
        <w:pStyle w:val="BodyText"/>
        <w:spacing w:line="240" w:lineRule="auto" w:before="51"/>
        <w:ind w:right="1134"/>
        <w:jc w:val="left"/>
      </w:pPr>
      <w:r>
        <w:rPr/>
        <w:t>公司报告期内盈利且母公司可供普通股股东分配利润为正但未提出普通股现金红利分配预案</w:t>
      </w:r>
    </w:p>
    <w:p>
      <w:pPr>
        <w:pStyle w:val="BodyText"/>
        <w:spacing w:line="240" w:lineRule="auto" w:before="117"/>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1134"/>
        <w:jc w:val="left"/>
        <w:rPr>
          <w:b w:val="0"/>
          <w:bCs w:val="0"/>
        </w:rPr>
      </w:pPr>
      <w:bookmarkStart w:name="二、承诺事项履行情况" w:id="64"/>
      <w:bookmarkEnd w:id="64"/>
      <w:r>
        <w:rPr>
          <w:b w:val="0"/>
          <w:bCs w:val="0"/>
        </w:rPr>
      </w:r>
      <w:r>
        <w:rPr/>
        <w:t>二、承诺事项履行情况</w:t>
      </w:r>
      <w:r>
        <w:rPr>
          <w:b w:val="0"/>
          <w:bCs w:val="0"/>
        </w:rPr>
      </w:r>
    </w:p>
    <w:p>
      <w:pPr>
        <w:spacing w:line="240" w:lineRule="auto" w:before="9"/>
        <w:rPr>
          <w:rFonts w:ascii="宋体" w:hAnsi="宋体" w:cs="宋体" w:eastAsia="宋体" w:hint="default"/>
          <w:b/>
          <w:bCs/>
          <w:sz w:val="24"/>
          <w:szCs w:val="24"/>
        </w:rPr>
      </w:pPr>
    </w:p>
    <w:p>
      <w:pPr>
        <w:pStyle w:val="Heading3"/>
        <w:spacing w:line="259" w:lineRule="auto"/>
        <w:ind w:right="1134"/>
        <w:jc w:val="left"/>
        <w:rPr>
          <w:b w:val="0"/>
          <w:bCs w:val="0"/>
        </w:rPr>
      </w:pPr>
      <w:bookmarkStart w:name="1、公司实际控制人、股东、关联方、收购人以及公司等承诺相关方在报告期内履行完毕及" w:id="65"/>
      <w:bookmarkEnd w:id="65"/>
      <w:r>
        <w:rPr>
          <w:b w:val="0"/>
          <w:bCs w:val="0"/>
        </w:rPr>
      </w:r>
      <w:r>
        <w:rPr>
          <w:rFonts w:ascii="Times New Roman" w:hAnsi="Times New Roman" w:cs="Times New Roman" w:eastAsia="Times New Roman" w:hint="default"/>
        </w:rPr>
        <w:t>1</w:t>
      </w:r>
      <w:r>
        <w:rPr/>
        <w:t>、公司实际控制人、股东、关联方、收购人以及公司等承诺相关方在报告期内履行完毕及截至报告期末</w:t>
      </w:r>
      <w:r>
        <w:rPr>
          <w:spacing w:val="-74"/>
        </w:rPr>
        <w:t> </w:t>
      </w:r>
      <w:r>
        <w:rPr>
          <w:spacing w:val="-74"/>
        </w:rPr>
      </w:r>
      <w:r>
        <w:rPr/>
        <w:t>尚未履行完毕的承诺事项</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4"/>
        <w:jc w:val="left"/>
      </w:pPr>
      <w:r>
        <w:rPr/>
        <w:pict>
          <v:shape style="position:absolute;margin-left:358.299988pt;margin-top:110.791718pt;width:109.35pt;height:22.45pt;mso-position-horizontal-relative:page;mso-position-vertical-relative:paragraph;z-index:-1013128" type="#_x0000_t202" filled="false" stroked="false">
            <v:textbox inset="0,0,0,0">
              <w:txbxContent>
                <w:p>
                  <w:pPr>
                    <w:pStyle w:val="BodyText"/>
                    <w:spacing w:line="240" w:lineRule="auto" w:before="147"/>
                    <w:ind w:left="0" w:right="0"/>
                    <w:jc w:val="left"/>
                  </w:pPr>
                  <w:r>
                    <w:rPr/>
                    <w:t>除前锁定期外，</w:t>
                  </w:r>
                </w:p>
              </w:txbxContent>
            </v:textbox>
            <w10:wrap type="none"/>
          </v:shape>
        </w:pict>
      </w:r>
      <w:r>
        <w:rPr/>
        <w:pict>
          <v:group style="position:absolute;margin-left:418.5pt;margin-top:53.171722pt;width:49.15pt;height:40.050pt;mso-position-horizontal-relative:page;mso-position-vertical-relative:paragraph;z-index:-1013104" coordorigin="8370,1063" coordsize="983,801">
            <v:group style="position:absolute;left:8370;top:1063;width:983;height:450" coordorigin="8370,1063" coordsize="983,450">
              <v:shape style="position:absolute;left:8370;top:1063;width:983;height:450" coordorigin="8370,1063" coordsize="983,450" path="m8370,1513l9353,1513,9353,1063,8370,1063,8370,1513xe" filled="true" fillcolor="#ffffff" stroked="false">
                <v:path arrowok="t"/>
                <v:fill type="solid"/>
              </v:shape>
            </v:group>
            <v:group style="position:absolute;left:8393;top:1513;width:936;height:352" coordorigin="8393,1513" coordsize="936,352">
              <v:shape style="position:absolute;left:8393;top:1513;width:936;height:352" coordorigin="8393,1513" coordsize="936,352" path="m8393,1864l9329,1864,9329,1513,8393,1513,8393,1864xe" filled="true" fillcolor="#ffffff" stroked="false">
                <v:path arrowok="t"/>
                <v:fill type="solid"/>
              </v:shape>
            </v:group>
            <w10:wrap type="none"/>
          </v:group>
        </w:pict>
      </w:r>
      <w:r>
        <w:rPr/>
        <w:pict>
          <v:group style="position:absolute;margin-left:418.5pt;margin-top:110.791718pt;width:49.15pt;height:22.45pt;mso-position-horizontal-relative:page;mso-position-vertical-relative:paragraph;z-index:-1013080" coordorigin="8370,2216" coordsize="983,449">
            <v:shape style="position:absolute;left:8370;top:2216;width:983;height:449" coordorigin="8370,2216" coordsize="983,449" path="m8370,2665l9353,2665,9353,2216,8370,2216,8370,2665xe" filled="true" fillcolor="#ffffff" stroked="false">
              <v:path arrowok="t"/>
              <v:fill type="solid"/>
            </v:shape>
            <w10:wrap type="none"/>
          </v:group>
        </w:pict>
      </w: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3"/>
        <w:rPr>
          <w:rFonts w:ascii="宋体" w:hAnsi="宋体" w:cs="宋体" w:eastAsia="宋体" w:hint="default"/>
          <w:sz w:val="6"/>
          <w:szCs w:val="6"/>
        </w:rPr>
      </w:pPr>
    </w:p>
    <w:tbl>
      <w:tblPr>
        <w:tblW w:w="0" w:type="auto"/>
        <w:jc w:val="left"/>
        <w:tblInd w:w="195" w:type="dxa"/>
        <w:tblLayout w:type="fixed"/>
        <w:tblCellMar>
          <w:top w:w="0" w:type="dxa"/>
          <w:left w:w="0" w:type="dxa"/>
          <w:bottom w:w="0" w:type="dxa"/>
          <w:right w:w="0" w:type="dxa"/>
        </w:tblCellMar>
        <w:tblLook w:val="01E0"/>
      </w:tblPr>
      <w:tblGrid>
        <w:gridCol w:w="805"/>
        <w:gridCol w:w="709"/>
        <w:gridCol w:w="1134"/>
        <w:gridCol w:w="4537"/>
        <w:gridCol w:w="992"/>
        <w:gridCol w:w="850"/>
        <w:gridCol w:w="530"/>
      </w:tblGrid>
      <w:tr>
        <w:trPr>
          <w:trHeight w:val="161" w:hRule="exact"/>
        </w:trPr>
        <w:tc>
          <w:tcPr>
            <w:tcW w:w="805" w:type="dxa"/>
            <w:tcBorders>
              <w:top w:val="single" w:sz="4" w:space="0" w:color="000000"/>
              <w:left w:val="single" w:sz="4" w:space="0" w:color="000000"/>
              <w:bottom w:val="nil" w:sz="6" w:space="0" w:color="auto"/>
              <w:right w:val="single" w:sz="4" w:space="0" w:color="000000"/>
            </w:tcBorders>
            <w:shd w:val="clear" w:color="auto" w:fill="D2D2D2"/>
          </w:tcPr>
          <w:p>
            <w:pPr/>
          </w:p>
        </w:tc>
        <w:tc>
          <w:tcPr>
            <w:tcW w:w="709" w:type="dxa"/>
            <w:tcBorders>
              <w:top w:val="single" w:sz="4" w:space="0" w:color="000000"/>
              <w:left w:val="single" w:sz="4" w:space="0" w:color="000000"/>
              <w:bottom w:val="nil" w:sz="6" w:space="0" w:color="auto"/>
              <w:right w:val="single" w:sz="4" w:space="0" w:color="000000"/>
            </w:tcBorders>
            <w:shd w:val="clear" w:color="auto" w:fill="D2D2D2"/>
          </w:tcPr>
          <w:p>
            <w:pPr/>
          </w:p>
        </w:tc>
        <w:tc>
          <w:tcPr>
            <w:tcW w:w="1134" w:type="dxa"/>
            <w:tcBorders>
              <w:top w:val="single" w:sz="4" w:space="0" w:color="000000"/>
              <w:left w:val="single" w:sz="4" w:space="0" w:color="000000"/>
              <w:bottom w:val="nil" w:sz="6" w:space="0" w:color="auto"/>
              <w:right w:val="single" w:sz="4" w:space="0" w:color="000000"/>
            </w:tcBorders>
            <w:shd w:val="clear" w:color="auto" w:fill="D2D2D2"/>
          </w:tcPr>
          <w:p>
            <w:pPr/>
          </w:p>
        </w:tc>
        <w:tc>
          <w:tcPr>
            <w:tcW w:w="4537" w:type="dxa"/>
            <w:tcBorders>
              <w:top w:val="single" w:sz="4" w:space="0" w:color="000000"/>
              <w:left w:val="single" w:sz="4" w:space="0" w:color="000000"/>
              <w:bottom w:val="nil" w:sz="6" w:space="0" w:color="auto"/>
              <w:right w:val="single" w:sz="4" w:space="0" w:color="000000"/>
            </w:tcBorders>
            <w:shd w:val="clear" w:color="auto" w:fill="D2D2D2"/>
          </w:tcPr>
          <w:p>
            <w:pPr/>
          </w:p>
        </w:tc>
        <w:tc>
          <w:tcPr>
            <w:tcW w:w="992" w:type="dxa"/>
            <w:tcBorders>
              <w:top w:val="nil" w:sz="6" w:space="0" w:color="auto"/>
              <w:left w:val="single" w:sz="4" w:space="0" w:color="000000"/>
              <w:bottom w:val="nil" w:sz="6" w:space="0" w:color="auto"/>
              <w:right w:val="single" w:sz="4" w:space="0" w:color="000000"/>
            </w:tcBorders>
            <w:shd w:val="clear" w:color="auto" w:fill="D2D2D2"/>
          </w:tcPr>
          <w:p>
            <w:pPr/>
          </w:p>
        </w:tc>
        <w:tc>
          <w:tcPr>
            <w:tcW w:w="850" w:type="dxa"/>
            <w:tcBorders>
              <w:top w:val="single" w:sz="4" w:space="0" w:color="000000"/>
              <w:left w:val="single" w:sz="4" w:space="0" w:color="000000"/>
              <w:bottom w:val="nil" w:sz="6" w:space="0" w:color="auto"/>
              <w:right w:val="single" w:sz="4" w:space="0" w:color="000000"/>
            </w:tcBorders>
            <w:shd w:val="clear" w:color="auto" w:fill="D2D2D2"/>
          </w:tcPr>
          <w:p>
            <w:pPr/>
          </w:p>
        </w:tc>
        <w:tc>
          <w:tcPr>
            <w:tcW w:w="53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79" w:right="79"/>
              <w:jc w:val="left"/>
              <w:rPr>
                <w:rFonts w:ascii="宋体" w:hAnsi="宋体" w:cs="宋体" w:eastAsia="宋体" w:hint="default"/>
                <w:sz w:val="18"/>
                <w:szCs w:val="18"/>
              </w:rPr>
            </w:pPr>
            <w:r>
              <w:rPr>
                <w:rFonts w:ascii="宋体" w:hAnsi="宋体" w:cs="宋体" w:eastAsia="宋体" w:hint="default"/>
                <w:sz w:val="18"/>
                <w:szCs w:val="18"/>
              </w:rPr>
              <w:t>履行 情况</w:t>
            </w:r>
          </w:p>
        </w:tc>
      </w:tr>
      <w:tr>
        <w:trPr>
          <w:trHeight w:val="391" w:hRule="exact"/>
        </w:trPr>
        <w:tc>
          <w:tcPr>
            <w:tcW w:w="8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30" w:right="0"/>
              <w:jc w:val="left"/>
              <w:rPr>
                <w:rFonts w:ascii="宋体" w:hAnsi="宋体" w:cs="宋体" w:eastAsia="宋体" w:hint="default"/>
                <w:sz w:val="18"/>
                <w:szCs w:val="18"/>
              </w:rPr>
            </w:pPr>
            <w:r>
              <w:rPr>
                <w:rFonts w:ascii="宋体" w:hAnsi="宋体" w:cs="宋体" w:eastAsia="宋体" w:hint="default"/>
                <w:sz w:val="18"/>
                <w:szCs w:val="18"/>
              </w:rPr>
              <w:t>承诺来源</w:t>
            </w:r>
          </w:p>
        </w:tc>
        <w:tc>
          <w:tcPr>
            <w:tcW w:w="709"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9"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113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01" w:right="0"/>
              <w:jc w:val="left"/>
              <w:rPr>
                <w:rFonts w:ascii="宋体" w:hAnsi="宋体" w:cs="宋体" w:eastAsia="宋体" w:hint="default"/>
                <w:sz w:val="18"/>
                <w:szCs w:val="18"/>
              </w:rPr>
            </w:pPr>
            <w:r>
              <w:rPr>
                <w:rFonts w:ascii="宋体" w:hAnsi="宋体" w:cs="宋体" w:eastAsia="宋体" w:hint="default"/>
                <w:sz w:val="18"/>
                <w:szCs w:val="18"/>
              </w:rPr>
              <w:t>承诺类型</w:t>
            </w:r>
          </w:p>
        </w:tc>
        <w:tc>
          <w:tcPr>
            <w:tcW w:w="453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9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30" w:right="0"/>
              <w:jc w:val="left"/>
              <w:rPr>
                <w:rFonts w:ascii="宋体" w:hAnsi="宋体" w:cs="宋体" w:eastAsia="宋体" w:hint="default"/>
                <w:sz w:val="18"/>
                <w:szCs w:val="18"/>
              </w:rPr>
            </w:pPr>
            <w:r>
              <w:rPr>
                <w:rFonts w:ascii="宋体" w:hAnsi="宋体" w:cs="宋体" w:eastAsia="宋体" w:hint="default"/>
                <w:sz w:val="18"/>
                <w:szCs w:val="18"/>
              </w:rPr>
              <w:t>承诺时间</w:t>
            </w:r>
          </w:p>
        </w:tc>
        <w:tc>
          <w:tcPr>
            <w:tcW w:w="85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59" w:right="0"/>
              <w:jc w:val="left"/>
              <w:rPr>
                <w:rFonts w:ascii="宋体" w:hAnsi="宋体" w:cs="宋体" w:eastAsia="宋体" w:hint="default"/>
                <w:sz w:val="18"/>
                <w:szCs w:val="18"/>
              </w:rPr>
            </w:pPr>
            <w:r>
              <w:rPr>
                <w:rFonts w:ascii="宋体" w:hAnsi="宋体" w:cs="宋体" w:eastAsia="宋体" w:hint="default"/>
                <w:sz w:val="18"/>
                <w:szCs w:val="18"/>
              </w:rPr>
              <w:t>承诺期限</w:t>
            </w:r>
          </w:p>
        </w:tc>
        <w:tc>
          <w:tcPr>
            <w:tcW w:w="530" w:type="dxa"/>
            <w:vMerge/>
            <w:tcBorders>
              <w:left w:val="single" w:sz="4" w:space="0" w:color="000000"/>
              <w:right w:val="single" w:sz="4" w:space="0" w:color="000000"/>
            </w:tcBorders>
            <w:shd w:val="clear" w:color="auto" w:fill="D2D2D2"/>
          </w:tcPr>
          <w:p>
            <w:pPr/>
          </w:p>
        </w:tc>
      </w:tr>
      <w:tr>
        <w:trPr>
          <w:trHeight w:val="161" w:hRule="exact"/>
        </w:trPr>
        <w:tc>
          <w:tcPr>
            <w:tcW w:w="805" w:type="dxa"/>
            <w:tcBorders>
              <w:top w:val="nil" w:sz="6" w:space="0" w:color="auto"/>
              <w:left w:val="single" w:sz="4" w:space="0" w:color="000000"/>
              <w:bottom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single" w:sz="4" w:space="0" w:color="000000"/>
              <w:right w:val="single" w:sz="4" w:space="0" w:color="000000"/>
            </w:tcBorders>
            <w:shd w:val="clear" w:color="auto" w:fill="D2D2D2"/>
          </w:tcPr>
          <w:p>
            <w:pPr/>
          </w:p>
        </w:tc>
        <w:tc>
          <w:tcPr>
            <w:tcW w:w="1134" w:type="dxa"/>
            <w:tcBorders>
              <w:top w:val="nil" w:sz="6" w:space="0" w:color="auto"/>
              <w:left w:val="single" w:sz="4" w:space="0" w:color="000000"/>
              <w:bottom w:val="single" w:sz="4" w:space="0" w:color="000000"/>
              <w:right w:val="single" w:sz="4" w:space="0" w:color="000000"/>
            </w:tcBorders>
            <w:shd w:val="clear" w:color="auto" w:fill="D2D2D2"/>
          </w:tcPr>
          <w:p>
            <w:pPr/>
          </w:p>
        </w:tc>
        <w:tc>
          <w:tcPr>
            <w:tcW w:w="4537" w:type="dxa"/>
            <w:tcBorders>
              <w:top w:val="nil" w:sz="6" w:space="0" w:color="auto"/>
              <w:left w:val="single" w:sz="4" w:space="0" w:color="000000"/>
              <w:bottom w:val="single" w:sz="4" w:space="0" w:color="000000"/>
              <w:right w:val="single" w:sz="4" w:space="0" w:color="000000"/>
            </w:tcBorders>
            <w:shd w:val="clear" w:color="auto" w:fill="D2D2D2"/>
          </w:tcPr>
          <w:p>
            <w:pPr/>
          </w:p>
        </w:tc>
        <w:tc>
          <w:tcPr>
            <w:tcW w:w="992" w:type="dxa"/>
            <w:tcBorders>
              <w:top w:val="nil" w:sz="6" w:space="0" w:color="auto"/>
              <w:left w:val="single" w:sz="4" w:space="0" w:color="000000"/>
              <w:bottom w:val="single" w:sz="4" w:space="0" w:color="000000"/>
              <w:right w:val="single" w:sz="4" w:space="0" w:color="000000"/>
            </w:tcBorders>
            <w:shd w:val="clear" w:color="auto" w:fill="D2D2D2"/>
          </w:tcPr>
          <w:p>
            <w:pPr/>
          </w:p>
        </w:tc>
        <w:tc>
          <w:tcPr>
            <w:tcW w:w="850" w:type="dxa"/>
            <w:tcBorders>
              <w:top w:val="nil" w:sz="6" w:space="0" w:color="auto"/>
              <w:left w:val="single" w:sz="4" w:space="0" w:color="000000"/>
              <w:bottom w:val="single" w:sz="4" w:space="0" w:color="000000"/>
              <w:right w:val="single" w:sz="4" w:space="0" w:color="000000"/>
            </w:tcBorders>
            <w:shd w:val="clear" w:color="auto" w:fill="D2D2D2"/>
          </w:tcPr>
          <w:p>
            <w:pPr/>
          </w:p>
        </w:tc>
        <w:tc>
          <w:tcPr>
            <w:tcW w:w="530" w:type="dxa"/>
            <w:vMerge/>
            <w:tcBorders>
              <w:left w:val="single" w:sz="4" w:space="0" w:color="000000"/>
              <w:bottom w:val="single" w:sz="4" w:space="0" w:color="000000"/>
              <w:right w:val="single" w:sz="4" w:space="0" w:color="000000"/>
            </w:tcBorders>
            <w:shd w:val="clear" w:color="auto" w:fill="D2D2D2"/>
          </w:tcPr>
          <w:p>
            <w:pPr/>
          </w:p>
        </w:tc>
      </w:tr>
      <w:tr>
        <w:trPr>
          <w:trHeight w:val="142" w:hRule="exact"/>
        </w:trPr>
        <w:tc>
          <w:tcPr>
            <w:tcW w:w="805" w:type="dxa"/>
            <w:tcBorders>
              <w:top w:val="single" w:sz="4" w:space="0" w:color="000000"/>
              <w:left w:val="single" w:sz="4" w:space="0" w:color="000000"/>
              <w:bottom w:val="nil" w:sz="6" w:space="0" w:color="auto"/>
              <w:right w:val="single" w:sz="4" w:space="0" w:color="000000"/>
            </w:tcBorders>
            <w:shd w:val="clear" w:color="auto" w:fill="D2D2D2"/>
          </w:tcPr>
          <w:p>
            <w:pPr/>
          </w:p>
        </w:tc>
        <w:tc>
          <w:tcPr>
            <w:tcW w:w="709" w:type="dxa"/>
            <w:vMerge w:val="restart"/>
            <w:tcBorders>
              <w:top w:val="single" w:sz="4" w:space="0" w:color="000000"/>
              <w:left w:val="single" w:sz="13"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316" w:lineRule="auto"/>
              <w:ind w:left="11" w:right="134"/>
              <w:jc w:val="left"/>
              <w:rPr>
                <w:rFonts w:ascii="宋体" w:hAnsi="宋体" w:cs="宋体" w:eastAsia="宋体" w:hint="default"/>
                <w:sz w:val="18"/>
                <w:szCs w:val="18"/>
              </w:rPr>
            </w:pPr>
            <w:r>
              <w:rPr>
                <w:rFonts w:ascii="宋体" w:hAnsi="宋体" w:cs="宋体" w:eastAsia="宋体" w:hint="default"/>
                <w:sz w:val="18"/>
                <w:szCs w:val="18"/>
              </w:rPr>
              <w:t>股份限 售承诺</w:t>
            </w:r>
          </w:p>
        </w:tc>
        <w:tc>
          <w:tcPr>
            <w:tcW w:w="1134"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26"/>
                <w:szCs w:val="26"/>
              </w:rPr>
            </w:pPr>
          </w:p>
          <w:p>
            <w:pPr>
              <w:pStyle w:val="TableParagraph"/>
              <w:spacing w:line="316" w:lineRule="auto"/>
              <w:ind w:left="22" w:right="21"/>
              <w:jc w:val="left"/>
              <w:rPr>
                <w:rFonts w:ascii="宋体" w:hAnsi="宋体" w:cs="宋体" w:eastAsia="宋体" w:hint="default"/>
                <w:sz w:val="18"/>
                <w:szCs w:val="18"/>
              </w:rPr>
            </w:pPr>
            <w:r>
              <w:rPr>
                <w:rFonts w:ascii="宋体"/>
                <w:sz w:val="18"/>
              </w:rPr>
              <w:t>CHEN YIHAN;GUO SONG;LIU</w:t>
            </w:r>
            <w:r>
              <w:rPr>
                <w:rFonts w:ascii="宋体"/>
                <w:spacing w:val="-3"/>
                <w:sz w:val="18"/>
              </w:rPr>
              <w:t> </w:t>
            </w:r>
            <w:r>
              <w:rPr>
                <w:rFonts w:ascii="宋体"/>
                <w:sz w:val="18"/>
              </w:rPr>
              <w:t>DAN</w:t>
            </w:r>
          </w:p>
        </w:tc>
        <w:tc>
          <w:tcPr>
            <w:tcW w:w="4537" w:type="dxa"/>
            <w:vMerge w:val="restart"/>
            <w:tcBorders>
              <w:top w:val="single" w:sz="4" w:space="0" w:color="000000"/>
              <w:left w:val="single" w:sz="4" w:space="0" w:color="000000"/>
              <w:right w:val="single" w:sz="9" w:space="0" w:color="FFFFFF"/>
            </w:tcBorders>
          </w:tcPr>
          <w:p>
            <w:pPr>
              <w:pStyle w:val="TableParagraph"/>
              <w:spacing w:line="319" w:lineRule="auto" w:before="51"/>
              <w:ind w:left="22" w:right="15"/>
              <w:jc w:val="left"/>
              <w:rPr>
                <w:rFonts w:ascii="宋体" w:hAnsi="宋体" w:cs="宋体" w:eastAsia="宋体" w:hint="default"/>
                <w:sz w:val="18"/>
                <w:szCs w:val="18"/>
              </w:rPr>
            </w:pPr>
            <w:r>
              <w:rPr>
                <w:rFonts w:ascii="宋体" w:hAnsi="宋体" w:cs="宋体" w:eastAsia="宋体" w:hint="default"/>
                <w:spacing w:val="-1"/>
                <w:sz w:val="18"/>
                <w:szCs w:val="18"/>
              </w:rPr>
              <w:t>本人作为深圳市优博讯科技股份有限公司（以下简称“公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0"/>
                <w:sz w:val="18"/>
                <w:szCs w:val="18"/>
              </w:rPr>
              <w:t>司”）实际控制人承诺：自公司股票上市之日起</w:t>
            </w:r>
            <w:r>
              <w:rPr>
                <w:rFonts w:ascii="宋体" w:hAnsi="宋体" w:cs="宋体" w:eastAsia="宋体" w:hint="default"/>
                <w:spacing w:val="-45"/>
                <w:sz w:val="18"/>
                <w:szCs w:val="18"/>
              </w:rPr>
              <w:t> </w:t>
            </w:r>
            <w:r>
              <w:rPr>
                <w:rFonts w:ascii="宋体" w:hAnsi="宋体" w:cs="宋体" w:eastAsia="宋体" w:hint="default"/>
                <w:sz w:val="18"/>
                <w:szCs w:val="18"/>
              </w:rPr>
              <w:t>36</w:t>
            </w:r>
            <w:r>
              <w:rPr>
                <w:rFonts w:ascii="宋体" w:hAnsi="宋体" w:cs="宋体" w:eastAsia="宋体" w:hint="default"/>
                <w:spacing w:val="-45"/>
                <w:sz w:val="18"/>
                <w:szCs w:val="18"/>
              </w:rPr>
              <w:t> </w:t>
            </w:r>
            <w:r>
              <w:rPr>
                <w:rFonts w:ascii="宋体" w:hAnsi="宋体" w:cs="宋体" w:eastAsia="宋体" w:hint="default"/>
                <w:sz w:val="18"/>
                <w:szCs w:val="18"/>
              </w:rPr>
              <w:t>个月内</w:t>
            </w:r>
            <w:r>
              <w:rPr>
                <w:rFonts w:ascii="宋体" w:hAnsi="宋体" w:cs="宋体" w:eastAsia="宋体" w:hint="default"/>
                <w:spacing w:val="-86"/>
                <w:sz w:val="18"/>
                <w:szCs w:val="18"/>
              </w:rPr>
              <w:t> </w:t>
            </w:r>
            <w:r>
              <w:rPr>
                <w:rFonts w:ascii="宋体" w:hAnsi="宋体" w:cs="宋体" w:eastAsia="宋体" w:hint="default"/>
                <w:sz w:val="18"/>
                <w:szCs w:val="18"/>
              </w:rPr>
              <w:t>不转让或者委托他人管理本人直接或间接持有的公司本 </w:t>
            </w:r>
            <w:r>
              <w:rPr>
                <w:rFonts w:ascii="宋体" w:hAnsi="宋体" w:cs="宋体" w:eastAsia="宋体" w:hint="default"/>
                <w:spacing w:val="-1"/>
                <w:sz w:val="18"/>
                <w:szCs w:val="18"/>
              </w:rPr>
              <w:t>次发行前已发行的股份，也不由公司回购本人直接或间接</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其持有的公司本次发行前已发行的股份。</w:t>
            </w:r>
          </w:p>
        </w:tc>
        <w:tc>
          <w:tcPr>
            <w:tcW w:w="992" w:type="dxa"/>
            <w:tcBorders>
              <w:top w:val="single" w:sz="4" w:space="0" w:color="000000"/>
              <w:left w:val="single" w:sz="4" w:space="0" w:color="000000"/>
              <w:bottom w:val="nil" w:sz="6" w:space="0" w:color="auto"/>
              <w:right w:val="single" w:sz="4" w:space="0" w:color="000000"/>
            </w:tcBorders>
          </w:tcPr>
          <w:p>
            <w:pPr/>
          </w:p>
        </w:tc>
        <w:tc>
          <w:tcPr>
            <w:tcW w:w="85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3"/>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宋体" w:hAnsi="宋体" w:cs="宋体" w:eastAsia="宋体" w:hint="default"/>
                <w:sz w:val="18"/>
                <w:szCs w:val="18"/>
              </w:rPr>
              <w:t>08</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530" w:type="dxa"/>
            <w:vMerge w:val="restart"/>
            <w:tcBorders>
              <w:top w:val="single" w:sz="4" w:space="0" w:color="000000"/>
              <w:left w:val="single" w:sz="4" w:space="0" w:color="000000"/>
              <w:right w:val="single" w:sz="4" w:space="0" w:color="000000"/>
            </w:tcBorders>
          </w:tcPr>
          <w:p>
            <w:pPr>
              <w:pStyle w:val="TableParagraph"/>
              <w:spacing w:line="319" w:lineRule="auto" w:before="51"/>
              <w:ind w:left="22" w:right="137"/>
              <w:jc w:val="both"/>
              <w:rPr>
                <w:rFonts w:ascii="宋体" w:hAnsi="宋体" w:cs="宋体" w:eastAsia="宋体" w:hint="default"/>
                <w:sz w:val="18"/>
                <w:szCs w:val="18"/>
              </w:rPr>
            </w:pPr>
            <w:r>
              <w:rPr>
                <w:rFonts w:ascii="宋体" w:hAnsi="宋体" w:cs="宋体" w:eastAsia="宋体" w:hint="default"/>
                <w:sz w:val="18"/>
                <w:szCs w:val="18"/>
              </w:rPr>
              <w:t>承诺 人严 格遵 守了 该项</w:t>
            </w:r>
          </w:p>
        </w:tc>
      </w:tr>
      <w:tr>
        <w:trPr>
          <w:trHeight w:val="1328" w:hRule="exact"/>
        </w:trPr>
        <w:tc>
          <w:tcPr>
            <w:tcW w:w="80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1"/>
              <w:ind w:left="11" w:right="63"/>
              <w:jc w:val="both"/>
              <w:rPr>
                <w:rFonts w:ascii="宋体" w:hAnsi="宋体" w:cs="宋体" w:eastAsia="宋体" w:hint="default"/>
                <w:sz w:val="18"/>
                <w:szCs w:val="18"/>
              </w:rPr>
            </w:pPr>
            <w:r>
              <w:rPr>
                <w:rFonts w:ascii="宋体" w:hAnsi="宋体" w:cs="宋体" w:eastAsia="宋体" w:hint="default"/>
                <w:sz w:val="18"/>
                <w:szCs w:val="18"/>
              </w:rPr>
              <w:t>首次公开 发行或再 融资时所 作承诺</w:t>
            </w:r>
          </w:p>
        </w:tc>
        <w:tc>
          <w:tcPr>
            <w:tcW w:w="709" w:type="dxa"/>
            <w:vMerge/>
            <w:tcBorders>
              <w:left w:val="single" w:sz="13" w:space="0" w:color="D2D2D2"/>
              <w:right w:val="single" w:sz="4" w:space="0" w:color="000000"/>
            </w:tcBorders>
          </w:tcPr>
          <w:p>
            <w:pPr/>
          </w:p>
        </w:tc>
        <w:tc>
          <w:tcPr>
            <w:tcW w:w="1134" w:type="dxa"/>
            <w:vMerge/>
            <w:tcBorders>
              <w:left w:val="single" w:sz="4" w:space="0" w:color="000000"/>
              <w:right w:val="single" w:sz="4" w:space="0" w:color="000000"/>
            </w:tcBorders>
          </w:tcPr>
          <w:p>
            <w:pPr/>
          </w:p>
        </w:tc>
        <w:tc>
          <w:tcPr>
            <w:tcW w:w="4537" w:type="dxa"/>
            <w:vMerge/>
            <w:tcBorders>
              <w:left w:val="single" w:sz="4" w:space="0" w:color="000000"/>
              <w:right w:val="single" w:sz="9" w:space="0" w:color="FFFFFF"/>
            </w:tcBorders>
          </w:tcPr>
          <w:p>
            <w:pPr/>
          </w:p>
        </w:tc>
        <w:tc>
          <w:tcPr>
            <w:tcW w:w="992" w:type="dxa"/>
            <w:vMerge w:val="restart"/>
            <w:tcBorders>
              <w:top w:val="nil" w:sz="6" w:space="0" w:color="auto"/>
              <w:left w:val="single" w:sz="9" w:space="0" w:color="FFFFFF"/>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186" w:lineRule="exact"/>
              <w:ind w:left="-132"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86" w:lineRule="exact"/>
              <w:ind w:left="16"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08</w:t>
            </w:r>
          </w:p>
          <w:p>
            <w:pPr>
              <w:pStyle w:val="TableParagraph"/>
              <w:spacing w:line="240" w:lineRule="auto" w:before="76"/>
              <w:ind w:left="1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50"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r>
      <w:tr>
        <w:trPr>
          <w:trHeight w:val="142" w:hRule="exact"/>
        </w:trPr>
        <w:tc>
          <w:tcPr>
            <w:tcW w:w="805" w:type="dxa"/>
            <w:tcBorders>
              <w:top w:val="nil" w:sz="6" w:space="0" w:color="auto"/>
              <w:left w:val="single" w:sz="4" w:space="0" w:color="000000"/>
              <w:bottom w:val="single" w:sz="4" w:space="0" w:color="000000"/>
              <w:right w:val="single" w:sz="4" w:space="0" w:color="000000"/>
            </w:tcBorders>
            <w:shd w:val="clear" w:color="auto" w:fill="D2D2D2"/>
          </w:tcPr>
          <w:p>
            <w:pPr/>
          </w:p>
        </w:tc>
        <w:tc>
          <w:tcPr>
            <w:tcW w:w="709" w:type="dxa"/>
            <w:vMerge/>
            <w:tcBorders>
              <w:left w:val="single" w:sz="13" w:space="0" w:color="D2D2D2"/>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4537" w:type="dxa"/>
            <w:vMerge/>
            <w:tcBorders>
              <w:left w:val="single" w:sz="4" w:space="0" w:color="000000"/>
              <w:bottom w:val="single" w:sz="4" w:space="0" w:color="000000"/>
              <w:right w:val="single" w:sz="9" w:space="0" w:color="FFFFFF"/>
            </w:tcBorders>
          </w:tcPr>
          <w:p>
            <w:pPr/>
          </w:p>
        </w:tc>
        <w:tc>
          <w:tcPr>
            <w:tcW w:w="992" w:type="dxa"/>
            <w:vMerge/>
            <w:tcBorders>
              <w:left w:val="single" w:sz="9" w:space="0" w:color="FFFFFF"/>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04.294006pt;margin-top:72.47998pt;width:163.35pt;height:126.9pt;mso-position-horizontal-relative:page;mso-position-vertical-relative:page;z-index:-101300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6"/>
                    <w:rPr>
                      <w:rFonts w:ascii="Times New Roman" w:hAnsi="Times New Roman" w:cs="Times New Roman" w:eastAsia="Times New Roman" w:hint="default"/>
                      <w:sz w:val="19"/>
                      <w:szCs w:val="19"/>
                    </w:rPr>
                  </w:pPr>
                </w:p>
                <w:p>
                  <w:pPr>
                    <w:pStyle w:val="BodyText"/>
                    <w:spacing w:line="240" w:lineRule="auto"/>
                    <w:ind w:left="0" w:right="0"/>
                    <w:jc w:val="left"/>
                  </w:pPr>
                  <w:r>
                    <w:rPr/>
                    <w:t>月内不转让直接持有的股份；</w:t>
                  </w:r>
                </w:p>
              </w:txbxContent>
            </v:textbox>
            <w10:wrap type="none"/>
          </v:shape>
        </w:pict>
      </w:r>
    </w:p>
    <w:p>
      <w:pPr>
        <w:spacing w:line="240" w:lineRule="auto" w:before="10"/>
        <w:rPr>
          <w:rFonts w:ascii="Times New Roman" w:hAnsi="Times New Roman" w:cs="Times New Roman" w:eastAsia="Times New Roman" w:hint="default"/>
          <w:sz w:val="12"/>
          <w:szCs w:val="12"/>
        </w:rPr>
      </w:pPr>
    </w:p>
    <w:tbl>
      <w:tblPr>
        <w:tblW w:w="0" w:type="auto"/>
        <w:jc w:val="left"/>
        <w:tblInd w:w="183" w:type="dxa"/>
        <w:tblLayout w:type="fixed"/>
        <w:tblCellMar>
          <w:top w:w="0" w:type="dxa"/>
          <w:left w:w="0" w:type="dxa"/>
          <w:bottom w:w="0" w:type="dxa"/>
          <w:right w:w="0" w:type="dxa"/>
        </w:tblCellMar>
        <w:tblLook w:val="01E0"/>
      </w:tblPr>
      <w:tblGrid>
        <w:gridCol w:w="816"/>
        <w:gridCol w:w="709"/>
        <w:gridCol w:w="1134"/>
        <w:gridCol w:w="4537"/>
        <w:gridCol w:w="992"/>
        <w:gridCol w:w="850"/>
        <w:gridCol w:w="533"/>
      </w:tblGrid>
      <w:tr>
        <w:trPr>
          <w:trHeight w:val="2547" w:hRule="exact"/>
        </w:trPr>
        <w:tc>
          <w:tcPr>
            <w:tcW w:w="816" w:type="dxa"/>
            <w:vMerge w:val="restart"/>
            <w:tcBorders>
              <w:top w:val="single" w:sz="4" w:space="0" w:color="000000"/>
              <w:left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2"/>
              <w:jc w:val="both"/>
              <w:rPr>
                <w:rFonts w:ascii="宋体" w:hAnsi="宋体" w:cs="宋体" w:eastAsia="宋体" w:hint="default"/>
                <w:sz w:val="18"/>
                <w:szCs w:val="18"/>
              </w:rPr>
            </w:pPr>
            <w:r>
              <w:rPr>
                <w:rFonts w:ascii="宋体" w:hAnsi="宋体" w:cs="宋体" w:eastAsia="宋体" w:hint="default"/>
                <w:sz w:val="18"/>
                <w:szCs w:val="18"/>
              </w:rPr>
              <w:t>在担任公司董事、监事或高级管理人员期间，每年转让的 股份不超过本人所持有公司股份总数的百分之二十五。离 职后六个月内，不转让本人直接或间接持有的公司股份。 本人若在首次公开发行股票上市之日起</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个月内申报离</w:t>
            </w:r>
          </w:p>
          <w:p>
            <w:pPr>
              <w:pStyle w:val="TableParagraph"/>
              <w:spacing w:line="240" w:lineRule="auto" w:before="19"/>
              <w:ind w:left="22" w:right="0"/>
              <w:jc w:val="both"/>
              <w:rPr>
                <w:rFonts w:ascii="宋体" w:hAnsi="宋体" w:cs="宋体" w:eastAsia="宋体" w:hint="default"/>
                <w:sz w:val="18"/>
                <w:szCs w:val="18"/>
              </w:rPr>
            </w:pPr>
            <w:r>
              <w:rPr>
                <w:rFonts w:ascii="宋体" w:hAnsi="宋体" w:cs="宋体" w:eastAsia="宋体" w:hint="default"/>
                <w:spacing w:val="-3"/>
                <w:sz w:val="18"/>
                <w:szCs w:val="18"/>
              </w:rPr>
              <w:t>职，自申报离职之日起</w:t>
            </w:r>
            <w:r>
              <w:rPr>
                <w:rFonts w:ascii="宋体" w:hAnsi="宋体" w:cs="宋体" w:eastAsia="宋体" w:hint="default"/>
                <w:spacing w:val="-42"/>
                <w:sz w:val="18"/>
                <w:szCs w:val="18"/>
              </w:rPr>
              <w:t> </w:t>
            </w:r>
            <w:r>
              <w:rPr>
                <w:rFonts w:ascii="宋体" w:hAnsi="宋体" w:cs="宋体" w:eastAsia="宋体" w:hint="default"/>
                <w:sz w:val="18"/>
                <w:szCs w:val="18"/>
              </w:rPr>
              <w:t>18</w:t>
            </w:r>
            <w:r>
              <w:rPr>
                <w:rFonts w:ascii="宋体" w:hAnsi="宋体" w:cs="宋体" w:eastAsia="宋体" w:hint="default"/>
                <w:spacing w:val="-42"/>
                <w:sz w:val="18"/>
                <w:szCs w:val="18"/>
              </w:rPr>
              <w:t> </w:t>
            </w:r>
            <w:r>
              <w:rPr>
                <w:rFonts w:ascii="宋体" w:hAnsi="宋体" w:cs="宋体" w:eastAsia="宋体" w:hint="default"/>
                <w:sz w:val="18"/>
                <w:szCs w:val="18"/>
              </w:rPr>
              <w:t>个</w:t>
            </w:r>
          </w:p>
          <w:p>
            <w:pPr>
              <w:pStyle w:val="TableParagraph"/>
              <w:spacing w:line="240" w:lineRule="auto" w:before="76"/>
              <w:ind w:left="22" w:right="0"/>
              <w:jc w:val="both"/>
              <w:rPr>
                <w:rFonts w:ascii="宋体" w:hAnsi="宋体" w:cs="宋体" w:eastAsia="宋体" w:hint="default"/>
                <w:sz w:val="18"/>
                <w:szCs w:val="18"/>
              </w:rPr>
            </w:pPr>
            <w:r>
              <w:rPr>
                <w:rFonts w:ascii="宋体" w:hAnsi="宋体" w:cs="宋体" w:eastAsia="宋体" w:hint="default"/>
                <w:sz w:val="18"/>
                <w:szCs w:val="18"/>
              </w:rPr>
              <w:t>若在首次公开发行股票上市之日起第</w:t>
            </w:r>
            <w:r>
              <w:rPr>
                <w:rFonts w:ascii="宋体" w:hAnsi="宋体" w:cs="宋体" w:eastAsia="宋体" w:hint="default"/>
                <w:spacing w:val="-46"/>
                <w:sz w:val="18"/>
                <w:szCs w:val="18"/>
              </w:rPr>
              <w:t> </w:t>
            </w:r>
            <w:r>
              <w:rPr>
                <w:rFonts w:ascii="宋体" w:hAnsi="宋体" w:cs="宋体" w:eastAsia="宋体" w:hint="default"/>
                <w:sz w:val="18"/>
                <w:szCs w:val="18"/>
              </w:rPr>
              <w:t>7</w:t>
            </w:r>
            <w:r>
              <w:rPr>
                <w:rFonts w:ascii="宋体" w:hAnsi="宋体" w:cs="宋体" w:eastAsia="宋体" w:hint="default"/>
                <w:spacing w:val="-46"/>
                <w:sz w:val="18"/>
                <w:szCs w:val="18"/>
              </w:rPr>
              <w:t> </w:t>
            </w:r>
            <w:r>
              <w:rPr>
                <w:rFonts w:ascii="宋体" w:hAnsi="宋体" w:cs="宋体" w:eastAsia="宋体" w:hint="default"/>
                <w:sz w:val="18"/>
                <w:szCs w:val="18"/>
              </w:rPr>
              <w:t>个月至第</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个月</w:t>
            </w:r>
          </w:p>
          <w:p>
            <w:pPr>
              <w:pStyle w:val="TableParagraph"/>
              <w:spacing w:line="319" w:lineRule="auto" w:before="76"/>
              <w:ind w:left="22" w:right="92"/>
              <w:jc w:val="both"/>
              <w:rPr>
                <w:rFonts w:ascii="宋体" w:hAnsi="宋体" w:cs="宋体" w:eastAsia="宋体" w:hint="default"/>
                <w:sz w:val="18"/>
                <w:szCs w:val="18"/>
              </w:rPr>
            </w:pPr>
            <w:r>
              <w:rPr>
                <w:rFonts w:ascii="宋体" w:hAnsi="宋体" w:cs="宋体" w:eastAsia="宋体" w:hint="default"/>
                <w:sz w:val="18"/>
                <w:szCs w:val="18"/>
              </w:rPr>
              <w:t>之间申报离职，自申报离职之日起</w:t>
            </w:r>
            <w:r>
              <w:rPr>
                <w:rFonts w:ascii="宋体" w:hAnsi="宋体" w:cs="宋体" w:eastAsia="宋体" w:hint="default"/>
                <w:spacing w:val="-46"/>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个月内不转让直接 持有的股份。</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537"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0"/>
                <w:sz w:val="20"/>
                <w:szCs w:val="20"/>
              </w:rPr>
              <w:pict>
                <v:group style="width:49.15pt;height:126.9pt;mso-position-horizontal-relative:char;mso-position-vertical-relative:line" coordorigin="0,0" coordsize="983,2538">
                  <v:group style="position:absolute;left:0;top:0;width:983;height:2538" coordorigin="0,0" coordsize="983,2538">
                    <v:shape style="position:absolute;left:0;top:0;width:983;height:2538" coordorigin="0,0" coordsize="983,2538" path="m0,2537l983,2537,983,0,0,0,0,2537xe" filled="true" fillcolor="#ffffff" stroked="false">
                      <v:path arrowok="t"/>
                      <v:fill type="solid"/>
                    </v:shape>
                  </v:group>
                </v:group>
              </w:pict>
            </w:r>
            <w:r>
              <w:rPr>
                <w:rFonts w:ascii="Times New Roman" w:hAnsi="Times New Roman" w:cs="Times New Roman" w:eastAsia="Times New Roman" w:hint="default"/>
                <w:position w:val="-50"/>
                <w:sz w:val="20"/>
                <w:szCs w:val="20"/>
              </w:rPr>
            </w:r>
          </w:p>
        </w:tc>
        <w:tc>
          <w:tcPr>
            <w:tcW w:w="850"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承诺</w:t>
            </w:r>
          </w:p>
        </w:tc>
      </w:tr>
      <w:tr>
        <w:trPr>
          <w:trHeight w:val="6330" w:hRule="exact"/>
        </w:trPr>
        <w:tc>
          <w:tcPr>
            <w:tcW w:w="816" w:type="dxa"/>
            <w:vMerge/>
            <w:tcBorders>
              <w:left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316" w:lineRule="auto"/>
              <w:ind w:left="22" w:right="134"/>
              <w:jc w:val="left"/>
              <w:rPr>
                <w:rFonts w:ascii="宋体" w:hAnsi="宋体" w:cs="宋体" w:eastAsia="宋体" w:hint="default"/>
                <w:sz w:val="18"/>
                <w:szCs w:val="18"/>
              </w:rPr>
            </w:pPr>
            <w:r>
              <w:rPr>
                <w:rFonts w:ascii="宋体" w:hAnsi="宋体" w:cs="宋体" w:eastAsia="宋体" w:hint="default"/>
                <w:sz w:val="18"/>
                <w:szCs w:val="18"/>
              </w:rPr>
              <w:t>股份限 售承诺</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9"/>
                <w:szCs w:val="19"/>
              </w:rPr>
            </w:pPr>
          </w:p>
          <w:p>
            <w:pPr>
              <w:pStyle w:val="TableParagraph"/>
              <w:spacing w:line="316" w:lineRule="auto"/>
              <w:ind w:left="22" w:right="199"/>
              <w:jc w:val="both"/>
              <w:rPr>
                <w:rFonts w:ascii="宋体" w:hAnsi="宋体" w:cs="宋体" w:eastAsia="宋体" w:hint="default"/>
                <w:sz w:val="18"/>
                <w:szCs w:val="18"/>
              </w:rPr>
            </w:pPr>
            <w:r>
              <w:rPr>
                <w:rFonts w:ascii="宋体" w:hAnsi="宋体" w:cs="宋体" w:eastAsia="宋体" w:hint="default"/>
                <w:sz w:val="18"/>
                <w:szCs w:val="18"/>
              </w:rPr>
              <w:t>香港优博讯 科技控股集 团有限公司</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82"/>
              <w:jc w:val="left"/>
              <w:rPr>
                <w:rFonts w:ascii="宋体" w:hAnsi="宋体" w:cs="宋体" w:eastAsia="宋体" w:hint="default"/>
                <w:sz w:val="18"/>
                <w:szCs w:val="18"/>
              </w:rPr>
            </w:pPr>
            <w:r>
              <w:rPr>
                <w:rFonts w:ascii="宋体" w:hAnsi="宋体" w:cs="宋体" w:eastAsia="宋体" w:hint="default"/>
                <w:sz w:val="18"/>
                <w:szCs w:val="18"/>
              </w:rPr>
              <w:t>关于所持深圳市优博讯科技股份有限公司股份流通限制 及自愿锁定的承诺书 深圳市优博讯科技股份有限公司</w:t>
            </w:r>
          </w:p>
          <w:p>
            <w:pPr>
              <w:pStyle w:val="TableParagraph"/>
              <w:spacing w:line="316" w:lineRule="auto" w:before="19"/>
              <w:ind w:left="22" w:right="3"/>
              <w:jc w:val="left"/>
              <w:rPr>
                <w:rFonts w:ascii="宋体" w:hAnsi="宋体" w:cs="宋体" w:eastAsia="宋体" w:hint="default"/>
                <w:sz w:val="18"/>
                <w:szCs w:val="18"/>
              </w:rPr>
            </w:pPr>
            <w:r>
              <w:rPr>
                <w:rFonts w:ascii="宋体" w:hAnsi="宋体" w:cs="宋体" w:eastAsia="宋体" w:hint="default"/>
                <w:spacing w:val="-4"/>
                <w:sz w:val="18"/>
                <w:szCs w:val="18"/>
              </w:rPr>
              <w:t>（以下简称“发行人”）拟申请首次公开发行人民币普通</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6"/>
                <w:sz w:val="18"/>
                <w:szCs w:val="18"/>
              </w:rPr>
              <w:t>股（</w:t>
            </w:r>
            <w:r>
              <w:rPr>
                <w:rFonts w:ascii="宋体" w:hAnsi="宋体" w:cs="宋体" w:eastAsia="宋体" w:hint="default"/>
                <w:spacing w:val="-6"/>
                <w:sz w:val="18"/>
                <w:szCs w:val="18"/>
              </w:rPr>
              <w:t>A</w:t>
            </w:r>
            <w:r>
              <w:rPr>
                <w:rFonts w:ascii="宋体" w:hAnsi="宋体" w:cs="宋体" w:eastAsia="宋体" w:hint="default"/>
                <w:spacing w:val="-36"/>
                <w:sz w:val="18"/>
                <w:szCs w:val="18"/>
              </w:rPr>
              <w:t> </w:t>
            </w:r>
            <w:r>
              <w:rPr>
                <w:rFonts w:ascii="宋体" w:hAnsi="宋体" w:cs="宋体" w:eastAsia="宋体" w:hint="default"/>
                <w:spacing w:val="-14"/>
                <w:sz w:val="18"/>
                <w:szCs w:val="18"/>
              </w:rPr>
              <w:t>股）股票并在创业板上市（以下简称“本次发行”），</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本公司为发行人的第一大股东。本公司就所持有的发行人</w:t>
            </w:r>
            <w:r>
              <w:rPr>
                <w:rFonts w:ascii="宋体" w:hAnsi="宋体" w:cs="宋体" w:eastAsia="宋体" w:hint="default"/>
                <w:sz w:val="18"/>
                <w:szCs w:val="18"/>
              </w:rPr>
              <w:t> 首次公开发行并在创业板上市后股份的流通限制及自愿 锁定事宜，进一步承诺如下： 一、如果证券监管部门核 准发行人本次公开发行股票并上市事项，发行人股票在证 券交易所上市，自发行人股票上市之日起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个月内，本 公司不转让或者委托他人管理本公司直接或间接持有的 发行人首次公开发行股票前已发行的股份（本次公开发行 </w:t>
            </w:r>
            <w:r>
              <w:rPr>
                <w:rFonts w:ascii="宋体" w:hAnsi="宋体" w:cs="宋体" w:eastAsia="宋体" w:hint="default"/>
                <w:spacing w:val="-4"/>
                <w:sz w:val="18"/>
                <w:szCs w:val="18"/>
              </w:rPr>
              <w:t>股票中公开发售的股份除外），也不由发行人回购本公司</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直接或间接持有的发行人首次公开发行股票前已发行的 </w:t>
            </w:r>
            <w:r>
              <w:rPr>
                <w:rFonts w:ascii="宋体" w:hAnsi="宋体" w:cs="宋体" w:eastAsia="宋体" w:hint="default"/>
                <w:spacing w:val="-4"/>
                <w:sz w:val="18"/>
                <w:szCs w:val="18"/>
              </w:rPr>
              <w:t>股份（本次公开发行股票中公开发售的股份除外）。</w:t>
            </w:r>
            <w:r>
              <w:rPr>
                <w:rFonts w:ascii="宋体" w:hAnsi="宋体" w:cs="宋体" w:eastAsia="宋体" w:hint="default"/>
                <w:spacing w:val="1"/>
                <w:sz w:val="18"/>
                <w:szCs w:val="18"/>
              </w:rPr>
              <w:t> </w:t>
            </w:r>
            <w:r>
              <w:rPr>
                <w:rFonts w:ascii="宋体" w:hAnsi="宋体" w:cs="宋体" w:eastAsia="宋体" w:hint="default"/>
                <w:sz w:val="18"/>
                <w:szCs w:val="18"/>
              </w:rPr>
              <w:t>二、</w:t>
            </w:r>
            <w:r>
              <w:rPr>
                <w:rFonts w:ascii="宋体" w:hAnsi="宋体" w:cs="宋体" w:eastAsia="宋体" w:hint="default"/>
                <w:sz w:val="18"/>
                <w:szCs w:val="18"/>
              </w:rPr>
              <w:t> 如本公司在上述锁定期满后两年内减持所持发行人股票 的，减持价格不低于本次发行的发行价；发行人上市后</w:t>
            </w:r>
            <w:r>
              <w:rPr>
                <w:rFonts w:ascii="宋体" w:hAnsi="宋体" w:cs="宋体" w:eastAsia="宋体" w:hint="default"/>
                <w:spacing w:val="-45"/>
                <w:sz w:val="18"/>
                <w:szCs w:val="18"/>
              </w:rPr>
              <w:t> </w:t>
            </w:r>
            <w:r>
              <w:rPr>
                <w:rFonts w:ascii="宋体" w:hAnsi="宋体" w:cs="宋体" w:eastAsia="宋体" w:hint="default"/>
                <w:sz w:val="18"/>
                <w:szCs w:val="18"/>
              </w:rPr>
              <w:t>6</w:t>
            </w:r>
          </w:p>
          <w:p>
            <w:pPr>
              <w:pStyle w:val="TableParagraph"/>
              <w:spacing w:line="240" w:lineRule="auto" w:before="19"/>
              <w:ind w:left="22" w:right="0"/>
              <w:jc w:val="left"/>
              <w:rPr>
                <w:rFonts w:ascii="宋体" w:hAnsi="宋体" w:cs="宋体" w:eastAsia="宋体" w:hint="default"/>
                <w:sz w:val="18"/>
                <w:szCs w:val="18"/>
              </w:rPr>
            </w:pPr>
            <w:r>
              <w:rPr>
                <w:rFonts w:ascii="宋体" w:hAnsi="宋体" w:cs="宋体" w:eastAsia="宋体" w:hint="default"/>
                <w:sz w:val="18"/>
                <w:szCs w:val="18"/>
              </w:rPr>
              <w:t>个月内如发行人股票连续</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45"/>
                <w:sz w:val="18"/>
                <w:szCs w:val="18"/>
              </w:rPr>
              <w:t> </w:t>
            </w:r>
            <w:r>
              <w:rPr>
                <w:rFonts w:ascii="宋体" w:hAnsi="宋体" w:cs="宋体" w:eastAsia="宋体" w:hint="default"/>
                <w:sz w:val="18"/>
                <w:szCs w:val="18"/>
              </w:rPr>
              <w:t>个交易日的收盘价均低于本</w:t>
            </w:r>
          </w:p>
          <w:p>
            <w:pPr>
              <w:pStyle w:val="TableParagraph"/>
              <w:spacing w:line="319" w:lineRule="auto" w:before="76"/>
              <w:ind w:left="22" w:right="22"/>
              <w:jc w:val="both"/>
              <w:rPr>
                <w:rFonts w:ascii="宋体" w:hAnsi="宋体" w:cs="宋体" w:eastAsia="宋体" w:hint="default"/>
                <w:sz w:val="18"/>
                <w:szCs w:val="18"/>
              </w:rPr>
            </w:pPr>
            <w:r>
              <w:rPr>
                <w:rFonts w:ascii="宋体" w:hAnsi="宋体" w:cs="宋体" w:eastAsia="宋体" w:hint="default"/>
                <w:sz w:val="18"/>
                <w:szCs w:val="18"/>
              </w:rPr>
              <w:t>次发行的发行价，或者上市后</w:t>
            </w:r>
            <w:r>
              <w:rPr>
                <w:rFonts w:ascii="宋体" w:hAnsi="宋体" w:cs="宋体" w:eastAsia="宋体" w:hint="default"/>
                <w:spacing w:val="-55"/>
                <w:sz w:val="18"/>
                <w:szCs w:val="18"/>
              </w:rPr>
              <w:t> </w:t>
            </w:r>
            <w:r>
              <w:rPr>
                <w:rFonts w:ascii="宋体" w:hAnsi="宋体" w:cs="宋体" w:eastAsia="宋体" w:hint="default"/>
                <w:sz w:val="18"/>
                <w:szCs w:val="18"/>
              </w:rPr>
              <w:t>6</w:t>
            </w:r>
            <w:r>
              <w:rPr>
                <w:rFonts w:ascii="宋体" w:hAnsi="宋体" w:cs="宋体" w:eastAsia="宋体" w:hint="default"/>
                <w:spacing w:val="-55"/>
                <w:sz w:val="18"/>
                <w:szCs w:val="18"/>
              </w:rPr>
              <w:t> </w:t>
            </w:r>
            <w:r>
              <w:rPr>
                <w:rFonts w:ascii="宋体" w:hAnsi="宋体" w:cs="宋体" w:eastAsia="宋体" w:hint="default"/>
                <w:sz w:val="18"/>
                <w:szCs w:val="18"/>
              </w:rPr>
              <w:t>个月期末收盘价低于本次 </w:t>
            </w:r>
            <w:r>
              <w:rPr>
                <w:rFonts w:ascii="宋体" w:hAnsi="宋体" w:cs="宋体" w:eastAsia="宋体" w:hint="default"/>
                <w:spacing w:val="-1"/>
                <w:sz w:val="18"/>
                <w:szCs w:val="18"/>
              </w:rPr>
              <w:t>发行的发行价，本公司持有的发行人股票将在上述锁定期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限届满后自动延长</w:t>
            </w:r>
            <w:r>
              <w:rPr>
                <w:rFonts w:ascii="宋体" w:hAnsi="宋体" w:cs="宋体" w:eastAsia="宋体" w:hint="default"/>
                <w:spacing w:val="-46"/>
                <w:sz w:val="18"/>
                <w:szCs w:val="18"/>
              </w:rPr>
              <w:t> </w:t>
            </w:r>
            <w:r>
              <w:rPr>
                <w:rFonts w:ascii="宋体" w:hAnsi="宋体" w:cs="宋体" w:eastAsia="宋体" w:hint="default"/>
                <w:sz w:val="18"/>
                <w:szCs w:val="18"/>
              </w:rPr>
              <w:t>6</w:t>
            </w:r>
            <w:r>
              <w:rPr>
                <w:rFonts w:ascii="宋体" w:hAnsi="宋体" w:cs="宋体" w:eastAsia="宋体" w:hint="default"/>
                <w:spacing w:val="-46"/>
                <w:sz w:val="18"/>
                <w:szCs w:val="18"/>
              </w:rPr>
              <w:t> </w:t>
            </w:r>
            <w:r>
              <w:rPr>
                <w:rFonts w:ascii="宋体" w:hAnsi="宋体" w:cs="宋体" w:eastAsia="宋体" w:hint="default"/>
                <w:sz w:val="18"/>
                <w:szCs w:val="18"/>
              </w:rPr>
              <w:t>个月的锁定期。 特此承诺。</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08</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3"/>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宋体" w:hAnsi="宋体" w:cs="宋体" w:eastAsia="宋体" w:hint="default"/>
                <w:sz w:val="18"/>
                <w:szCs w:val="18"/>
              </w:rPr>
              <w:t>08</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6" w:lineRule="auto"/>
              <w:ind w:left="22" w:right="138"/>
              <w:jc w:val="both"/>
              <w:rPr>
                <w:rFonts w:ascii="宋体" w:hAnsi="宋体" w:cs="宋体" w:eastAsia="宋体" w:hint="default"/>
                <w:sz w:val="18"/>
                <w:szCs w:val="18"/>
              </w:rPr>
            </w:pPr>
            <w:r>
              <w:rPr>
                <w:rFonts w:ascii="宋体" w:hAnsi="宋体" w:cs="宋体" w:eastAsia="宋体" w:hint="default"/>
                <w:sz w:val="18"/>
                <w:szCs w:val="18"/>
              </w:rPr>
              <w:t>承诺 人严 格遵 守了 该项 承诺</w:t>
            </w:r>
          </w:p>
        </w:tc>
      </w:tr>
      <w:tr>
        <w:trPr>
          <w:trHeight w:val="4770" w:hRule="exact"/>
        </w:trPr>
        <w:tc>
          <w:tcPr>
            <w:tcW w:w="816" w:type="dxa"/>
            <w:vMerge/>
            <w:tcBorders>
              <w:left w:val="single" w:sz="4" w:space="0" w:color="000000"/>
              <w:bottom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316" w:lineRule="auto"/>
              <w:ind w:left="22" w:right="134"/>
              <w:jc w:val="left"/>
              <w:rPr>
                <w:rFonts w:ascii="宋体" w:hAnsi="宋体" w:cs="宋体" w:eastAsia="宋体" w:hint="default"/>
                <w:sz w:val="18"/>
                <w:szCs w:val="18"/>
              </w:rPr>
            </w:pPr>
            <w:r>
              <w:rPr>
                <w:rFonts w:ascii="宋体" w:hAnsi="宋体" w:cs="宋体" w:eastAsia="宋体" w:hint="default"/>
                <w:sz w:val="18"/>
                <w:szCs w:val="18"/>
              </w:rPr>
              <w:t>股份限 售承诺</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1"/>
              <w:ind w:left="22" w:right="0"/>
              <w:jc w:val="left"/>
              <w:rPr>
                <w:rFonts w:ascii="宋体" w:hAnsi="宋体" w:cs="宋体" w:eastAsia="宋体" w:hint="default"/>
                <w:sz w:val="18"/>
                <w:szCs w:val="18"/>
              </w:rPr>
            </w:pPr>
            <w:r>
              <w:rPr>
                <w:rFonts w:ascii="宋体"/>
                <w:sz w:val="18"/>
              </w:rPr>
              <w:t>GUO</w:t>
            </w:r>
            <w:r>
              <w:rPr>
                <w:rFonts w:ascii="宋体"/>
                <w:spacing w:val="-3"/>
                <w:sz w:val="18"/>
              </w:rPr>
              <w:t> </w:t>
            </w:r>
            <w:r>
              <w:rPr>
                <w:rFonts w:ascii="宋体"/>
                <w:sz w:val="18"/>
              </w:rPr>
              <w:t>SONG;LIU</w:t>
            </w:r>
          </w:p>
          <w:p>
            <w:pPr>
              <w:pStyle w:val="TableParagraph"/>
              <w:spacing w:line="319" w:lineRule="auto" w:before="75"/>
              <w:ind w:left="22" w:right="109"/>
              <w:jc w:val="left"/>
              <w:rPr>
                <w:rFonts w:ascii="宋体" w:hAnsi="宋体" w:cs="宋体" w:eastAsia="宋体" w:hint="default"/>
                <w:sz w:val="18"/>
                <w:szCs w:val="18"/>
              </w:rPr>
            </w:pPr>
            <w:r>
              <w:rPr>
                <w:rFonts w:ascii="宋体" w:hAnsi="宋体" w:cs="宋体" w:eastAsia="宋体" w:hint="default"/>
                <w:sz w:val="18"/>
                <w:szCs w:val="18"/>
              </w:rPr>
              <w:t>DAN;</w:t>
            </w:r>
            <w:r>
              <w:rPr>
                <w:rFonts w:ascii="宋体" w:hAnsi="宋体" w:cs="宋体" w:eastAsia="宋体" w:hint="default"/>
                <w:sz w:val="18"/>
                <w:szCs w:val="18"/>
              </w:rPr>
              <w:t>陈雪飞</w:t>
            </w:r>
            <w:r>
              <w:rPr>
                <w:rFonts w:ascii="宋体" w:hAnsi="宋体" w:cs="宋体" w:eastAsia="宋体" w:hint="default"/>
                <w:sz w:val="18"/>
                <w:szCs w:val="18"/>
              </w:rPr>
              <w:t>; </w:t>
            </w:r>
            <w:r>
              <w:rPr>
                <w:rFonts w:ascii="宋体" w:hAnsi="宋体" w:cs="宋体" w:eastAsia="宋体" w:hint="default"/>
                <w:sz w:val="18"/>
                <w:szCs w:val="18"/>
              </w:rPr>
              <w:t>高明玉</w:t>
            </w:r>
            <w:r>
              <w:rPr>
                <w:rFonts w:ascii="宋体" w:hAnsi="宋体" w:cs="宋体" w:eastAsia="宋体" w:hint="default"/>
                <w:sz w:val="18"/>
                <w:szCs w:val="18"/>
              </w:rPr>
              <w:t>;</w:t>
            </w:r>
            <w:r>
              <w:rPr>
                <w:rFonts w:ascii="宋体" w:hAnsi="宋体" w:cs="宋体" w:eastAsia="宋体" w:hint="default"/>
                <w:sz w:val="18"/>
                <w:szCs w:val="18"/>
              </w:rPr>
              <w:t>刘 镇</w:t>
            </w:r>
            <w:r>
              <w:rPr>
                <w:rFonts w:ascii="宋体" w:hAnsi="宋体" w:cs="宋体" w:eastAsia="宋体" w:hint="default"/>
                <w:sz w:val="18"/>
                <w:szCs w:val="18"/>
              </w:rPr>
              <w:t>;</w:t>
            </w:r>
            <w:r>
              <w:rPr>
                <w:rFonts w:ascii="宋体" w:hAnsi="宋体" w:cs="宋体" w:eastAsia="宋体" w:hint="default"/>
                <w:sz w:val="18"/>
                <w:szCs w:val="18"/>
              </w:rPr>
              <w:t>仝文定</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82"/>
              <w:jc w:val="left"/>
              <w:rPr>
                <w:rFonts w:ascii="宋体" w:hAnsi="宋体" w:cs="宋体" w:eastAsia="宋体" w:hint="default"/>
                <w:sz w:val="18"/>
                <w:szCs w:val="18"/>
              </w:rPr>
            </w:pPr>
            <w:r>
              <w:rPr>
                <w:rFonts w:ascii="宋体" w:hAnsi="宋体" w:cs="宋体" w:eastAsia="宋体" w:hint="default"/>
                <w:sz w:val="18"/>
                <w:szCs w:val="18"/>
              </w:rPr>
              <w:t>关于所持深圳市优博讯科技股份有限公司股份流通限制 及自愿锁定的承诺书 深圳市优博讯科技股份有限公司</w:t>
            </w:r>
          </w:p>
          <w:p>
            <w:pPr>
              <w:pStyle w:val="TableParagraph"/>
              <w:spacing w:line="316" w:lineRule="auto" w:before="19"/>
              <w:ind w:left="22" w:right="23"/>
              <w:jc w:val="left"/>
              <w:rPr>
                <w:rFonts w:ascii="宋体" w:hAnsi="宋体" w:cs="宋体" w:eastAsia="宋体" w:hint="default"/>
                <w:sz w:val="18"/>
                <w:szCs w:val="18"/>
              </w:rPr>
            </w:pPr>
            <w:r>
              <w:rPr>
                <w:rFonts w:ascii="宋体" w:hAnsi="宋体" w:cs="宋体" w:eastAsia="宋体" w:hint="default"/>
                <w:spacing w:val="-4"/>
                <w:sz w:val="18"/>
                <w:szCs w:val="18"/>
              </w:rPr>
              <w:t>（以下简称“发行人”）拟申请首次公开发行人民币普通</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6"/>
                <w:sz w:val="18"/>
                <w:szCs w:val="18"/>
              </w:rPr>
              <w:t>股（</w:t>
            </w:r>
            <w:r>
              <w:rPr>
                <w:rFonts w:ascii="宋体" w:hAnsi="宋体" w:cs="宋体" w:eastAsia="宋体" w:hint="default"/>
                <w:spacing w:val="-6"/>
                <w:sz w:val="18"/>
                <w:szCs w:val="18"/>
              </w:rPr>
              <w:t>A</w:t>
            </w:r>
            <w:r>
              <w:rPr>
                <w:rFonts w:ascii="宋体" w:hAnsi="宋体" w:cs="宋体" w:eastAsia="宋体" w:hint="default"/>
                <w:spacing w:val="-33"/>
                <w:sz w:val="18"/>
                <w:szCs w:val="18"/>
              </w:rPr>
              <w:t> </w:t>
            </w:r>
            <w:r>
              <w:rPr>
                <w:rFonts w:ascii="宋体" w:hAnsi="宋体" w:cs="宋体" w:eastAsia="宋体" w:hint="default"/>
                <w:spacing w:val="-14"/>
                <w:sz w:val="18"/>
                <w:szCs w:val="18"/>
              </w:rPr>
              <w:t>股）股票并在创业板上市（以下简称“本次发行”），</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本人为发行人的董事</w:t>
            </w:r>
            <w:r>
              <w:rPr>
                <w:rFonts w:ascii="宋体" w:hAnsi="宋体" w:cs="宋体" w:eastAsia="宋体" w:hint="default"/>
                <w:sz w:val="18"/>
                <w:szCs w:val="18"/>
              </w:rPr>
              <w:t>/</w:t>
            </w:r>
            <w:r>
              <w:rPr>
                <w:rFonts w:ascii="宋体" w:hAnsi="宋体" w:cs="宋体" w:eastAsia="宋体" w:hint="default"/>
                <w:sz w:val="18"/>
                <w:szCs w:val="18"/>
              </w:rPr>
              <w:t>高管，间接持有发行人的股份。本 人就间接持有的发行人首次公开发行并在创业板上市后 股份的流通限制及自愿锁定事宜，进一步承诺如下： 如 </w:t>
            </w:r>
            <w:r>
              <w:rPr>
                <w:rFonts w:ascii="宋体" w:hAnsi="宋体" w:cs="宋体" w:eastAsia="宋体" w:hint="default"/>
                <w:spacing w:val="-1"/>
                <w:sz w:val="18"/>
                <w:szCs w:val="18"/>
              </w:rPr>
              <w:t>本人在锁定期满后两年内减持所持发行人股票的，减持价</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格不低于本次发行的发行价；发行人上市后</w:t>
            </w:r>
            <w:r>
              <w:rPr>
                <w:rFonts w:ascii="宋体" w:hAnsi="宋体" w:cs="宋体" w:eastAsia="宋体" w:hint="default"/>
                <w:spacing w:val="-56"/>
                <w:sz w:val="18"/>
                <w:szCs w:val="18"/>
              </w:rPr>
              <w:t> </w:t>
            </w:r>
            <w:r>
              <w:rPr>
                <w:rFonts w:ascii="宋体" w:hAnsi="宋体" w:cs="宋体" w:eastAsia="宋体" w:hint="default"/>
                <w:sz w:val="18"/>
                <w:szCs w:val="18"/>
              </w:rPr>
              <w:t>6</w:t>
            </w:r>
            <w:r>
              <w:rPr>
                <w:rFonts w:ascii="宋体" w:hAnsi="宋体" w:cs="宋体" w:eastAsia="宋体" w:hint="default"/>
                <w:spacing w:val="-56"/>
                <w:sz w:val="18"/>
                <w:szCs w:val="18"/>
              </w:rPr>
              <w:t> </w:t>
            </w:r>
            <w:r>
              <w:rPr>
                <w:rFonts w:ascii="宋体" w:hAnsi="宋体" w:cs="宋体" w:eastAsia="宋体" w:hint="default"/>
                <w:sz w:val="18"/>
                <w:szCs w:val="18"/>
              </w:rPr>
              <w:t>个月内如发</w:t>
            </w:r>
          </w:p>
          <w:p>
            <w:pPr>
              <w:pStyle w:val="TableParagraph"/>
              <w:spacing w:line="240" w:lineRule="auto" w:before="19"/>
              <w:ind w:left="22" w:right="0"/>
              <w:jc w:val="left"/>
              <w:rPr>
                <w:rFonts w:ascii="宋体" w:hAnsi="宋体" w:cs="宋体" w:eastAsia="宋体" w:hint="default"/>
                <w:sz w:val="18"/>
                <w:szCs w:val="18"/>
              </w:rPr>
            </w:pPr>
            <w:r>
              <w:rPr>
                <w:rFonts w:ascii="宋体" w:hAnsi="宋体" w:cs="宋体" w:eastAsia="宋体" w:hint="default"/>
                <w:sz w:val="18"/>
                <w:szCs w:val="18"/>
              </w:rPr>
              <w:t>行人股票连续</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46"/>
                <w:sz w:val="18"/>
                <w:szCs w:val="18"/>
              </w:rPr>
              <w:t> </w:t>
            </w:r>
            <w:r>
              <w:rPr>
                <w:rFonts w:ascii="宋体" w:hAnsi="宋体" w:cs="宋体" w:eastAsia="宋体" w:hint="default"/>
                <w:sz w:val="18"/>
                <w:szCs w:val="18"/>
              </w:rPr>
              <w:t>个交易日的收盘价均低于本次发行的发</w:t>
            </w:r>
          </w:p>
          <w:p>
            <w:pPr>
              <w:pStyle w:val="TableParagraph"/>
              <w:spacing w:line="319" w:lineRule="auto" w:before="76"/>
              <w:ind w:left="22" w:right="22"/>
              <w:jc w:val="both"/>
              <w:rPr>
                <w:rFonts w:ascii="宋体" w:hAnsi="宋体" w:cs="宋体" w:eastAsia="宋体" w:hint="default"/>
                <w:sz w:val="18"/>
                <w:szCs w:val="18"/>
              </w:rPr>
            </w:pPr>
            <w:r>
              <w:rPr>
                <w:rFonts w:ascii="宋体" w:hAnsi="宋体" w:cs="宋体" w:eastAsia="宋体" w:hint="default"/>
                <w:spacing w:val="-3"/>
                <w:sz w:val="18"/>
                <w:szCs w:val="18"/>
              </w:rPr>
              <w:t>行价，或者上市后</w:t>
            </w:r>
            <w:r>
              <w:rPr>
                <w:rFonts w:ascii="宋体" w:hAnsi="宋体" w:cs="宋体" w:eastAsia="宋体" w:hint="default"/>
                <w:spacing w:val="-45"/>
                <w:sz w:val="18"/>
                <w:szCs w:val="18"/>
              </w:rPr>
              <w:t> </w:t>
            </w:r>
            <w:r>
              <w:rPr>
                <w:rFonts w:ascii="宋体" w:hAnsi="宋体" w:cs="宋体" w:eastAsia="宋体" w:hint="default"/>
                <w:sz w:val="18"/>
                <w:szCs w:val="18"/>
              </w:rPr>
              <w:t>6</w:t>
            </w:r>
            <w:r>
              <w:rPr>
                <w:rFonts w:ascii="宋体" w:hAnsi="宋体" w:cs="宋体" w:eastAsia="宋体" w:hint="default"/>
                <w:spacing w:val="-45"/>
                <w:sz w:val="18"/>
                <w:szCs w:val="18"/>
              </w:rPr>
              <w:t> </w:t>
            </w:r>
            <w:r>
              <w:rPr>
                <w:rFonts w:ascii="宋体" w:hAnsi="宋体" w:cs="宋体" w:eastAsia="宋体" w:hint="default"/>
                <w:sz w:val="18"/>
                <w:szCs w:val="18"/>
              </w:rPr>
              <w:t>个月期末收盘价低于本次发行的发行 </w:t>
            </w:r>
            <w:r>
              <w:rPr>
                <w:rFonts w:ascii="宋体" w:hAnsi="宋体" w:cs="宋体" w:eastAsia="宋体" w:hint="default"/>
                <w:spacing w:val="-1"/>
                <w:sz w:val="18"/>
                <w:szCs w:val="18"/>
              </w:rPr>
              <w:t>价，本公司持有的发行人股票将在上述锁定期限届满后自</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动延长</w:t>
            </w:r>
            <w:r>
              <w:rPr>
                <w:rFonts w:ascii="宋体" w:hAnsi="宋体" w:cs="宋体" w:eastAsia="宋体" w:hint="default"/>
                <w:spacing w:val="-55"/>
                <w:sz w:val="18"/>
                <w:szCs w:val="18"/>
              </w:rPr>
              <w:t> </w:t>
            </w:r>
            <w:r>
              <w:rPr>
                <w:rFonts w:ascii="宋体" w:hAnsi="宋体" w:cs="宋体" w:eastAsia="宋体" w:hint="default"/>
                <w:sz w:val="18"/>
                <w:szCs w:val="18"/>
              </w:rPr>
              <w:t>6</w:t>
            </w:r>
            <w:r>
              <w:rPr>
                <w:rFonts w:ascii="宋体" w:hAnsi="宋体" w:cs="宋体" w:eastAsia="宋体" w:hint="default"/>
                <w:spacing w:val="-55"/>
                <w:sz w:val="18"/>
                <w:szCs w:val="18"/>
              </w:rPr>
              <w:t> </w:t>
            </w:r>
            <w:r>
              <w:rPr>
                <w:rFonts w:ascii="宋体" w:hAnsi="宋体" w:cs="宋体" w:eastAsia="宋体" w:hint="default"/>
                <w:sz w:val="18"/>
                <w:szCs w:val="18"/>
              </w:rPr>
              <w:t>个月的锁定期。本人不因在公司职务变更或离职 </w:t>
            </w:r>
            <w:r>
              <w:rPr>
                <w:rFonts w:ascii="宋体" w:hAnsi="宋体" w:cs="宋体" w:eastAsia="宋体" w:hint="default"/>
                <w:spacing w:val="-1"/>
                <w:sz w:val="18"/>
                <w:szCs w:val="18"/>
              </w:rPr>
              <w:t>放弃上述承诺。前述股东违反上述承诺减持股票取得的所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得归公司所有。 特此承诺。</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08</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2021</w:t>
            </w:r>
            <w:r>
              <w:rPr>
                <w:rFonts w:ascii="宋体" w:hAnsi="宋体" w:cs="宋体" w:eastAsia="宋体" w:hint="default"/>
                <w:spacing w:val="-53"/>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宋体" w:hAnsi="宋体" w:cs="宋体" w:eastAsia="宋体" w:hint="default"/>
                <w:sz w:val="18"/>
                <w:szCs w:val="18"/>
              </w:rPr>
              <w:t>08</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316" w:lineRule="auto"/>
              <w:ind w:left="22" w:right="138"/>
              <w:jc w:val="both"/>
              <w:rPr>
                <w:rFonts w:ascii="宋体" w:hAnsi="宋体" w:cs="宋体" w:eastAsia="宋体" w:hint="default"/>
                <w:sz w:val="18"/>
                <w:szCs w:val="18"/>
              </w:rPr>
            </w:pPr>
            <w:r>
              <w:rPr>
                <w:rFonts w:ascii="宋体" w:hAnsi="宋体" w:cs="宋体" w:eastAsia="宋体" w:hint="default"/>
                <w:sz w:val="18"/>
                <w:szCs w:val="18"/>
              </w:rPr>
              <w:t>承诺 人严 格遵 守了 该项 承诺</w:t>
            </w:r>
          </w:p>
        </w:tc>
      </w:tr>
    </w:tbl>
    <w:p>
      <w:pPr>
        <w:spacing w:after="0" w:line="316" w:lineRule="auto"/>
        <w:jc w:val="both"/>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13.299988pt;margin-top:619.419983pt;width:154.35pt;height:139.5pt;mso-position-horizontal-relative:page;mso-position-vertical-relative:page;z-index:-1012984"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7"/>
                    <w:rPr>
                      <w:rFonts w:ascii="Times New Roman" w:hAnsi="Times New Roman" w:cs="Times New Roman" w:eastAsia="Times New Roman" w:hint="default"/>
                      <w:sz w:val="26"/>
                      <w:szCs w:val="26"/>
                    </w:rPr>
                  </w:pPr>
                </w:p>
                <w:p>
                  <w:pPr>
                    <w:pStyle w:val="BodyText"/>
                    <w:spacing w:line="240" w:lineRule="auto"/>
                    <w:ind w:left="0" w:right="0"/>
                    <w:jc w:val="left"/>
                  </w:pPr>
                  <w:r>
                    <w:rPr/>
                    <w:t>出售本次公开发行前直接、</w:t>
                  </w:r>
                </w:p>
              </w:txbxContent>
            </v:textbox>
            <w10:wrap type="none"/>
          </v:shape>
        </w:pict>
      </w:r>
      <w:r>
        <w:rPr/>
        <w:pict>
          <v:group style="position:absolute;margin-left:418.5pt;margin-top:619.419983pt;width:49.15pt;height:139.5pt;mso-position-horizontal-relative:page;mso-position-vertical-relative:page;z-index:-1012960" coordorigin="8370,12388" coordsize="983,2790">
            <v:shape style="position:absolute;left:8370;top:12388;width:983;height:2790" coordorigin="8370,12388" coordsize="983,2790" path="m8370,15178l9353,15178,9353,12388,8370,12388,8370,15178xe" filled="true" fillcolor="#ffffff" stroked="false">
              <v:path arrowok="t"/>
              <v:fill type="solid"/>
            </v:shape>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83" w:type="dxa"/>
        <w:tblLayout w:type="fixed"/>
        <w:tblCellMar>
          <w:top w:w="0" w:type="dxa"/>
          <w:left w:w="0" w:type="dxa"/>
          <w:bottom w:w="0" w:type="dxa"/>
          <w:right w:w="0" w:type="dxa"/>
        </w:tblCellMar>
        <w:tblLook w:val="01E0"/>
      </w:tblPr>
      <w:tblGrid>
        <w:gridCol w:w="816"/>
        <w:gridCol w:w="709"/>
        <w:gridCol w:w="1134"/>
        <w:gridCol w:w="4537"/>
        <w:gridCol w:w="992"/>
        <w:gridCol w:w="850"/>
        <w:gridCol w:w="530"/>
      </w:tblGrid>
      <w:tr>
        <w:trPr>
          <w:trHeight w:val="2274" w:hRule="exact"/>
        </w:trPr>
        <w:tc>
          <w:tcPr>
            <w:tcW w:w="816" w:type="dxa"/>
            <w:vMerge w:val="restart"/>
            <w:tcBorders>
              <w:top w:val="single" w:sz="4" w:space="0" w:color="000000"/>
              <w:left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9" w:lineRule="auto"/>
              <w:ind w:left="22" w:right="134"/>
              <w:jc w:val="left"/>
              <w:rPr>
                <w:rFonts w:ascii="宋体" w:hAnsi="宋体" w:cs="宋体" w:eastAsia="宋体" w:hint="default"/>
                <w:sz w:val="18"/>
                <w:szCs w:val="18"/>
              </w:rPr>
            </w:pPr>
            <w:r>
              <w:rPr>
                <w:rFonts w:ascii="宋体" w:hAnsi="宋体" w:cs="宋体" w:eastAsia="宋体" w:hint="default"/>
                <w:sz w:val="18"/>
                <w:szCs w:val="18"/>
              </w:rPr>
              <w:t>股份限 售承诺</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9" w:lineRule="auto"/>
              <w:ind w:left="22" w:right="199"/>
              <w:jc w:val="both"/>
              <w:rPr>
                <w:rFonts w:ascii="宋体" w:hAnsi="宋体" w:cs="宋体" w:eastAsia="宋体" w:hint="default"/>
                <w:sz w:val="18"/>
                <w:szCs w:val="18"/>
              </w:rPr>
            </w:pPr>
            <w:r>
              <w:rPr>
                <w:rFonts w:ascii="宋体" w:hAnsi="宋体" w:cs="宋体" w:eastAsia="宋体" w:hint="default"/>
                <w:sz w:val="18"/>
                <w:szCs w:val="18"/>
              </w:rPr>
              <w:t>香港优博讯 科技控股集 团有限公司</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本公司作为深圳市优博讯科技股份有限公司（以下简称 </w:t>
            </w:r>
            <w:r>
              <w:rPr>
                <w:rFonts w:ascii="宋体" w:hAnsi="宋体" w:cs="宋体" w:eastAsia="宋体" w:hint="default"/>
                <w:spacing w:val="-6"/>
                <w:sz w:val="18"/>
                <w:szCs w:val="18"/>
              </w:rPr>
              <w:t>“公司”）控股股东，现郑重承诺如下： </w:t>
            </w:r>
            <w:r>
              <w:rPr>
                <w:rFonts w:ascii="宋体" w:hAnsi="宋体" w:cs="宋体" w:eastAsia="宋体" w:hint="default"/>
                <w:sz w:val="18"/>
                <w:szCs w:val="18"/>
              </w:rPr>
              <w:t>自深圳市优博讯</w:t>
            </w:r>
            <w:r>
              <w:rPr>
                <w:rFonts w:ascii="宋体" w:hAnsi="宋体" w:cs="宋体" w:eastAsia="宋体" w:hint="default"/>
                <w:sz w:val="18"/>
                <w:szCs w:val="18"/>
              </w:rPr>
              <w:t> 科技股份公司股票上市之日起</w:t>
            </w:r>
            <w:r>
              <w:rPr>
                <w:rFonts w:ascii="宋体" w:hAnsi="宋体" w:cs="宋体" w:eastAsia="宋体" w:hint="default"/>
                <w:spacing w:val="-46"/>
                <w:sz w:val="18"/>
                <w:szCs w:val="18"/>
              </w:rPr>
              <w:t> </w:t>
            </w:r>
            <w:r>
              <w:rPr>
                <w:rFonts w:ascii="宋体" w:hAnsi="宋体" w:cs="宋体" w:eastAsia="宋体" w:hint="default"/>
                <w:sz w:val="18"/>
                <w:szCs w:val="18"/>
              </w:rPr>
              <w:t>36</w:t>
            </w:r>
            <w:r>
              <w:rPr>
                <w:rFonts w:ascii="宋体" w:hAnsi="宋体" w:cs="宋体" w:eastAsia="宋体" w:hint="default"/>
                <w:spacing w:val="-46"/>
                <w:sz w:val="18"/>
                <w:szCs w:val="18"/>
              </w:rPr>
              <w:t> </w:t>
            </w:r>
            <w:r>
              <w:rPr>
                <w:rFonts w:ascii="宋体" w:hAnsi="宋体" w:cs="宋体" w:eastAsia="宋体" w:hint="default"/>
                <w:sz w:val="18"/>
                <w:szCs w:val="18"/>
              </w:rPr>
              <w:t>个月内，不转让或者委 托他人管理本公司直接或间接持有的深圳市优博讯科技 </w:t>
            </w:r>
            <w:r>
              <w:rPr>
                <w:rFonts w:ascii="宋体" w:hAnsi="宋体" w:cs="宋体" w:eastAsia="宋体" w:hint="default"/>
                <w:spacing w:val="-1"/>
                <w:sz w:val="18"/>
                <w:szCs w:val="18"/>
              </w:rPr>
              <w:t>股份公司本次发行前已发行的股份，也不由深圳市优博讯</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科技股份公司回购本公司直接或间接其持有的深圳市优 博讯科技股份公司本次发行前已发行的股份。</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08</w:t>
            </w:r>
          </w:p>
          <w:p>
            <w:pPr>
              <w:pStyle w:val="TableParagraph"/>
              <w:spacing w:line="240" w:lineRule="auto" w:before="78"/>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3"/>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宋体" w:hAnsi="宋体" w:cs="宋体" w:eastAsia="宋体" w:hint="default"/>
                <w:sz w:val="18"/>
                <w:szCs w:val="18"/>
              </w:rPr>
              <w:t>08</w:t>
            </w:r>
          </w:p>
          <w:p>
            <w:pPr>
              <w:pStyle w:val="TableParagraph"/>
              <w:spacing w:line="240" w:lineRule="auto" w:before="78"/>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137"/>
              <w:jc w:val="both"/>
              <w:rPr>
                <w:rFonts w:ascii="宋体" w:hAnsi="宋体" w:cs="宋体" w:eastAsia="宋体" w:hint="default"/>
                <w:sz w:val="18"/>
                <w:szCs w:val="18"/>
              </w:rPr>
            </w:pPr>
            <w:r>
              <w:rPr>
                <w:rFonts w:ascii="宋体" w:hAnsi="宋体" w:cs="宋体" w:eastAsia="宋体" w:hint="default"/>
                <w:sz w:val="18"/>
                <w:szCs w:val="18"/>
              </w:rPr>
              <w:t>承诺 人严 格遵 守了 该项 承诺</w:t>
            </w:r>
          </w:p>
        </w:tc>
      </w:tr>
      <w:tr>
        <w:trPr>
          <w:trHeight w:val="358" w:hRule="exact"/>
        </w:trPr>
        <w:tc>
          <w:tcPr>
            <w:tcW w:w="816" w:type="dxa"/>
            <w:vMerge/>
            <w:tcBorders>
              <w:left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深圳市军屯</w:t>
            </w:r>
          </w:p>
        </w:tc>
        <w:tc>
          <w:tcPr>
            <w:tcW w:w="4537"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530"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投资企业（有</w:t>
            </w:r>
          </w:p>
        </w:tc>
        <w:tc>
          <w:tcPr>
            <w:tcW w:w="4537"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限合伙）</w:t>
            </w:r>
            <w:r>
              <w:rPr>
                <w:rFonts w:ascii="宋体" w:hAnsi="宋体" w:cs="宋体" w:eastAsia="宋体" w:hint="default"/>
                <w:sz w:val="18"/>
                <w:szCs w:val="18"/>
              </w:rPr>
              <w:t>;</w:t>
            </w:r>
            <w:r>
              <w:rPr>
                <w:rFonts w:ascii="宋体" w:hAnsi="宋体" w:cs="宋体" w:eastAsia="宋体" w:hint="default"/>
                <w:sz w:val="18"/>
                <w:szCs w:val="18"/>
              </w:rPr>
              <w:t>深</w:t>
            </w:r>
          </w:p>
        </w:tc>
        <w:tc>
          <w:tcPr>
            <w:tcW w:w="4537"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承诺</w:t>
            </w: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圳市中洲创</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自优博讯股票在深圳证券交易所上市之日起十二个月内，</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人严</w:t>
            </w: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股份限</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业投资有限</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不转让或委托他人管理其直接或间接持有的优博讯公开</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08</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53"/>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宋体" w:hAnsi="宋体" w:cs="宋体" w:eastAsia="宋体" w:hint="default"/>
                <w:sz w:val="18"/>
                <w:szCs w:val="18"/>
              </w:rPr>
              <w:t>08</w:t>
            </w:r>
          </w:p>
        </w:tc>
        <w:tc>
          <w:tcPr>
            <w:tcW w:w="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格遵</w:t>
            </w:r>
          </w:p>
        </w:tc>
      </w:tr>
      <w:tr>
        <w:trPr>
          <w:trHeight w:val="313"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售承诺</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z w:val="18"/>
                <w:szCs w:val="18"/>
              </w:rPr>
              <w:t>;</w:t>
            </w:r>
            <w:r>
              <w:rPr>
                <w:rFonts w:ascii="宋体" w:hAnsi="宋体" w:cs="宋体" w:eastAsia="宋体" w:hint="default"/>
                <w:sz w:val="18"/>
                <w:szCs w:val="18"/>
              </w:rPr>
              <w:t>斯隆新</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发行股票前已发行的股份，也不由优博讯回购其直接或间</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守了</w:t>
            </w: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产品投资有</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接持有的优博讯公开发行股票前已发行的股份。</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该项</w:t>
            </w: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限公司</w:t>
            </w:r>
            <w:r>
              <w:rPr>
                <w:rFonts w:ascii="宋体" w:hAnsi="宋体" w:cs="宋体" w:eastAsia="宋体" w:hint="default"/>
                <w:sz w:val="18"/>
                <w:szCs w:val="18"/>
              </w:rPr>
              <w:t>;</w:t>
            </w:r>
            <w:r>
              <w:rPr>
                <w:rFonts w:ascii="宋体" w:hAnsi="宋体" w:cs="宋体" w:eastAsia="宋体" w:hint="default"/>
                <w:sz w:val="18"/>
                <w:szCs w:val="18"/>
              </w:rPr>
              <w:t>亚晟</w:t>
            </w:r>
          </w:p>
        </w:tc>
        <w:tc>
          <w:tcPr>
            <w:tcW w:w="4537"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承诺</w:t>
            </w: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发展集团有</w:t>
            </w:r>
          </w:p>
        </w:tc>
        <w:tc>
          <w:tcPr>
            <w:tcW w:w="4537"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56"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4537"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530" w:type="dxa"/>
            <w:tcBorders>
              <w:top w:val="nil" w:sz="6" w:space="0" w:color="auto"/>
              <w:left w:val="single" w:sz="4" w:space="0" w:color="000000"/>
              <w:bottom w:val="single" w:sz="4" w:space="0" w:color="000000"/>
              <w:right w:val="single" w:sz="4" w:space="0" w:color="000000"/>
            </w:tcBorders>
          </w:tcPr>
          <w:p>
            <w:pPr/>
          </w:p>
        </w:tc>
      </w:tr>
      <w:tr>
        <w:trPr>
          <w:trHeight w:val="358" w:hRule="exact"/>
        </w:trPr>
        <w:tc>
          <w:tcPr>
            <w:tcW w:w="816" w:type="dxa"/>
            <w:vMerge/>
            <w:tcBorders>
              <w:left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453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深圳市博讯投资有限公司承诺：自深圳市优博讯科技股份</w:t>
            </w:r>
          </w:p>
        </w:tc>
        <w:tc>
          <w:tcPr>
            <w:tcW w:w="99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53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w:t>
            </w:r>
          </w:p>
        </w:tc>
      </w:tr>
      <w:tr>
        <w:trPr>
          <w:trHeight w:val="1249"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15"/>
              <w:ind w:left="22" w:right="134"/>
              <w:jc w:val="left"/>
              <w:rPr>
                <w:rFonts w:ascii="宋体" w:hAnsi="宋体" w:cs="宋体" w:eastAsia="宋体" w:hint="default"/>
                <w:sz w:val="18"/>
                <w:szCs w:val="18"/>
              </w:rPr>
            </w:pPr>
            <w:r>
              <w:rPr>
                <w:rFonts w:ascii="宋体" w:hAnsi="宋体" w:cs="宋体" w:eastAsia="宋体" w:hint="default"/>
                <w:sz w:val="18"/>
                <w:szCs w:val="18"/>
              </w:rPr>
              <w:t>股份限 售承诺</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319" w:lineRule="auto"/>
              <w:ind w:left="22" w:right="199"/>
              <w:jc w:val="both"/>
              <w:rPr>
                <w:rFonts w:ascii="宋体" w:hAnsi="宋体" w:cs="宋体" w:eastAsia="宋体" w:hint="default"/>
                <w:sz w:val="18"/>
                <w:szCs w:val="18"/>
              </w:rPr>
            </w:pPr>
            <w:r>
              <w:rPr>
                <w:rFonts w:ascii="宋体" w:hAnsi="宋体" w:cs="宋体" w:eastAsia="宋体" w:hint="default"/>
                <w:sz w:val="18"/>
                <w:szCs w:val="18"/>
              </w:rPr>
              <w:t>深圳市博讯 投资有限公 司</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319" w:lineRule="auto" w:before="10"/>
              <w:ind w:left="22" w:right="22"/>
              <w:jc w:val="left"/>
              <w:rPr>
                <w:rFonts w:ascii="宋体" w:hAnsi="宋体" w:cs="宋体" w:eastAsia="宋体" w:hint="default"/>
                <w:sz w:val="18"/>
                <w:szCs w:val="18"/>
              </w:rPr>
            </w:pPr>
            <w:r>
              <w:rPr>
                <w:rFonts w:ascii="宋体" w:hAnsi="宋体" w:cs="宋体" w:eastAsia="宋体" w:hint="default"/>
                <w:spacing w:val="-4"/>
                <w:sz w:val="18"/>
                <w:szCs w:val="18"/>
              </w:rPr>
              <w:t>有限公司（以下简称“优博讯科技”）股票在深圳证券交</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1"/>
                <w:sz w:val="18"/>
                <w:szCs w:val="18"/>
              </w:rPr>
              <w:t>易所上市之日起三十六个月内，不转让或委托他人管理其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直接或间接持有的优博讯科技公开发行股票前已发行的 </w:t>
            </w:r>
            <w:r>
              <w:rPr>
                <w:rFonts w:ascii="宋体" w:hAnsi="宋体" w:cs="宋体" w:eastAsia="宋体" w:hint="default"/>
                <w:spacing w:val="-1"/>
                <w:sz w:val="18"/>
                <w:szCs w:val="18"/>
              </w:rPr>
              <w:t>股份，也不由优博讯科技回购其直接或间接持有的优博讯</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08</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5"/>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3"/>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宋体" w:hAnsi="宋体" w:cs="宋体" w:eastAsia="宋体" w:hint="default"/>
                <w:sz w:val="18"/>
                <w:szCs w:val="18"/>
              </w:rPr>
              <w:t>08</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530" w:type="dxa"/>
            <w:tcBorders>
              <w:top w:val="nil" w:sz="6" w:space="0" w:color="auto"/>
              <w:left w:val="single" w:sz="4" w:space="0" w:color="000000"/>
              <w:bottom w:val="nil" w:sz="6" w:space="0" w:color="auto"/>
              <w:right w:val="single" w:sz="4" w:space="0" w:color="000000"/>
            </w:tcBorders>
          </w:tcPr>
          <w:p>
            <w:pPr>
              <w:pStyle w:val="TableParagraph"/>
              <w:spacing w:line="319" w:lineRule="auto" w:before="10"/>
              <w:ind w:left="22" w:right="137"/>
              <w:jc w:val="both"/>
              <w:rPr>
                <w:rFonts w:ascii="宋体" w:hAnsi="宋体" w:cs="宋体" w:eastAsia="宋体" w:hint="default"/>
                <w:sz w:val="18"/>
                <w:szCs w:val="18"/>
              </w:rPr>
            </w:pPr>
            <w:r>
              <w:rPr>
                <w:rFonts w:ascii="宋体" w:hAnsi="宋体" w:cs="宋体" w:eastAsia="宋体" w:hint="default"/>
                <w:sz w:val="18"/>
                <w:szCs w:val="18"/>
              </w:rPr>
              <w:t>人严 格遵 守了 该项</w:t>
            </w:r>
          </w:p>
        </w:tc>
      </w:tr>
      <w:tr>
        <w:trPr>
          <w:trHeight w:val="356"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45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科技公开发行股票前已发行的股份。</w:t>
            </w:r>
          </w:p>
        </w:tc>
        <w:tc>
          <w:tcPr>
            <w:tcW w:w="99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53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承诺</w:t>
            </w:r>
          </w:p>
        </w:tc>
      </w:tr>
      <w:tr>
        <w:trPr>
          <w:trHeight w:val="358" w:hRule="exact"/>
        </w:trPr>
        <w:tc>
          <w:tcPr>
            <w:tcW w:w="816" w:type="dxa"/>
            <w:vMerge/>
            <w:tcBorders>
              <w:left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453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深圳市优博讯科技股份有限公司首次公开发行前主要股</w:t>
            </w:r>
          </w:p>
        </w:tc>
        <w:tc>
          <w:tcPr>
            <w:tcW w:w="99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530" w:type="dxa"/>
            <w:tcBorders>
              <w:top w:val="single" w:sz="4" w:space="0" w:color="000000"/>
              <w:left w:val="single" w:sz="4" w:space="0" w:color="000000"/>
              <w:bottom w:val="nil" w:sz="6" w:space="0" w:color="auto"/>
              <w:right w:val="single" w:sz="4" w:space="0" w:color="000000"/>
            </w:tcBorders>
          </w:tcPr>
          <w:p>
            <w:pPr/>
          </w:p>
        </w:tc>
      </w:tr>
      <w:tr>
        <w:trPr>
          <w:trHeight w:val="30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东关于公开发行上市后持股意向及减持意向的承诺 深圳</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1"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宋体"/>
                <w:sz w:val="18"/>
              </w:rPr>
              <w:t>CHEN</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市优博讯科技股份有限公司（以下简称“优博讯科技”或</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sz w:val="18"/>
              </w:rPr>
              <w:t>YIHAN;GUO</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90"/>
                <w:sz w:val="18"/>
                <w:szCs w:val="18"/>
              </w:rPr>
              <w:t>”</w:t>
            </w:r>
            <w:r>
              <w:rPr>
                <w:rFonts w:ascii="宋体" w:hAnsi="宋体" w:cs="宋体" w:eastAsia="宋体" w:hint="default"/>
                <w:sz w:val="18"/>
                <w:szCs w:val="18"/>
              </w:rPr>
              <w:t>）首次公开发行并在创业板上市前，直接、间接</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sz w:val="18"/>
              </w:rPr>
              <w:t>SONG;LIU</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持有其股份超过股本总额的</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z w:val="18"/>
                <w:szCs w:val="18"/>
              </w:rPr>
              <w:t>的股东香港优博讯科技控</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DAN;</w:t>
            </w:r>
            <w:r>
              <w:rPr>
                <w:rFonts w:ascii="宋体" w:hAnsi="宋体" w:cs="宋体" w:eastAsia="宋体" w:hint="default"/>
                <w:sz w:val="18"/>
                <w:szCs w:val="18"/>
              </w:rPr>
              <w:t>深圳市</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股集团有限公</w:t>
            </w:r>
            <w:r>
              <w:rPr>
                <w:rFonts w:ascii="宋体" w:hAnsi="宋体" w:cs="宋体" w:eastAsia="宋体" w:hint="default"/>
                <w:spacing w:val="-8"/>
                <w:sz w:val="18"/>
                <w:szCs w:val="18"/>
              </w:rPr>
              <w:t>司</w:t>
            </w:r>
            <w:r>
              <w:rPr>
                <w:rFonts w:ascii="宋体" w:hAnsi="宋体" w:cs="宋体" w:eastAsia="宋体" w:hint="default"/>
                <w:sz w:val="18"/>
                <w:szCs w:val="18"/>
              </w:rPr>
              <w:t>（以下简</w:t>
            </w:r>
            <w:r>
              <w:rPr>
                <w:rFonts w:ascii="宋体" w:hAnsi="宋体" w:cs="宋体" w:eastAsia="宋体" w:hint="default"/>
                <w:spacing w:val="-7"/>
                <w:sz w:val="18"/>
                <w:szCs w:val="18"/>
              </w:rPr>
              <w:t>称</w:t>
            </w:r>
            <w:r>
              <w:rPr>
                <w:rFonts w:ascii="宋体" w:hAnsi="宋体" w:cs="宋体" w:eastAsia="宋体" w:hint="default"/>
                <w:sz w:val="18"/>
                <w:szCs w:val="18"/>
              </w:rPr>
              <w:t>“香港优博讯</w:t>
            </w:r>
            <w:r>
              <w:rPr>
                <w:rFonts w:ascii="宋体" w:hAnsi="宋体" w:cs="宋体" w:eastAsia="宋体" w:hint="default"/>
                <w:spacing w:val="-90"/>
                <w:sz w:val="18"/>
                <w:szCs w:val="18"/>
              </w:rPr>
              <w:t>”）</w:t>
            </w:r>
            <w:r>
              <w:rPr>
                <w:rFonts w:ascii="宋体" w:hAnsi="宋体" w:cs="宋体" w:eastAsia="宋体" w:hint="default"/>
                <w:spacing w:val="-8"/>
                <w:sz w:val="18"/>
                <w:szCs w:val="18"/>
              </w:rPr>
              <w:t>、</w:t>
            </w:r>
            <w:r>
              <w:rPr>
                <w:rFonts w:ascii="宋体" w:hAnsi="宋体" w:cs="宋体" w:eastAsia="宋体" w:hint="default"/>
                <w:sz w:val="18"/>
                <w:szCs w:val="18"/>
              </w:rPr>
              <w:t>深圳市中洲</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博讯投资有</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创业投资有限公</w:t>
            </w:r>
            <w:r>
              <w:rPr>
                <w:rFonts w:ascii="宋体" w:hAnsi="宋体" w:cs="宋体" w:eastAsia="宋体" w:hint="default"/>
                <w:spacing w:val="-8"/>
                <w:sz w:val="18"/>
                <w:szCs w:val="18"/>
              </w:rPr>
              <w:t>司</w:t>
            </w:r>
            <w:r>
              <w:rPr>
                <w:rFonts w:ascii="宋体" w:hAnsi="宋体" w:cs="宋体" w:eastAsia="宋体" w:hint="default"/>
                <w:sz w:val="18"/>
                <w:szCs w:val="18"/>
              </w:rPr>
              <w:t>（以下简</w:t>
            </w:r>
            <w:r>
              <w:rPr>
                <w:rFonts w:ascii="宋体" w:hAnsi="宋体" w:cs="宋体" w:eastAsia="宋体" w:hint="default"/>
                <w:spacing w:val="-7"/>
                <w:sz w:val="18"/>
                <w:szCs w:val="18"/>
              </w:rPr>
              <w:t>称</w:t>
            </w:r>
            <w:r>
              <w:rPr>
                <w:rFonts w:ascii="宋体" w:hAnsi="宋体" w:cs="宋体" w:eastAsia="宋体" w:hint="default"/>
                <w:sz w:val="18"/>
                <w:szCs w:val="18"/>
              </w:rPr>
              <w:t>“中洲创投</w:t>
            </w:r>
            <w:r>
              <w:rPr>
                <w:rFonts w:ascii="宋体" w:hAnsi="宋体" w:cs="宋体" w:eastAsia="宋体" w:hint="default"/>
                <w:spacing w:val="-90"/>
                <w:sz w:val="18"/>
                <w:szCs w:val="18"/>
              </w:rPr>
              <w:t>”）</w:t>
            </w:r>
            <w:r>
              <w:rPr>
                <w:rFonts w:ascii="宋体" w:hAnsi="宋体" w:cs="宋体" w:eastAsia="宋体" w:hint="default"/>
                <w:spacing w:val="-8"/>
                <w:sz w:val="18"/>
                <w:szCs w:val="18"/>
              </w:rPr>
              <w:t>、</w:t>
            </w:r>
            <w:r>
              <w:rPr>
                <w:rFonts w:ascii="宋体" w:hAnsi="宋体" w:cs="宋体" w:eastAsia="宋体" w:hint="default"/>
                <w:sz w:val="18"/>
                <w:szCs w:val="18"/>
              </w:rPr>
              <w:t>深圳市博讯</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限公司</w:t>
            </w:r>
            <w:r>
              <w:rPr>
                <w:rFonts w:ascii="宋体" w:hAnsi="宋体" w:cs="宋体" w:eastAsia="宋体" w:hint="default"/>
                <w:sz w:val="18"/>
                <w:szCs w:val="18"/>
              </w:rPr>
              <w:t>;</w:t>
            </w:r>
            <w:r>
              <w:rPr>
                <w:rFonts w:ascii="宋体" w:hAnsi="宋体" w:cs="宋体" w:eastAsia="宋体" w:hint="default"/>
                <w:sz w:val="18"/>
                <w:szCs w:val="18"/>
              </w:rPr>
              <w:t>深圳</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投资有限公</w:t>
            </w:r>
            <w:r>
              <w:rPr>
                <w:rFonts w:ascii="宋体" w:hAnsi="宋体" w:cs="宋体" w:eastAsia="宋体" w:hint="default"/>
                <w:spacing w:val="-8"/>
                <w:sz w:val="18"/>
                <w:szCs w:val="18"/>
              </w:rPr>
              <w:t>司</w:t>
            </w:r>
            <w:r>
              <w:rPr>
                <w:rFonts w:ascii="宋体" w:hAnsi="宋体" w:cs="宋体" w:eastAsia="宋体" w:hint="default"/>
                <w:sz w:val="18"/>
                <w:szCs w:val="18"/>
              </w:rPr>
              <w:t>（以下简</w:t>
            </w:r>
            <w:r>
              <w:rPr>
                <w:rFonts w:ascii="宋体" w:hAnsi="宋体" w:cs="宋体" w:eastAsia="宋体" w:hint="default"/>
                <w:spacing w:val="-7"/>
                <w:sz w:val="18"/>
                <w:szCs w:val="18"/>
              </w:rPr>
              <w:t>称</w:t>
            </w:r>
            <w:r>
              <w:rPr>
                <w:rFonts w:ascii="宋体" w:hAnsi="宋体" w:cs="宋体" w:eastAsia="宋体" w:hint="default"/>
                <w:spacing w:val="1"/>
                <w:sz w:val="18"/>
                <w:szCs w:val="18"/>
              </w:rPr>
              <w:t>“</w:t>
            </w:r>
            <w:r>
              <w:rPr>
                <w:rFonts w:ascii="宋体" w:hAnsi="宋体" w:cs="宋体" w:eastAsia="宋体" w:hint="default"/>
                <w:sz w:val="18"/>
                <w:szCs w:val="18"/>
              </w:rPr>
              <w:t>博讯投资</w:t>
            </w:r>
            <w:r>
              <w:rPr>
                <w:rFonts w:ascii="宋体" w:hAnsi="宋体" w:cs="宋体" w:eastAsia="宋体" w:hint="default"/>
                <w:spacing w:val="-90"/>
                <w:sz w:val="18"/>
                <w:szCs w:val="18"/>
              </w:rPr>
              <w:t>”）</w:t>
            </w:r>
            <w:r>
              <w:rPr>
                <w:rFonts w:ascii="宋体" w:hAnsi="宋体" w:cs="宋体" w:eastAsia="宋体" w:hint="default"/>
                <w:spacing w:val="-8"/>
                <w:sz w:val="18"/>
                <w:szCs w:val="18"/>
              </w:rPr>
              <w:t>、</w:t>
            </w:r>
            <w:r>
              <w:rPr>
                <w:rFonts w:ascii="宋体" w:hAnsi="宋体" w:cs="宋体" w:eastAsia="宋体" w:hint="default"/>
                <w:sz w:val="18"/>
                <w:szCs w:val="18"/>
              </w:rPr>
              <w:t>亚晟发展集团有</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宋体" w:hAnsi="宋体" w:cs="宋体" w:eastAsia="宋体" w:hint="default"/>
                <w:sz w:val="18"/>
                <w:szCs w:val="18"/>
              </w:rPr>
              <w:t>承诺</w:t>
            </w: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市军屯投资</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限公</w:t>
            </w:r>
            <w:r>
              <w:rPr>
                <w:rFonts w:ascii="宋体" w:hAnsi="宋体" w:cs="宋体" w:eastAsia="宋体" w:hint="default"/>
                <w:spacing w:val="-51"/>
                <w:sz w:val="18"/>
                <w:szCs w:val="18"/>
              </w:rPr>
              <w:t>司</w:t>
            </w:r>
            <w:r>
              <w:rPr>
                <w:rFonts w:ascii="宋体" w:hAnsi="宋体" w:cs="宋体" w:eastAsia="宋体" w:hint="default"/>
                <w:sz w:val="18"/>
                <w:szCs w:val="18"/>
              </w:rPr>
              <w:t>（以下简</w:t>
            </w:r>
            <w:r>
              <w:rPr>
                <w:rFonts w:ascii="宋体" w:hAnsi="宋体" w:cs="宋体" w:eastAsia="宋体" w:hint="default"/>
                <w:spacing w:val="-50"/>
                <w:sz w:val="18"/>
                <w:szCs w:val="18"/>
              </w:rPr>
              <w:t>称</w:t>
            </w:r>
            <w:r>
              <w:rPr>
                <w:rFonts w:ascii="宋体" w:hAnsi="宋体" w:cs="宋体" w:eastAsia="宋体" w:hint="default"/>
                <w:sz w:val="18"/>
                <w:szCs w:val="18"/>
              </w:rPr>
              <w:t>“亚晟发展</w:t>
            </w:r>
            <w:r>
              <w:rPr>
                <w:rFonts w:ascii="宋体" w:hAnsi="宋体" w:cs="宋体" w:eastAsia="宋体" w:hint="default"/>
                <w:spacing w:val="-90"/>
                <w:sz w:val="18"/>
                <w:szCs w:val="18"/>
              </w:rPr>
              <w:t>”）</w:t>
            </w:r>
            <w:r>
              <w:rPr>
                <w:rFonts w:ascii="宋体" w:hAnsi="宋体" w:cs="宋体" w:eastAsia="宋体" w:hint="default"/>
                <w:spacing w:val="-51"/>
                <w:sz w:val="18"/>
                <w:szCs w:val="18"/>
              </w:rPr>
              <w:t>、</w:t>
            </w:r>
            <w:r>
              <w:rPr>
                <w:rFonts w:ascii="宋体" w:hAnsi="宋体" w:cs="宋体" w:eastAsia="宋体" w:hint="default"/>
                <w:sz w:val="18"/>
                <w:szCs w:val="18"/>
              </w:rPr>
              <w:t>深圳市军屯投资企</w:t>
            </w:r>
            <w:r>
              <w:rPr>
                <w:rFonts w:ascii="宋体" w:hAnsi="宋体" w:cs="宋体" w:eastAsia="宋体" w:hint="default"/>
                <w:spacing w:val="-51"/>
                <w:sz w:val="18"/>
                <w:szCs w:val="18"/>
              </w:rPr>
              <w:t>业</w:t>
            </w:r>
            <w:r>
              <w:rPr>
                <w:rFonts w:ascii="宋体" w:hAnsi="宋体" w:cs="宋体" w:eastAsia="宋体" w:hint="default"/>
                <w:sz w:val="18"/>
                <w:szCs w:val="18"/>
              </w:rPr>
              <w:t>（有</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人严</w:t>
            </w: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宋体" w:hAnsi="宋体" w:cs="宋体" w:eastAsia="宋体" w:hint="default"/>
                <w:sz w:val="18"/>
                <w:szCs w:val="18"/>
              </w:rPr>
              <w:t>股份减</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企业（有限合</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限合伙</w:t>
            </w:r>
            <w:r>
              <w:rPr>
                <w:rFonts w:ascii="宋体" w:hAnsi="宋体" w:cs="宋体" w:eastAsia="宋体" w:hint="default"/>
                <w:spacing w:val="-95"/>
                <w:sz w:val="18"/>
                <w:szCs w:val="18"/>
              </w:rPr>
              <w:t>）</w:t>
            </w:r>
            <w:r>
              <w:rPr>
                <w:rFonts w:ascii="宋体" w:hAnsi="宋体" w:cs="宋体" w:eastAsia="宋体" w:hint="default"/>
                <w:sz w:val="18"/>
                <w:szCs w:val="18"/>
              </w:rPr>
              <w:t>（以下简</w:t>
            </w:r>
            <w:r>
              <w:rPr>
                <w:rFonts w:ascii="宋体" w:hAnsi="宋体" w:cs="宋体" w:eastAsia="宋体" w:hint="default"/>
                <w:spacing w:val="-5"/>
                <w:sz w:val="18"/>
                <w:szCs w:val="18"/>
              </w:rPr>
              <w:t>称</w:t>
            </w:r>
            <w:r>
              <w:rPr>
                <w:rFonts w:ascii="宋体" w:hAnsi="宋体" w:cs="宋体" w:eastAsia="宋体" w:hint="default"/>
                <w:sz w:val="18"/>
                <w:szCs w:val="18"/>
              </w:rPr>
              <w:t>“军屯投资</w:t>
            </w:r>
            <w:r>
              <w:rPr>
                <w:rFonts w:ascii="宋体" w:hAnsi="宋体" w:cs="宋体" w:eastAsia="宋体" w:hint="default"/>
                <w:spacing w:val="-90"/>
                <w:sz w:val="18"/>
                <w:szCs w:val="18"/>
              </w:rPr>
              <w:t>”）</w:t>
            </w:r>
            <w:r>
              <w:rPr>
                <w:rFonts w:ascii="宋体" w:hAnsi="宋体" w:cs="宋体" w:eastAsia="宋体" w:hint="default"/>
                <w:spacing w:val="-5"/>
                <w:sz w:val="18"/>
                <w:szCs w:val="18"/>
              </w:rPr>
              <w:t>、</w:t>
            </w:r>
            <w:r>
              <w:rPr>
                <w:rFonts w:ascii="宋体" w:hAnsi="宋体" w:cs="宋体" w:eastAsia="宋体" w:hint="default"/>
                <w:sz w:val="18"/>
                <w:szCs w:val="18"/>
              </w:rPr>
              <w:t>GUO</w:t>
            </w:r>
            <w:r>
              <w:rPr>
                <w:rFonts w:ascii="宋体" w:hAnsi="宋体" w:cs="宋体" w:eastAsia="宋体" w:hint="default"/>
                <w:spacing w:val="-45"/>
                <w:sz w:val="18"/>
                <w:szCs w:val="18"/>
              </w:rPr>
              <w:t> </w:t>
            </w:r>
            <w:r>
              <w:rPr>
                <w:rFonts w:ascii="宋体" w:hAnsi="宋体" w:cs="宋体" w:eastAsia="宋体" w:hint="default"/>
                <w:sz w:val="18"/>
                <w:szCs w:val="18"/>
              </w:rPr>
              <w:t>SON</w:t>
            </w:r>
            <w:r>
              <w:rPr>
                <w:rFonts w:ascii="宋体" w:hAnsi="宋体" w:cs="宋体" w:eastAsia="宋体" w:hint="default"/>
                <w:spacing w:val="-2"/>
                <w:sz w:val="18"/>
                <w:szCs w:val="18"/>
              </w:rPr>
              <w:t>G</w:t>
            </w:r>
            <w:r>
              <w:rPr>
                <w:rFonts w:ascii="宋体" w:hAnsi="宋体" w:cs="宋体" w:eastAsia="宋体" w:hint="default"/>
                <w:spacing w:val="-5"/>
                <w:sz w:val="18"/>
                <w:szCs w:val="18"/>
              </w:rPr>
              <w:t>、</w:t>
            </w:r>
            <w:r>
              <w:rPr>
                <w:rFonts w:ascii="宋体" w:hAnsi="宋体" w:cs="宋体" w:eastAsia="宋体" w:hint="default"/>
                <w:sz w:val="18"/>
                <w:szCs w:val="18"/>
              </w:rPr>
              <w:t>CHEN</w:t>
            </w:r>
            <w:r>
              <w:rPr>
                <w:rFonts w:ascii="宋体" w:hAnsi="宋体" w:cs="宋体" w:eastAsia="宋体" w:hint="default"/>
                <w:spacing w:val="-45"/>
                <w:sz w:val="18"/>
                <w:szCs w:val="18"/>
              </w:rPr>
              <w:t> </w:t>
            </w:r>
            <w:r>
              <w:rPr>
                <w:rFonts w:ascii="宋体" w:hAnsi="宋体" w:cs="宋体" w:eastAsia="宋体" w:hint="default"/>
                <w:sz w:val="18"/>
                <w:szCs w:val="18"/>
              </w:rPr>
              <w:t>YIHAN</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08</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宋体" w:hAnsi="宋体" w:cs="宋体" w:eastAsia="宋体" w:hint="default"/>
                <w:sz w:val="18"/>
                <w:szCs w:val="18"/>
              </w:rPr>
              <w:t>2021</w:t>
            </w:r>
            <w:r>
              <w:rPr>
                <w:rFonts w:ascii="宋体" w:hAnsi="宋体" w:cs="宋体" w:eastAsia="宋体" w:hint="default"/>
                <w:spacing w:val="-53"/>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宋体" w:hAnsi="宋体" w:cs="宋体" w:eastAsia="宋体" w:hint="default"/>
                <w:sz w:val="18"/>
                <w:szCs w:val="18"/>
              </w:rPr>
              <w:t>08</w:t>
            </w:r>
          </w:p>
        </w:tc>
        <w:tc>
          <w:tcPr>
            <w:tcW w:w="530"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格遵</w:t>
            </w: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宋体" w:hAnsi="宋体" w:cs="宋体" w:eastAsia="宋体" w:hint="default"/>
                <w:sz w:val="18"/>
                <w:szCs w:val="18"/>
              </w:rPr>
              <w:t>持承诺</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伙）</w:t>
            </w:r>
            <w:r>
              <w:rPr>
                <w:rFonts w:ascii="宋体" w:hAnsi="宋体" w:cs="宋体" w:eastAsia="宋体" w:hint="default"/>
                <w:sz w:val="18"/>
                <w:szCs w:val="18"/>
              </w:rPr>
              <w:t>;</w:t>
            </w:r>
            <w:r>
              <w:rPr>
                <w:rFonts w:ascii="宋体" w:hAnsi="宋体" w:cs="宋体" w:eastAsia="宋体" w:hint="default"/>
                <w:sz w:val="18"/>
                <w:szCs w:val="18"/>
              </w:rPr>
              <w:t>深圳市</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及</w:t>
            </w:r>
            <w:r>
              <w:rPr>
                <w:rFonts w:ascii="宋体" w:hAnsi="宋体" w:cs="宋体" w:eastAsia="宋体" w:hint="default"/>
                <w:spacing w:val="-46"/>
                <w:sz w:val="18"/>
                <w:szCs w:val="18"/>
              </w:rPr>
              <w:t> </w:t>
            </w:r>
            <w:r>
              <w:rPr>
                <w:rFonts w:ascii="宋体" w:hAnsi="宋体" w:cs="宋体" w:eastAsia="宋体" w:hint="default"/>
                <w:sz w:val="18"/>
                <w:szCs w:val="18"/>
              </w:rPr>
              <w:t>LIU</w:t>
            </w:r>
            <w:r>
              <w:rPr>
                <w:rFonts w:ascii="宋体" w:hAnsi="宋体" w:cs="宋体" w:eastAsia="宋体" w:hint="default"/>
                <w:spacing w:val="-21"/>
                <w:sz w:val="18"/>
                <w:szCs w:val="18"/>
              </w:rPr>
              <w:t> </w:t>
            </w:r>
            <w:r>
              <w:rPr>
                <w:rFonts w:ascii="宋体" w:hAnsi="宋体" w:cs="宋体" w:eastAsia="宋体" w:hint="default"/>
                <w:sz w:val="18"/>
                <w:szCs w:val="18"/>
              </w:rPr>
              <w:t>DAN</w:t>
            </w:r>
            <w:r>
              <w:rPr>
                <w:rFonts w:ascii="宋体" w:hAnsi="宋体" w:cs="宋体" w:eastAsia="宋体" w:hint="default"/>
                <w:spacing w:val="-46"/>
                <w:sz w:val="18"/>
                <w:szCs w:val="18"/>
              </w:rPr>
              <w:t> </w:t>
            </w:r>
            <w:r>
              <w:rPr>
                <w:rFonts w:ascii="宋体" w:hAnsi="宋体" w:cs="宋体" w:eastAsia="宋体" w:hint="default"/>
                <w:sz w:val="18"/>
                <w:szCs w:val="18"/>
              </w:rPr>
              <w:t>承诺： </w:t>
            </w:r>
            <w:r>
              <w:rPr>
                <w:rFonts w:ascii="宋体" w:hAnsi="宋体" w:cs="宋体" w:eastAsia="宋体" w:hint="default"/>
                <w:sz w:val="18"/>
                <w:szCs w:val="18"/>
              </w:rPr>
              <w:t>1</w:t>
            </w:r>
            <w:r>
              <w:rPr>
                <w:rFonts w:ascii="宋体" w:hAnsi="宋体" w:cs="宋体" w:eastAsia="宋体" w:hint="default"/>
                <w:sz w:val="18"/>
                <w:szCs w:val="18"/>
              </w:rPr>
              <w:t>、对于本次公开发行前直接、间接持</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530"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守了</w:t>
            </w: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中洲创业投</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有的公司股份，香港优博讯、中洲创投、博讯投资、亚晟</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该项</w:t>
            </w: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资有限公司</w:t>
            </w:r>
            <w:r>
              <w:rPr>
                <w:rFonts w:ascii="宋体" w:hAnsi="宋体" w:cs="宋体" w:eastAsia="宋体" w:hint="default"/>
                <w:sz w:val="18"/>
                <w:szCs w:val="18"/>
              </w:rPr>
              <w:t>;</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发展、军屯投资、</w:t>
            </w:r>
            <w:r>
              <w:rPr>
                <w:rFonts w:ascii="宋体" w:hAnsi="宋体" w:cs="宋体" w:eastAsia="宋体" w:hint="default"/>
                <w:sz w:val="18"/>
                <w:szCs w:val="18"/>
              </w:rPr>
              <w:t>GUO</w:t>
            </w:r>
            <w:r>
              <w:rPr>
                <w:rFonts w:ascii="宋体" w:hAnsi="宋体" w:cs="宋体" w:eastAsia="宋体" w:hint="default"/>
                <w:spacing w:val="-22"/>
                <w:sz w:val="18"/>
                <w:szCs w:val="18"/>
              </w:rPr>
              <w:t> </w:t>
            </w:r>
            <w:r>
              <w:rPr>
                <w:rFonts w:ascii="宋体" w:hAnsi="宋体" w:cs="宋体" w:eastAsia="宋体" w:hint="default"/>
                <w:sz w:val="18"/>
                <w:szCs w:val="18"/>
              </w:rPr>
              <w:t>SONG</w:t>
            </w:r>
            <w:r>
              <w:rPr>
                <w:rFonts w:ascii="宋体" w:hAnsi="宋体" w:cs="宋体" w:eastAsia="宋体" w:hint="default"/>
                <w:sz w:val="18"/>
                <w:szCs w:val="18"/>
              </w:rPr>
              <w:t>、</w:t>
            </w:r>
            <w:r>
              <w:rPr>
                <w:rFonts w:ascii="宋体" w:hAnsi="宋体" w:cs="宋体" w:eastAsia="宋体" w:hint="default"/>
                <w:sz w:val="18"/>
                <w:szCs w:val="18"/>
              </w:rPr>
              <w:t>CHEN</w:t>
            </w:r>
            <w:r>
              <w:rPr>
                <w:rFonts w:ascii="宋体" w:hAnsi="宋体" w:cs="宋体" w:eastAsia="宋体" w:hint="default"/>
                <w:spacing w:val="-22"/>
                <w:sz w:val="18"/>
                <w:szCs w:val="18"/>
              </w:rPr>
              <w:t> </w:t>
            </w:r>
            <w:r>
              <w:rPr>
                <w:rFonts w:ascii="宋体" w:hAnsi="宋体" w:cs="宋体" w:eastAsia="宋体" w:hint="default"/>
                <w:sz w:val="18"/>
                <w:szCs w:val="18"/>
              </w:rPr>
              <w:t>YIHAN</w:t>
            </w:r>
            <w:r>
              <w:rPr>
                <w:rFonts w:ascii="宋体" w:hAnsi="宋体" w:cs="宋体" w:eastAsia="宋体" w:hint="default"/>
                <w:spacing w:val="-46"/>
                <w:sz w:val="18"/>
                <w:szCs w:val="18"/>
              </w:rPr>
              <w:t> </w:t>
            </w:r>
            <w:r>
              <w:rPr>
                <w:rFonts w:ascii="宋体" w:hAnsi="宋体" w:cs="宋体" w:eastAsia="宋体" w:hint="default"/>
                <w:sz w:val="18"/>
                <w:szCs w:val="18"/>
              </w:rPr>
              <w:t>及</w:t>
            </w:r>
            <w:r>
              <w:rPr>
                <w:rFonts w:ascii="宋体" w:hAnsi="宋体" w:cs="宋体" w:eastAsia="宋体" w:hint="default"/>
                <w:spacing w:val="-46"/>
                <w:sz w:val="18"/>
                <w:szCs w:val="18"/>
              </w:rPr>
              <w:t> </w:t>
            </w:r>
            <w:r>
              <w:rPr>
                <w:rFonts w:ascii="宋体" w:hAnsi="宋体" w:cs="宋体" w:eastAsia="宋体" w:hint="default"/>
                <w:sz w:val="18"/>
                <w:szCs w:val="18"/>
              </w:rPr>
              <w:t>LIU</w:t>
            </w:r>
            <w:r>
              <w:rPr>
                <w:rFonts w:ascii="宋体" w:hAnsi="宋体" w:cs="宋体" w:eastAsia="宋体" w:hint="default"/>
                <w:spacing w:val="-22"/>
                <w:sz w:val="18"/>
                <w:szCs w:val="18"/>
              </w:rPr>
              <w:t> </w:t>
            </w:r>
            <w:r>
              <w:rPr>
                <w:rFonts w:ascii="宋体" w:hAnsi="宋体" w:cs="宋体" w:eastAsia="宋体" w:hint="default"/>
                <w:sz w:val="18"/>
                <w:szCs w:val="18"/>
              </w:rPr>
              <w:t>DAN</w:t>
            </w:r>
            <w:r>
              <w:rPr>
                <w:rFonts w:ascii="宋体" w:hAnsi="宋体" w:cs="宋体" w:eastAsia="宋体" w:hint="default"/>
                <w:spacing w:val="-46"/>
                <w:sz w:val="18"/>
                <w:szCs w:val="18"/>
              </w:rPr>
              <w:t> </w:t>
            </w:r>
            <w:r>
              <w:rPr>
                <w:rFonts w:ascii="宋体" w:hAnsi="宋体" w:cs="宋体" w:eastAsia="宋体" w:hint="default"/>
                <w:sz w:val="18"/>
                <w:szCs w:val="18"/>
              </w:rPr>
              <w:t>将严</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宋体" w:hAnsi="宋体" w:cs="宋体" w:eastAsia="宋体" w:hint="default"/>
                <w:sz w:val="18"/>
                <w:szCs w:val="18"/>
              </w:rPr>
              <w:t>承诺</w:t>
            </w: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香港优博讯</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格遵守已做出的关于所持优博讯科技股份流通限制及自</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科技控股集</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pacing w:val="-8"/>
                <w:sz w:val="18"/>
                <w:szCs w:val="18"/>
              </w:rPr>
              <w:t>愿锁定的承诺，在限售期内，不</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团有限公司</w:t>
            </w:r>
            <w:r>
              <w:rPr>
                <w:rFonts w:ascii="宋体" w:hAnsi="宋体" w:cs="宋体" w:eastAsia="宋体" w:hint="default"/>
                <w:sz w:val="18"/>
                <w:szCs w:val="18"/>
              </w:rPr>
              <w:t>;</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间接持有的公司股份（本次公开发行股票中公开发售的股</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3"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亚晟发展集</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22" w:right="0"/>
              <w:jc w:val="left"/>
              <w:rPr>
                <w:rFonts w:ascii="宋体" w:hAnsi="宋体" w:cs="宋体" w:eastAsia="宋体" w:hint="default"/>
                <w:sz w:val="18"/>
                <w:szCs w:val="18"/>
              </w:rPr>
            </w:pPr>
            <w:r>
              <w:rPr>
                <w:rFonts w:ascii="宋体" w:hAnsi="宋体" w:cs="宋体" w:eastAsia="宋体" w:hint="default"/>
                <w:sz w:val="18"/>
                <w:szCs w:val="18"/>
              </w:rPr>
              <w:t>份除外</w:t>
            </w:r>
            <w:r>
              <w:rPr>
                <w:rFonts w:ascii="宋体" w:hAnsi="宋体" w:cs="宋体" w:eastAsia="宋体" w:hint="default"/>
                <w:spacing w:val="-90"/>
                <w:sz w:val="18"/>
                <w:szCs w:val="18"/>
              </w:rPr>
              <w:t>）</w:t>
            </w:r>
            <w:r>
              <w:rPr>
                <w:rFonts w:ascii="宋体" w:hAnsi="宋体" w:cs="宋体" w:eastAsia="宋体" w:hint="default"/>
                <w:sz w:val="18"/>
                <w:szCs w:val="18"/>
              </w:rPr>
              <w:t>。 </w:t>
            </w:r>
            <w:r>
              <w:rPr>
                <w:rFonts w:ascii="宋体" w:hAnsi="宋体" w:cs="宋体" w:eastAsia="宋体" w:hint="default"/>
                <w:sz w:val="18"/>
                <w:szCs w:val="18"/>
              </w:rPr>
              <w:t>2</w:t>
            </w:r>
            <w:r>
              <w:rPr>
                <w:rFonts w:ascii="宋体" w:hAnsi="宋体" w:cs="宋体" w:eastAsia="宋体" w:hint="default"/>
                <w:sz w:val="18"/>
                <w:szCs w:val="18"/>
              </w:rPr>
              <w:t>、上述锁定期届满后两年内，未发生延长锁</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2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left="22" w:right="0"/>
              <w:jc w:val="left"/>
              <w:rPr>
                <w:rFonts w:ascii="宋体" w:hAnsi="宋体" w:cs="宋体" w:eastAsia="宋体" w:hint="default"/>
                <w:sz w:val="18"/>
                <w:szCs w:val="18"/>
              </w:rPr>
            </w:pPr>
            <w:r>
              <w:rPr>
                <w:rFonts w:ascii="宋体" w:hAnsi="宋体" w:cs="宋体" w:eastAsia="宋体" w:hint="default"/>
                <w:sz w:val="18"/>
                <w:szCs w:val="18"/>
              </w:rPr>
              <w:t>团有限公司</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定期情形的，香港优博讯、中洲创投、博讯投资、亚晟发</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展、军屯投资、</w:t>
            </w:r>
            <w:r>
              <w:rPr>
                <w:rFonts w:ascii="宋体" w:hAnsi="宋体" w:cs="宋体" w:eastAsia="宋体" w:hint="default"/>
                <w:sz w:val="18"/>
                <w:szCs w:val="18"/>
              </w:rPr>
              <w:t>GUO</w:t>
            </w:r>
            <w:r>
              <w:rPr>
                <w:rFonts w:ascii="宋体" w:hAnsi="宋体" w:cs="宋体" w:eastAsia="宋体" w:hint="default"/>
                <w:spacing w:val="-22"/>
                <w:sz w:val="18"/>
                <w:szCs w:val="18"/>
              </w:rPr>
              <w:t> </w:t>
            </w:r>
            <w:r>
              <w:rPr>
                <w:rFonts w:ascii="宋体" w:hAnsi="宋体" w:cs="宋体" w:eastAsia="宋体" w:hint="default"/>
                <w:sz w:val="18"/>
                <w:szCs w:val="18"/>
              </w:rPr>
              <w:t>SONG</w:t>
            </w:r>
            <w:r>
              <w:rPr>
                <w:rFonts w:ascii="宋体" w:hAnsi="宋体" w:cs="宋体" w:eastAsia="宋体" w:hint="default"/>
                <w:sz w:val="18"/>
                <w:szCs w:val="18"/>
              </w:rPr>
              <w:t>、</w:t>
            </w:r>
            <w:r>
              <w:rPr>
                <w:rFonts w:ascii="宋体" w:hAnsi="宋体" w:cs="宋体" w:eastAsia="宋体" w:hint="default"/>
                <w:sz w:val="18"/>
                <w:szCs w:val="18"/>
              </w:rPr>
              <w:t>CHEN</w:t>
            </w:r>
            <w:r>
              <w:rPr>
                <w:rFonts w:ascii="宋体" w:hAnsi="宋体" w:cs="宋体" w:eastAsia="宋体" w:hint="default"/>
                <w:spacing w:val="-22"/>
                <w:sz w:val="18"/>
                <w:szCs w:val="18"/>
              </w:rPr>
              <w:t> </w:t>
            </w:r>
            <w:r>
              <w:rPr>
                <w:rFonts w:ascii="宋体" w:hAnsi="宋体" w:cs="宋体" w:eastAsia="宋体" w:hint="default"/>
                <w:sz w:val="18"/>
                <w:szCs w:val="18"/>
              </w:rPr>
              <w:t>YIHAN</w:t>
            </w:r>
            <w:r>
              <w:rPr>
                <w:rFonts w:ascii="宋体" w:hAnsi="宋体" w:cs="宋体" w:eastAsia="宋体" w:hint="default"/>
                <w:spacing w:val="-46"/>
                <w:sz w:val="18"/>
                <w:szCs w:val="18"/>
              </w:rPr>
              <w:t> </w:t>
            </w:r>
            <w:r>
              <w:rPr>
                <w:rFonts w:ascii="宋体" w:hAnsi="宋体" w:cs="宋体" w:eastAsia="宋体" w:hint="default"/>
                <w:sz w:val="18"/>
                <w:szCs w:val="18"/>
              </w:rPr>
              <w:t>及</w:t>
            </w:r>
            <w:r>
              <w:rPr>
                <w:rFonts w:ascii="宋体" w:hAnsi="宋体" w:cs="宋体" w:eastAsia="宋体" w:hint="default"/>
                <w:spacing w:val="-46"/>
                <w:sz w:val="18"/>
                <w:szCs w:val="18"/>
              </w:rPr>
              <w:t> </w:t>
            </w:r>
            <w:r>
              <w:rPr>
                <w:rFonts w:ascii="宋体" w:hAnsi="宋体" w:cs="宋体" w:eastAsia="宋体" w:hint="default"/>
                <w:sz w:val="18"/>
                <w:szCs w:val="18"/>
              </w:rPr>
              <w:t>LIU</w:t>
            </w:r>
            <w:r>
              <w:rPr>
                <w:rFonts w:ascii="宋体" w:hAnsi="宋体" w:cs="宋体" w:eastAsia="宋体" w:hint="default"/>
                <w:spacing w:val="-22"/>
                <w:sz w:val="18"/>
                <w:szCs w:val="18"/>
              </w:rPr>
              <w:t> </w:t>
            </w:r>
            <w:r>
              <w:rPr>
                <w:rFonts w:ascii="宋体" w:hAnsi="宋体" w:cs="宋体" w:eastAsia="宋体" w:hint="default"/>
                <w:sz w:val="18"/>
                <w:szCs w:val="18"/>
              </w:rPr>
              <w:t>DAN</w:t>
            </w:r>
            <w:r>
              <w:rPr>
                <w:rFonts w:ascii="宋体" w:hAnsi="宋体" w:cs="宋体" w:eastAsia="宋体" w:hint="default"/>
                <w:spacing w:val="-46"/>
                <w:sz w:val="18"/>
                <w:szCs w:val="18"/>
              </w:rPr>
              <w:t> </w:t>
            </w:r>
            <w:r>
              <w:rPr>
                <w:rFonts w:ascii="宋体" w:hAnsi="宋体" w:cs="宋体" w:eastAsia="宋体" w:hint="default"/>
                <w:sz w:val="18"/>
                <w:szCs w:val="18"/>
              </w:rPr>
              <w:t>可减持</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816" w:type="dxa"/>
            <w:vMerge/>
            <w:tcBorders>
              <w:left w:val="single" w:sz="4" w:space="0" w:color="000000"/>
              <w:bottom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45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全部所持股份，减持价格将不低于发行价。</w:t>
            </w:r>
            <w:r>
              <w:rPr>
                <w:rFonts w:ascii="宋体" w:hAnsi="宋体" w:cs="宋体" w:eastAsia="宋体" w:hint="default"/>
                <w:spacing w:val="-22"/>
                <w:sz w:val="18"/>
                <w:szCs w:val="18"/>
              </w:rPr>
              <w:t> </w:t>
            </w:r>
            <w:r>
              <w:rPr>
                <w:rFonts w:ascii="宋体" w:hAnsi="宋体" w:cs="宋体" w:eastAsia="宋体" w:hint="default"/>
                <w:sz w:val="18"/>
                <w:szCs w:val="18"/>
              </w:rPr>
              <w:t>3</w:t>
            </w:r>
            <w:r>
              <w:rPr>
                <w:rFonts w:ascii="宋体" w:hAnsi="宋体" w:cs="宋体" w:eastAsia="宋体" w:hint="default"/>
                <w:sz w:val="18"/>
                <w:szCs w:val="18"/>
              </w:rPr>
              <w:t>、香港优博</w:t>
            </w:r>
          </w:p>
        </w:tc>
        <w:tc>
          <w:tcPr>
            <w:tcW w:w="99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530"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412.320007pt;margin-top:72.47998pt;width:55.35pt;height:111.3pt;mso-position-horizontal-relative:page;mso-position-vertical-relative:page;z-index:-1012912" type="#_x0000_t202" filled="false" stroked="false">
            <v:textbox inset="0,0,0,0">
              <w:txbxContent>
                <w:p>
                  <w:pPr>
                    <w:pStyle w:val="BodyText"/>
                    <w:spacing w:line="240" w:lineRule="auto" w:before="10"/>
                    <w:ind w:left="0" w:right="0"/>
                    <w:jc w:val="left"/>
                  </w:pPr>
                  <w:r>
                    <w:rPr/>
                    <w:t>、</w:t>
                  </w:r>
                </w:p>
              </w:txbxContent>
            </v:textbox>
            <w10:wrap type="none"/>
          </v:shape>
        </w:pict>
      </w:r>
      <w:r>
        <w:rPr/>
        <w:pict>
          <v:shape style="position:absolute;margin-left:313.296997pt;margin-top:391.519989pt;width:154.35pt;height:170.6pt;mso-position-horizontal-relative:page;mso-position-vertical-relative:page;z-index:-1012888"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1"/>
                    <w:rPr>
                      <w:rFonts w:ascii="Times New Roman" w:hAnsi="Times New Roman" w:cs="Times New Roman" w:eastAsia="Times New Roman" w:hint="default"/>
                      <w:sz w:val="22"/>
                      <w:szCs w:val="22"/>
                    </w:rPr>
                  </w:pPr>
                </w:p>
                <w:p>
                  <w:pPr>
                    <w:pStyle w:val="BodyText"/>
                    <w:spacing w:line="240" w:lineRule="auto"/>
                    <w:ind w:left="0" w:right="0"/>
                    <w:jc w:val="left"/>
                  </w:pPr>
                  <w:r>
                    <w:rPr/>
                    <w:t>为维护公众投资者的利益，</w:t>
                  </w:r>
                </w:p>
              </w:txbxContent>
            </v:textbox>
            <w10:wrap type="none"/>
          </v:shape>
        </w:pict>
      </w:r>
      <w:r>
        <w:rPr/>
        <w:pict>
          <v:shape style="position:absolute;margin-left:367.274017pt;margin-top:597.339966pt;width:100.4pt;height:170.6pt;mso-position-horizontal-relative:page;mso-position-vertical-relative:page;z-index:-1012864"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11"/>
                    <w:rPr>
                      <w:rFonts w:ascii="Times New Roman" w:hAnsi="Times New Roman" w:cs="Times New Roman" w:eastAsia="Times New Roman" w:hint="default"/>
                      <w:sz w:val="17"/>
                      <w:szCs w:val="17"/>
                    </w:rPr>
                  </w:pPr>
                </w:p>
                <w:p>
                  <w:pPr>
                    <w:pStyle w:val="BodyText"/>
                    <w:spacing w:line="240" w:lineRule="auto"/>
                    <w:ind w:left="0" w:right="0"/>
                    <w:jc w:val="left"/>
                  </w:pPr>
                  <w:r>
                    <w:rPr/>
                    <w:t>法规的规定，</w:t>
                  </w:r>
                </w:p>
              </w:txbxContent>
            </v:textbox>
            <w10:wrap type="none"/>
          </v:shape>
        </w:pict>
      </w:r>
      <w:r>
        <w:rPr/>
        <w:pict>
          <v:group style="position:absolute;margin-left:418.5pt;margin-top:391.519989pt;width:49.15pt;height:376.45pt;mso-position-horizontal-relative:page;mso-position-vertical-relative:page;z-index:-1012840" coordorigin="8370,7830" coordsize="983,7529">
            <v:group style="position:absolute;left:8370;top:7830;width:983;height:3412" coordorigin="8370,7830" coordsize="983,3412">
              <v:shape style="position:absolute;left:8370;top:7830;width:983;height:3412" coordorigin="8370,7830" coordsize="983,3412" path="m8370,11242l9353,11242,9353,7830,8370,7830,8370,11242xe" filled="true" fillcolor="#ffffff" stroked="false">
                <v:path arrowok="t"/>
                <v:fill type="solid"/>
              </v:shape>
            </v:group>
            <v:group style="position:absolute;left:8381;top:11242;width:2;height:705" coordorigin="8381,11242" coordsize="2,705">
              <v:shape style="position:absolute;left:8381;top:11242;width:2;height:705" coordorigin="8381,11242" coordsize="0,705" path="m8381,11242l8381,11947e" filled="false" stroked="true" strokeweight="1.140pt" strokecolor="#ffffff">
                <v:path arrowok="t"/>
              </v:shape>
            </v:group>
            <v:group style="position:absolute;left:8370;top:11947;width:983;height:3412" coordorigin="8370,11947" coordsize="983,3412">
              <v:shape style="position:absolute;left:8370;top:11947;width:983;height:3412" coordorigin="8370,11947" coordsize="983,3412" path="m8370,15359l9353,15359,9353,11947,8370,11947,8370,15359xe" filled="true" fillcolor="#ffffff" stroked="false">
                <v:path arrowok="t"/>
                <v:fill type="solid"/>
              </v:shape>
            </v:group>
            <v:group style="position:absolute;left:8393;top:11242;width:936;height:353" coordorigin="8393,11242" coordsize="936,353">
              <v:shape style="position:absolute;left:8393;top:11242;width:936;height:353" coordorigin="8393,11242" coordsize="936,353" path="m8393,11595l9329,11595,9329,11242,8393,11242,8393,11595xe" filled="true" fillcolor="#ffffff" stroked="false">
                <v:path arrowok="t"/>
                <v:fill type="solid"/>
              </v:shape>
            </v:group>
            <v:group style="position:absolute;left:8393;top:11595;width:936;height:352" coordorigin="8393,11595" coordsize="936,352">
              <v:shape style="position:absolute;left:8393;top:11595;width:936;height:352" coordorigin="8393,11595" coordsize="936,352" path="m8393,11947l9329,11947,9329,11595,8393,11595,8393,11947xe" filled="true" fillcolor="#ffffff" stroked="false">
                <v:path arrowok="t"/>
                <v:fill type="solid"/>
              </v:shape>
            </v:group>
            <w10:wrap type="none"/>
          </v:group>
        </w:pict>
      </w:r>
    </w:p>
    <w:p>
      <w:pPr>
        <w:spacing w:line="240" w:lineRule="auto" w:before="5"/>
        <w:rPr>
          <w:rFonts w:ascii="Times New Roman" w:hAnsi="Times New Roman" w:cs="Times New Roman" w:eastAsia="Times New Roman" w:hint="default"/>
          <w:sz w:val="12"/>
          <w:szCs w:val="12"/>
        </w:rPr>
      </w:pPr>
    </w:p>
    <w:tbl>
      <w:tblPr>
        <w:tblW w:w="0" w:type="auto"/>
        <w:jc w:val="left"/>
        <w:tblInd w:w="183" w:type="dxa"/>
        <w:tblLayout w:type="fixed"/>
        <w:tblCellMar>
          <w:top w:w="0" w:type="dxa"/>
          <w:left w:w="0" w:type="dxa"/>
          <w:bottom w:w="0" w:type="dxa"/>
          <w:right w:w="0" w:type="dxa"/>
        </w:tblCellMar>
        <w:tblLook w:val="01E0"/>
      </w:tblPr>
      <w:tblGrid>
        <w:gridCol w:w="816"/>
        <w:gridCol w:w="709"/>
        <w:gridCol w:w="1134"/>
        <w:gridCol w:w="4537"/>
        <w:gridCol w:w="992"/>
        <w:gridCol w:w="850"/>
        <w:gridCol w:w="530"/>
      </w:tblGrid>
      <w:tr>
        <w:trPr>
          <w:trHeight w:val="317" w:hRule="exact"/>
        </w:trPr>
        <w:tc>
          <w:tcPr>
            <w:tcW w:w="816" w:type="dxa"/>
            <w:vMerge w:val="restart"/>
            <w:tcBorders>
              <w:top w:val="single" w:sz="4" w:space="0" w:color="000000"/>
              <w:left w:val="single" w:sz="4" w:space="0" w:color="000000"/>
              <w:right w:val="single" w:sz="4" w:space="0" w:color="000000"/>
            </w:tcBorders>
            <w:shd w:val="clear" w:color="auto" w:fill="D2D2D2"/>
          </w:tcPr>
          <w:p>
            <w:pPr/>
          </w:p>
        </w:tc>
        <w:tc>
          <w:tcPr>
            <w:tcW w:w="709" w:type="dxa"/>
            <w:vMerge w:val="restart"/>
            <w:tcBorders>
              <w:top w:val="single" w:sz="4" w:space="0" w:color="000000"/>
              <w:left w:val="single" w:sz="4" w:space="0" w:color="000000"/>
              <w:right w:val="single" w:sz="4" w:space="0" w:color="000000"/>
            </w:tcBorders>
          </w:tcPr>
          <w:p>
            <w:pPr/>
          </w:p>
        </w:tc>
        <w:tc>
          <w:tcPr>
            <w:tcW w:w="1134" w:type="dxa"/>
            <w:vMerge w:val="restart"/>
            <w:tcBorders>
              <w:top w:val="single" w:sz="4" w:space="0" w:color="000000"/>
              <w:left w:val="single" w:sz="4" w:space="0" w:color="000000"/>
              <w:right w:val="single" w:sz="4" w:space="0" w:color="000000"/>
            </w:tcBorders>
          </w:tcPr>
          <w:p>
            <w:pPr/>
          </w:p>
        </w:tc>
        <w:tc>
          <w:tcPr>
            <w:tcW w:w="453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10"/>
                <w:sz w:val="18"/>
                <w:szCs w:val="18"/>
              </w:rPr>
              <w:t>讯、中洲创投、博讯投资、亚晟发展、军屯投资、</w:t>
            </w:r>
            <w:r>
              <w:rPr>
                <w:rFonts w:ascii="宋体" w:hAnsi="宋体" w:cs="宋体" w:eastAsia="宋体" w:hint="default"/>
                <w:spacing w:val="-10"/>
                <w:sz w:val="18"/>
                <w:szCs w:val="18"/>
              </w:rPr>
              <w:t>GUO</w:t>
            </w:r>
            <w:r>
              <w:rPr>
                <w:rFonts w:ascii="宋体" w:hAnsi="宋体" w:cs="宋体" w:eastAsia="宋体" w:hint="default"/>
                <w:spacing w:val="-45"/>
                <w:sz w:val="18"/>
                <w:szCs w:val="18"/>
              </w:rPr>
              <w:t> </w:t>
            </w:r>
            <w:r>
              <w:rPr>
                <w:rFonts w:ascii="宋体" w:hAnsi="宋体" w:cs="宋体" w:eastAsia="宋体" w:hint="default"/>
                <w:sz w:val="18"/>
                <w:szCs w:val="18"/>
              </w:rPr>
              <w:t>SONG</w:t>
            </w:r>
          </w:p>
        </w:tc>
        <w:tc>
          <w:tcPr>
            <w:tcW w:w="992" w:type="dxa"/>
            <w:vMerge w:val="restart"/>
            <w:tcBorders>
              <w:top w:val="single" w:sz="4" w:space="0" w:color="000000"/>
              <w:left w:val="single" w:sz="4" w:space="0" w:color="000000"/>
              <w:right w:val="single" w:sz="4" w:space="0" w:color="000000"/>
            </w:tcBorders>
          </w:tcPr>
          <w:p>
            <w:pPr>
              <w:pStyle w:val="TableParagraph"/>
              <w:spacing w:line="2225"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4"/>
                <w:sz w:val="20"/>
                <w:szCs w:val="20"/>
              </w:rPr>
              <w:pict>
                <v:group style="width:49.15pt;height:111.3pt;mso-position-horizontal-relative:char;mso-position-vertical-relative:line" coordorigin="0,0" coordsize="983,2226">
                  <v:group style="position:absolute;left:0;top:0;width:983;height:2226" coordorigin="0,0" coordsize="983,2226">
                    <v:shape style="position:absolute;left:0;top:0;width:983;height:2226" coordorigin="0,0" coordsize="983,2226" path="m0,2225l983,2225,983,0,0,0,0,2225xe" filled="true" fillcolor="#ffffff" stroked="false">
                      <v:path arrowok="t"/>
                      <v:fill type="solid"/>
                    </v:shape>
                  </v:group>
                </v:group>
              </w:pict>
            </w:r>
            <w:r>
              <w:rPr>
                <w:rFonts w:ascii="Times New Roman" w:hAnsi="Times New Roman" w:cs="Times New Roman" w:eastAsia="Times New Roman" w:hint="default"/>
                <w:position w:val="-44"/>
                <w:sz w:val="20"/>
                <w:szCs w:val="20"/>
              </w:rPr>
            </w:r>
          </w:p>
        </w:tc>
        <w:tc>
          <w:tcPr>
            <w:tcW w:w="850"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CHEN</w:t>
            </w:r>
            <w:r>
              <w:rPr>
                <w:rFonts w:ascii="宋体" w:hAnsi="宋体" w:cs="宋体" w:eastAsia="宋体" w:hint="default"/>
                <w:spacing w:val="-33"/>
                <w:sz w:val="18"/>
                <w:szCs w:val="18"/>
              </w:rPr>
              <w:t> </w:t>
            </w:r>
            <w:r>
              <w:rPr>
                <w:rFonts w:ascii="宋体" w:hAnsi="宋体" w:cs="宋体" w:eastAsia="宋体" w:hint="default"/>
                <w:sz w:val="18"/>
                <w:szCs w:val="18"/>
              </w:rPr>
              <w:t>YIHAN</w:t>
            </w:r>
            <w:r>
              <w:rPr>
                <w:rFonts w:ascii="宋体" w:hAnsi="宋体" w:cs="宋体" w:eastAsia="宋体" w:hint="default"/>
                <w:spacing w:val="-46"/>
                <w:sz w:val="18"/>
                <w:szCs w:val="18"/>
              </w:rPr>
              <w:t> </w:t>
            </w:r>
            <w:r>
              <w:rPr>
                <w:rFonts w:ascii="宋体" w:hAnsi="宋体" w:cs="宋体" w:eastAsia="宋体" w:hint="default"/>
                <w:sz w:val="18"/>
                <w:szCs w:val="18"/>
              </w:rPr>
              <w:t>及</w:t>
            </w:r>
            <w:r>
              <w:rPr>
                <w:rFonts w:ascii="宋体" w:hAnsi="宋体" w:cs="宋体" w:eastAsia="宋体" w:hint="default"/>
                <w:spacing w:val="-46"/>
                <w:sz w:val="18"/>
                <w:szCs w:val="18"/>
              </w:rPr>
              <w:t> </w:t>
            </w:r>
            <w:r>
              <w:rPr>
                <w:rFonts w:ascii="宋体" w:hAnsi="宋体" w:cs="宋体" w:eastAsia="宋体" w:hint="default"/>
                <w:sz w:val="18"/>
                <w:szCs w:val="18"/>
              </w:rPr>
              <w:t>LIU</w:t>
            </w:r>
            <w:r>
              <w:rPr>
                <w:rFonts w:ascii="宋体" w:hAnsi="宋体" w:cs="宋体" w:eastAsia="宋体" w:hint="default"/>
                <w:spacing w:val="-33"/>
                <w:sz w:val="18"/>
                <w:szCs w:val="18"/>
              </w:rPr>
              <w:t> </w:t>
            </w:r>
            <w:r>
              <w:rPr>
                <w:rFonts w:ascii="宋体" w:hAnsi="宋体" w:cs="宋体" w:eastAsia="宋体" w:hint="default"/>
                <w:sz w:val="18"/>
                <w:szCs w:val="18"/>
              </w:rPr>
              <w:t>DAN</w:t>
            </w:r>
            <w:r>
              <w:rPr>
                <w:rFonts w:ascii="宋体" w:hAnsi="宋体" w:cs="宋体" w:eastAsia="宋体" w:hint="default"/>
                <w:spacing w:val="-46"/>
                <w:sz w:val="18"/>
                <w:szCs w:val="18"/>
              </w:rPr>
              <w:t> </w:t>
            </w:r>
            <w:r>
              <w:rPr>
                <w:rFonts w:ascii="宋体" w:hAnsi="宋体" w:cs="宋体" w:eastAsia="宋体" w:hint="default"/>
                <w:sz w:val="18"/>
                <w:szCs w:val="18"/>
              </w:rPr>
              <w:t>承诺：根据中国证监会、证券交易</w:t>
            </w:r>
          </w:p>
        </w:tc>
        <w:tc>
          <w:tcPr>
            <w:tcW w:w="992"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所有关法律、法规的相关规定进行减持，并提前三个交易</w:t>
            </w:r>
          </w:p>
        </w:tc>
        <w:tc>
          <w:tcPr>
            <w:tcW w:w="992"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日公告。 </w:t>
            </w:r>
            <w:r>
              <w:rPr>
                <w:rFonts w:ascii="宋体" w:hAnsi="宋体" w:cs="宋体" w:eastAsia="宋体" w:hint="default"/>
                <w:sz w:val="18"/>
                <w:szCs w:val="18"/>
              </w:rPr>
              <w:t>4</w:t>
            </w:r>
            <w:r>
              <w:rPr>
                <w:rFonts w:ascii="宋体" w:hAnsi="宋体" w:cs="宋体" w:eastAsia="宋体" w:hint="default"/>
                <w:sz w:val="18"/>
                <w:szCs w:val="18"/>
              </w:rPr>
              <w:t>、如未履行上述承诺出售股票，香港优博讯、</w:t>
            </w:r>
          </w:p>
        </w:tc>
        <w:tc>
          <w:tcPr>
            <w:tcW w:w="992"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中洲创投、博讯投资、亚晟发展、军屯投资、</w:t>
            </w:r>
            <w:r>
              <w:rPr>
                <w:rFonts w:ascii="宋体" w:hAnsi="宋体" w:cs="宋体" w:eastAsia="宋体" w:hint="default"/>
                <w:sz w:val="18"/>
                <w:szCs w:val="18"/>
              </w:rPr>
              <w:t>GUO SONG</w:t>
            </w:r>
            <w:r>
              <w:rPr>
                <w:rFonts w:ascii="宋体" w:hAnsi="宋体" w:cs="宋体" w:eastAsia="宋体" w:hint="default"/>
                <w:sz w:val="18"/>
                <w:szCs w:val="18"/>
              </w:rPr>
              <w:t>、</w:t>
            </w:r>
          </w:p>
        </w:tc>
        <w:tc>
          <w:tcPr>
            <w:tcW w:w="992"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r>
      <w:tr>
        <w:trPr>
          <w:trHeight w:val="313" w:hRule="exact"/>
        </w:trPr>
        <w:tc>
          <w:tcPr>
            <w:tcW w:w="816" w:type="dxa"/>
            <w:vMerge/>
            <w:tcBorders>
              <w:left w:val="single" w:sz="4" w:space="0" w:color="000000"/>
              <w:right w:val="single" w:sz="4" w:space="0" w:color="000000"/>
            </w:tcBorders>
            <w:shd w:val="clear" w:color="auto" w:fill="D2D2D2"/>
          </w:tcPr>
          <w:p>
            <w:pPr/>
          </w:p>
        </w:tc>
        <w:tc>
          <w:tcPr>
            <w:tcW w:w="709" w:type="dxa"/>
            <w:vMerge/>
            <w:tcBorders>
              <w:left w:val="single" w:sz="4" w:space="0" w:color="000000"/>
              <w:right w:val="single" w:sz="4" w:space="0" w:color="000000"/>
            </w:tcBorders>
          </w:tcPr>
          <w:p>
            <w:pPr/>
          </w:p>
        </w:tc>
        <w:tc>
          <w:tcPr>
            <w:tcW w:w="1134" w:type="dxa"/>
            <w:vMerge/>
            <w:tcBorders>
              <w:left w:val="single" w:sz="4" w:space="0" w:color="000000"/>
              <w:right w:val="single" w:sz="4" w:space="0" w:color="000000"/>
            </w:tcBorders>
          </w:tcPr>
          <w:p>
            <w:pP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CHEN</w:t>
            </w:r>
            <w:r>
              <w:rPr>
                <w:rFonts w:ascii="宋体" w:hAnsi="宋体" w:cs="宋体" w:eastAsia="宋体" w:hint="default"/>
                <w:spacing w:val="-45"/>
                <w:sz w:val="18"/>
                <w:szCs w:val="18"/>
              </w:rPr>
              <w:t> </w:t>
            </w:r>
            <w:r>
              <w:rPr>
                <w:rFonts w:ascii="宋体" w:hAnsi="宋体" w:cs="宋体" w:eastAsia="宋体" w:hint="default"/>
                <w:sz w:val="18"/>
                <w:szCs w:val="18"/>
              </w:rPr>
              <w:t>YIHAN</w:t>
            </w:r>
            <w:r>
              <w:rPr>
                <w:rFonts w:ascii="宋体" w:hAnsi="宋体" w:cs="宋体" w:eastAsia="宋体" w:hint="default"/>
                <w:spacing w:val="-68"/>
                <w:sz w:val="18"/>
                <w:szCs w:val="18"/>
              </w:rPr>
              <w:t> </w:t>
            </w:r>
            <w:r>
              <w:rPr>
                <w:rFonts w:ascii="宋体" w:hAnsi="宋体" w:cs="宋体" w:eastAsia="宋体" w:hint="default"/>
                <w:sz w:val="18"/>
                <w:szCs w:val="18"/>
              </w:rPr>
              <w:t>及</w:t>
            </w:r>
            <w:r>
              <w:rPr>
                <w:rFonts w:ascii="宋体" w:hAnsi="宋体" w:cs="宋体" w:eastAsia="宋体" w:hint="default"/>
                <w:spacing w:val="-67"/>
                <w:sz w:val="18"/>
                <w:szCs w:val="18"/>
              </w:rPr>
              <w:t> </w:t>
            </w:r>
            <w:r>
              <w:rPr>
                <w:rFonts w:ascii="宋体" w:hAnsi="宋体" w:cs="宋体" w:eastAsia="宋体" w:hint="default"/>
                <w:sz w:val="18"/>
                <w:szCs w:val="18"/>
              </w:rPr>
              <w:t>LIU</w:t>
            </w:r>
            <w:r>
              <w:rPr>
                <w:rFonts w:ascii="宋体" w:hAnsi="宋体" w:cs="宋体" w:eastAsia="宋体" w:hint="default"/>
                <w:spacing w:val="-45"/>
                <w:sz w:val="18"/>
                <w:szCs w:val="18"/>
              </w:rPr>
              <w:t> </w:t>
            </w:r>
            <w:r>
              <w:rPr>
                <w:rFonts w:ascii="宋体" w:hAnsi="宋体" w:cs="宋体" w:eastAsia="宋体" w:hint="default"/>
                <w:sz w:val="18"/>
                <w:szCs w:val="18"/>
              </w:rPr>
              <w:t>DAN</w:t>
            </w:r>
            <w:r>
              <w:rPr>
                <w:rFonts w:ascii="宋体" w:hAnsi="宋体" w:cs="宋体" w:eastAsia="宋体" w:hint="default"/>
                <w:spacing w:val="-68"/>
                <w:sz w:val="18"/>
                <w:szCs w:val="18"/>
              </w:rPr>
              <w:t> </w:t>
            </w:r>
            <w:r>
              <w:rPr>
                <w:rFonts w:ascii="宋体" w:hAnsi="宋体" w:cs="宋体" w:eastAsia="宋体" w:hint="default"/>
                <w:sz w:val="18"/>
                <w:szCs w:val="18"/>
              </w:rPr>
              <w:t>将该部分出售股票所取得的收</w:t>
            </w:r>
            <w:r>
              <w:rPr>
                <w:rFonts w:ascii="宋体" w:hAnsi="宋体" w:cs="宋体" w:eastAsia="宋体" w:hint="default"/>
                <w:spacing w:val="-90"/>
                <w:sz w:val="18"/>
                <w:szCs w:val="18"/>
              </w:rPr>
              <w:t>益</w:t>
            </w:r>
            <w:r>
              <w:rPr>
                <w:rFonts w:ascii="宋体" w:hAnsi="宋体" w:cs="宋体" w:eastAsia="宋体" w:hint="default"/>
                <w:sz w:val="18"/>
                <w:szCs w:val="18"/>
              </w:rPr>
              <w:t>（如</w:t>
            </w:r>
          </w:p>
        </w:tc>
        <w:tc>
          <w:tcPr>
            <w:tcW w:w="992"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r>
      <w:tr>
        <w:trPr>
          <w:trHeight w:val="357" w:hRule="exact"/>
        </w:trPr>
        <w:tc>
          <w:tcPr>
            <w:tcW w:w="816" w:type="dxa"/>
            <w:vMerge/>
            <w:tcBorders>
              <w:left w:val="single" w:sz="4" w:space="0" w:color="000000"/>
              <w:right w:val="single" w:sz="4" w:space="0" w:color="000000"/>
            </w:tcBorders>
            <w:shd w:val="clear" w:color="auto" w:fill="D2D2D2"/>
          </w:tcPr>
          <w:p>
            <w:pPr/>
          </w:p>
        </w:tc>
        <w:tc>
          <w:tcPr>
            <w:tcW w:w="709" w:type="dxa"/>
            <w:vMerge/>
            <w:tcBorders>
              <w:left w:val="single" w:sz="4" w:space="0" w:color="000000"/>
              <w:bottom w:val="single" w:sz="4" w:space="0" w:color="000000"/>
              <w:right w:val="single" w:sz="4" w:space="0" w:color="000000"/>
            </w:tcBorders>
          </w:tcPr>
          <w:p>
            <w:pPr/>
          </w:p>
        </w:tc>
        <w:tc>
          <w:tcPr>
            <w:tcW w:w="1134" w:type="dxa"/>
            <w:vMerge/>
            <w:tcBorders>
              <w:left w:val="single" w:sz="4" w:space="0" w:color="000000"/>
              <w:bottom w:val="single" w:sz="4" w:space="0" w:color="000000"/>
              <w:right w:val="single" w:sz="4" w:space="0" w:color="000000"/>
            </w:tcBorders>
          </w:tcPr>
          <w:p>
            <w:pPr/>
          </w:p>
        </w:tc>
        <w:tc>
          <w:tcPr>
            <w:tcW w:w="45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有</w:t>
            </w:r>
            <w:r>
              <w:rPr>
                <w:rFonts w:ascii="宋体" w:hAnsi="宋体" w:cs="宋体" w:eastAsia="宋体" w:hint="default"/>
                <w:spacing w:val="-90"/>
                <w:sz w:val="18"/>
                <w:szCs w:val="18"/>
              </w:rPr>
              <w:t>）</w:t>
            </w:r>
            <w:r>
              <w:rPr>
                <w:rFonts w:ascii="宋体" w:hAnsi="宋体" w:cs="宋体" w:eastAsia="宋体" w:hint="default"/>
                <w:sz w:val="18"/>
                <w:szCs w:val="18"/>
              </w:rPr>
              <w:t>，上缴公司所有。 特此承诺。</w:t>
            </w:r>
          </w:p>
        </w:tc>
        <w:tc>
          <w:tcPr>
            <w:tcW w:w="992"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r>
      <w:tr>
        <w:trPr>
          <w:trHeight w:val="357" w:hRule="exact"/>
        </w:trPr>
        <w:tc>
          <w:tcPr>
            <w:tcW w:w="816" w:type="dxa"/>
            <w:vMerge/>
            <w:tcBorders>
              <w:left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453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发行人控股股东关于购回股份的承诺函 深圳市优博讯科</w:t>
            </w:r>
          </w:p>
        </w:tc>
        <w:tc>
          <w:tcPr>
            <w:tcW w:w="99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530" w:type="dxa"/>
            <w:tcBorders>
              <w:top w:val="single" w:sz="4" w:space="0" w:color="000000"/>
              <w:left w:val="single" w:sz="4" w:space="0" w:color="000000"/>
              <w:bottom w:val="nil" w:sz="6" w:space="0" w:color="auto"/>
              <w:right w:val="single" w:sz="4" w:space="0" w:color="000000"/>
            </w:tcBorders>
          </w:tcPr>
          <w:p>
            <w:pPr/>
          </w:p>
        </w:tc>
      </w:tr>
      <w:tr>
        <w:trPr>
          <w:trHeight w:val="311"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技股份有限公司（下称“发行人</w:t>
            </w:r>
            <w:r>
              <w:rPr>
                <w:rFonts w:ascii="宋体" w:hAnsi="宋体" w:cs="宋体" w:eastAsia="宋体" w:hint="default"/>
                <w:spacing w:val="-90"/>
                <w:sz w:val="18"/>
                <w:szCs w:val="18"/>
              </w:rPr>
              <w:t>”</w:t>
            </w:r>
            <w:r>
              <w:rPr>
                <w:rFonts w:ascii="宋体" w:hAnsi="宋体" w:cs="宋体" w:eastAsia="宋体" w:hint="default"/>
                <w:sz w:val="18"/>
                <w:szCs w:val="18"/>
              </w:rPr>
              <w:t>）拟申请首次公开发行</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A</w:t>
            </w:r>
            <w:r>
              <w:rPr>
                <w:rFonts w:ascii="宋体" w:hAnsi="宋体" w:cs="宋体" w:eastAsia="宋体" w:hint="default"/>
                <w:spacing w:val="-46"/>
                <w:sz w:val="18"/>
                <w:szCs w:val="18"/>
              </w:rPr>
              <w:t> </w:t>
            </w:r>
            <w:r>
              <w:rPr>
                <w:rFonts w:ascii="宋体" w:hAnsi="宋体" w:cs="宋体" w:eastAsia="宋体" w:hint="default"/>
                <w:sz w:val="18"/>
                <w:szCs w:val="18"/>
              </w:rPr>
              <w:t>股）股票并在创业板上市（下称“首次</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2184"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316" w:lineRule="auto"/>
              <w:ind w:left="22" w:right="134"/>
              <w:jc w:val="left"/>
              <w:rPr>
                <w:rFonts w:ascii="宋体" w:hAnsi="宋体" w:cs="宋体" w:eastAsia="宋体" w:hint="default"/>
                <w:sz w:val="18"/>
                <w:szCs w:val="18"/>
              </w:rPr>
            </w:pPr>
            <w:r>
              <w:rPr>
                <w:rFonts w:ascii="宋体" w:hAnsi="宋体" w:cs="宋体" w:eastAsia="宋体" w:hint="default"/>
                <w:sz w:val="18"/>
                <w:szCs w:val="18"/>
              </w:rPr>
              <w:t>股份回 购承诺</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316" w:lineRule="auto"/>
              <w:ind w:left="22" w:right="199"/>
              <w:jc w:val="both"/>
              <w:rPr>
                <w:rFonts w:ascii="宋体" w:hAnsi="宋体" w:cs="宋体" w:eastAsia="宋体" w:hint="default"/>
                <w:sz w:val="18"/>
                <w:szCs w:val="18"/>
              </w:rPr>
            </w:pPr>
            <w:r>
              <w:rPr>
                <w:rFonts w:ascii="宋体" w:hAnsi="宋体" w:cs="宋体" w:eastAsia="宋体" w:hint="default"/>
                <w:sz w:val="18"/>
                <w:szCs w:val="18"/>
              </w:rPr>
              <w:t>香港优博讯 科技控股集 团有限公司</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2" w:right="21"/>
              <w:jc w:val="left"/>
              <w:rPr>
                <w:rFonts w:ascii="宋体" w:hAnsi="宋体" w:cs="宋体" w:eastAsia="宋体" w:hint="default"/>
                <w:sz w:val="18"/>
                <w:szCs w:val="18"/>
              </w:rPr>
            </w:pPr>
            <w:r>
              <w:rPr>
                <w:rFonts w:ascii="宋体" w:hAnsi="宋体" w:cs="宋体" w:eastAsia="宋体" w:hint="default"/>
                <w:spacing w:val="-15"/>
                <w:sz w:val="18"/>
                <w:szCs w:val="18"/>
              </w:rPr>
              <w:t>公开发行上市”），为首次公开发行上市，发行人编制了《深</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z w:val="18"/>
                <w:szCs w:val="18"/>
              </w:rPr>
              <w:t>圳市优博讯科技股份有限公司首次公开发行股票并在创 </w:t>
            </w:r>
            <w:r>
              <w:rPr>
                <w:rFonts w:ascii="宋体" w:hAnsi="宋体" w:cs="宋体" w:eastAsia="宋体" w:hint="default"/>
                <w:spacing w:val="-17"/>
                <w:sz w:val="18"/>
                <w:szCs w:val="18"/>
              </w:rPr>
              <w:t>业板上市招股说明书》（下称“《招股说明书》”）。为维护</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1"/>
                <w:sz w:val="18"/>
                <w:szCs w:val="18"/>
              </w:rPr>
              <w:t>公众投资者的利益，作为发行人控股股东，香港优博讯科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0"/>
                <w:sz w:val="18"/>
                <w:szCs w:val="18"/>
              </w:rPr>
              <w:t>技控股集团有限公司（下称“本公司”）承诺如下：</w:t>
            </w:r>
            <w:r>
              <w:rPr>
                <w:rFonts w:ascii="宋体" w:hAnsi="宋体" w:cs="宋体" w:eastAsia="宋体" w:hint="default"/>
                <w:spacing w:val="-25"/>
                <w:sz w:val="18"/>
                <w:szCs w:val="18"/>
              </w:rPr>
              <w:t> </w:t>
            </w:r>
            <w:r>
              <w:rPr>
                <w:rFonts w:ascii="宋体" w:hAnsi="宋体" w:cs="宋体" w:eastAsia="宋体" w:hint="default"/>
                <w:spacing w:val="-14"/>
                <w:sz w:val="18"/>
                <w:szCs w:val="18"/>
              </w:rPr>
              <w:t>如《招</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1"/>
                <w:sz w:val="18"/>
                <w:szCs w:val="18"/>
              </w:rPr>
              <w:t>股说明书》存在虚假记载、误导性陈述或者重大遗漏，对</w:t>
            </w:r>
            <w:r>
              <w:rPr>
                <w:rFonts w:ascii="宋体" w:hAnsi="宋体" w:cs="宋体" w:eastAsia="宋体" w:hint="default"/>
                <w:sz w:val="18"/>
                <w:szCs w:val="18"/>
              </w:rPr>
              <w:t> </w:t>
            </w:r>
            <w:r>
              <w:rPr>
                <w:rFonts w:ascii="宋体" w:hAnsi="宋体" w:cs="宋体" w:eastAsia="宋体" w:hint="default"/>
                <w:spacing w:val="-1"/>
                <w:sz w:val="18"/>
                <w:szCs w:val="18"/>
              </w:rPr>
              <w:t>判断发行人是否符合法律规定的发行条件构成重大、实质</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4"/>
                <w:szCs w:val="1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08</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9"/>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53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316" w:lineRule="auto"/>
              <w:ind w:left="22" w:right="137"/>
              <w:jc w:val="both"/>
              <w:rPr>
                <w:rFonts w:ascii="宋体" w:hAnsi="宋体" w:cs="宋体" w:eastAsia="宋体" w:hint="default"/>
                <w:sz w:val="18"/>
                <w:szCs w:val="18"/>
              </w:rPr>
            </w:pPr>
            <w:r>
              <w:rPr>
                <w:rFonts w:ascii="宋体" w:hAnsi="宋体" w:cs="宋体" w:eastAsia="宋体" w:hint="default"/>
                <w:sz w:val="18"/>
                <w:szCs w:val="18"/>
              </w:rPr>
              <w:t>承诺 人严 格遵 守了 该项 承诺</w:t>
            </w: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影响的，将以二级市场价格依法购回本次公开发行时公开</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3"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发售的股份（不包括本次公开发行时其他股东公开发售部</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57"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45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分及锁定期结束后本公司在二级市场减持的股份</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99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530" w:type="dxa"/>
            <w:tcBorders>
              <w:top w:val="nil" w:sz="6" w:space="0" w:color="auto"/>
              <w:left w:val="single" w:sz="4" w:space="0" w:color="000000"/>
              <w:bottom w:val="single" w:sz="4" w:space="0" w:color="000000"/>
              <w:right w:val="single" w:sz="4" w:space="0" w:color="000000"/>
            </w:tcBorders>
          </w:tcPr>
          <w:p>
            <w:pPr/>
          </w:p>
        </w:tc>
      </w:tr>
      <w:tr>
        <w:trPr>
          <w:trHeight w:val="357" w:hRule="exact"/>
        </w:trPr>
        <w:tc>
          <w:tcPr>
            <w:tcW w:w="816" w:type="dxa"/>
            <w:vMerge/>
            <w:tcBorders>
              <w:left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1134" w:type="dxa"/>
            <w:tcBorders>
              <w:top w:val="single" w:sz="4" w:space="0" w:color="000000"/>
              <w:left w:val="single" w:sz="4" w:space="0" w:color="000000"/>
              <w:bottom w:val="nil" w:sz="6" w:space="0" w:color="auto"/>
              <w:right w:val="single" w:sz="4" w:space="0" w:color="000000"/>
            </w:tcBorders>
          </w:tcPr>
          <w:p>
            <w:pPr/>
          </w:p>
        </w:tc>
        <w:tc>
          <w:tcPr>
            <w:tcW w:w="453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深圳市优博讯科技股份有限公司及其控股股东、董事及高</w:t>
            </w:r>
          </w:p>
        </w:tc>
        <w:tc>
          <w:tcPr>
            <w:tcW w:w="992"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530"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级管理人员关于稳定公司股价的预案 深圳市优博讯科技</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股份有限公司（以下简称“优博讯”或“公司</w:t>
            </w:r>
            <w:r>
              <w:rPr>
                <w:rFonts w:ascii="宋体" w:hAnsi="宋体" w:cs="宋体" w:eastAsia="宋体" w:hint="default"/>
                <w:spacing w:val="-90"/>
                <w:sz w:val="18"/>
                <w:szCs w:val="18"/>
              </w:rPr>
              <w:t>”</w:t>
            </w:r>
            <w:r>
              <w:rPr>
                <w:rFonts w:ascii="宋体" w:hAnsi="宋体" w:cs="宋体" w:eastAsia="宋体" w:hint="default"/>
                <w:sz w:val="18"/>
                <w:szCs w:val="18"/>
              </w:rPr>
              <w:t>）拟申请</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5616"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9" w:lineRule="auto"/>
              <w:ind w:left="22" w:right="23"/>
              <w:jc w:val="left"/>
              <w:rPr>
                <w:rFonts w:ascii="宋体" w:hAnsi="宋体" w:cs="宋体" w:eastAsia="宋体" w:hint="default"/>
                <w:sz w:val="18"/>
                <w:szCs w:val="18"/>
              </w:rPr>
            </w:pPr>
            <w:r>
              <w:rPr>
                <w:rFonts w:ascii="宋体" w:hAnsi="宋体" w:cs="宋体" w:eastAsia="宋体" w:hint="default"/>
                <w:sz w:val="18"/>
                <w:szCs w:val="18"/>
              </w:rPr>
              <w:t>IPO</w:t>
            </w:r>
            <w:r>
              <w:rPr>
                <w:rFonts w:ascii="宋体" w:hAnsi="宋体" w:cs="宋体" w:eastAsia="宋体" w:hint="default"/>
                <w:spacing w:val="-68"/>
                <w:sz w:val="18"/>
                <w:szCs w:val="18"/>
              </w:rPr>
              <w:t> </w:t>
            </w:r>
            <w:r>
              <w:rPr>
                <w:rFonts w:ascii="宋体" w:hAnsi="宋体" w:cs="宋体" w:eastAsia="宋体" w:hint="default"/>
                <w:sz w:val="18"/>
                <w:szCs w:val="18"/>
              </w:rPr>
              <w:t>稳定 股价承 诺</w:t>
            </w:r>
          </w:p>
        </w:tc>
        <w:tc>
          <w:tcPr>
            <w:tcW w:w="1134" w:type="dxa"/>
            <w:tcBorders>
              <w:top w:val="nil" w:sz="6" w:space="0" w:color="auto"/>
              <w:left w:val="single" w:sz="4" w:space="0" w:color="000000"/>
              <w:bottom w:val="nil" w:sz="6" w:space="0" w:color="auto"/>
              <w:right w:val="single" w:sz="4" w:space="0" w:color="000000"/>
            </w:tcBorders>
          </w:tcPr>
          <w:p>
            <w:pPr>
              <w:pStyle w:val="TableParagraph"/>
              <w:spacing w:line="240" w:lineRule="auto" w:before="147"/>
              <w:ind w:left="22" w:right="0"/>
              <w:jc w:val="left"/>
              <w:rPr>
                <w:rFonts w:ascii="宋体" w:hAnsi="宋体" w:cs="宋体" w:eastAsia="宋体" w:hint="default"/>
                <w:sz w:val="18"/>
                <w:szCs w:val="18"/>
              </w:rPr>
            </w:pPr>
            <w:r>
              <w:rPr>
                <w:rFonts w:ascii="宋体"/>
                <w:sz w:val="18"/>
              </w:rPr>
              <w:t>GUO</w:t>
            </w:r>
            <w:r>
              <w:rPr>
                <w:rFonts w:ascii="宋体"/>
                <w:spacing w:val="-3"/>
                <w:sz w:val="18"/>
              </w:rPr>
              <w:t> </w:t>
            </w:r>
            <w:r>
              <w:rPr>
                <w:rFonts w:ascii="宋体"/>
                <w:sz w:val="18"/>
              </w:rPr>
              <w:t>SONG;LIU</w:t>
            </w:r>
          </w:p>
          <w:p>
            <w:pPr>
              <w:pStyle w:val="TableParagraph"/>
              <w:spacing w:line="316" w:lineRule="auto" w:before="76"/>
              <w:ind w:left="22" w:right="109"/>
              <w:jc w:val="left"/>
              <w:rPr>
                <w:rFonts w:ascii="宋体" w:hAnsi="宋体" w:cs="宋体" w:eastAsia="宋体" w:hint="default"/>
                <w:sz w:val="18"/>
                <w:szCs w:val="18"/>
              </w:rPr>
            </w:pPr>
            <w:r>
              <w:rPr>
                <w:rFonts w:ascii="宋体" w:hAnsi="宋体" w:cs="宋体" w:eastAsia="宋体" w:hint="default"/>
                <w:sz w:val="18"/>
                <w:szCs w:val="18"/>
              </w:rPr>
              <w:t>DAN;</w:t>
            </w:r>
            <w:r>
              <w:rPr>
                <w:rFonts w:ascii="宋体" w:hAnsi="宋体" w:cs="宋体" w:eastAsia="宋体" w:hint="default"/>
                <w:sz w:val="18"/>
                <w:szCs w:val="18"/>
              </w:rPr>
              <w:t>陈雪飞</w:t>
            </w:r>
            <w:r>
              <w:rPr>
                <w:rFonts w:ascii="宋体" w:hAnsi="宋体" w:cs="宋体" w:eastAsia="宋体" w:hint="default"/>
                <w:sz w:val="18"/>
                <w:szCs w:val="18"/>
              </w:rPr>
              <w:t>; </w:t>
            </w:r>
            <w:r>
              <w:rPr>
                <w:rFonts w:ascii="宋体" w:hAnsi="宋体" w:cs="宋体" w:eastAsia="宋体" w:hint="default"/>
                <w:sz w:val="18"/>
                <w:szCs w:val="18"/>
              </w:rPr>
              <w:t>达瓦</w:t>
            </w:r>
            <w:r>
              <w:rPr>
                <w:rFonts w:ascii="宋体" w:hAnsi="宋体" w:cs="宋体" w:eastAsia="宋体" w:hint="default"/>
                <w:sz w:val="18"/>
                <w:szCs w:val="18"/>
              </w:rPr>
              <w:t>;</w:t>
            </w:r>
            <w:r>
              <w:rPr>
                <w:rFonts w:ascii="宋体" w:hAnsi="宋体" w:cs="宋体" w:eastAsia="宋体" w:hint="default"/>
                <w:sz w:val="18"/>
                <w:szCs w:val="18"/>
              </w:rPr>
              <w:t>高海 军</w:t>
            </w:r>
            <w:r>
              <w:rPr>
                <w:rFonts w:ascii="宋体" w:hAnsi="宋体" w:cs="宋体" w:eastAsia="宋体" w:hint="default"/>
                <w:sz w:val="18"/>
                <w:szCs w:val="18"/>
              </w:rPr>
              <w:t>;</w:t>
            </w:r>
            <w:r>
              <w:rPr>
                <w:rFonts w:ascii="宋体" w:hAnsi="宋体" w:cs="宋体" w:eastAsia="宋体" w:hint="default"/>
                <w:sz w:val="18"/>
                <w:szCs w:val="18"/>
              </w:rPr>
              <w:t>高明玉</w:t>
            </w:r>
            <w:r>
              <w:rPr>
                <w:rFonts w:ascii="宋体" w:hAnsi="宋体" w:cs="宋体" w:eastAsia="宋体" w:hint="default"/>
                <w:sz w:val="18"/>
                <w:szCs w:val="18"/>
              </w:rPr>
              <w:t>;</w:t>
            </w:r>
          </w:p>
          <w:p>
            <w:pPr>
              <w:pStyle w:val="TableParagraph"/>
              <w:spacing w:line="319" w:lineRule="auto" w:before="19"/>
              <w:ind w:left="22" w:right="109"/>
              <w:jc w:val="left"/>
              <w:rPr>
                <w:rFonts w:ascii="宋体" w:hAnsi="宋体" w:cs="宋体" w:eastAsia="宋体" w:hint="default"/>
                <w:sz w:val="18"/>
                <w:szCs w:val="18"/>
              </w:rPr>
            </w:pPr>
            <w:r>
              <w:rPr>
                <w:rFonts w:ascii="宋体" w:hAnsi="宋体" w:cs="宋体" w:eastAsia="宋体" w:hint="default"/>
                <w:sz w:val="18"/>
                <w:szCs w:val="18"/>
              </w:rPr>
              <w:t>郭雳</w:t>
            </w:r>
            <w:r>
              <w:rPr>
                <w:rFonts w:ascii="宋体" w:hAnsi="宋体" w:cs="宋体" w:eastAsia="宋体" w:hint="default"/>
                <w:sz w:val="18"/>
                <w:szCs w:val="18"/>
              </w:rPr>
              <w:t>;</w:t>
            </w:r>
            <w:r>
              <w:rPr>
                <w:rFonts w:ascii="宋体" w:hAnsi="宋体" w:cs="宋体" w:eastAsia="宋体" w:hint="default"/>
                <w:sz w:val="18"/>
                <w:szCs w:val="18"/>
              </w:rPr>
              <w:t>李挥</w:t>
            </w:r>
            <w:r>
              <w:rPr>
                <w:rFonts w:ascii="宋体" w:hAnsi="宋体" w:cs="宋体" w:eastAsia="宋体" w:hint="default"/>
                <w:sz w:val="18"/>
                <w:szCs w:val="18"/>
              </w:rPr>
              <w:t>; </w:t>
            </w:r>
            <w:r>
              <w:rPr>
                <w:rFonts w:ascii="宋体" w:hAnsi="宋体" w:cs="宋体" w:eastAsia="宋体" w:hint="default"/>
                <w:sz w:val="18"/>
                <w:szCs w:val="18"/>
              </w:rPr>
              <w:t>刘镇</w:t>
            </w:r>
            <w:r>
              <w:rPr>
                <w:rFonts w:ascii="宋体" w:hAnsi="宋体" w:cs="宋体" w:eastAsia="宋体" w:hint="default"/>
                <w:sz w:val="18"/>
                <w:szCs w:val="18"/>
              </w:rPr>
              <w:t>;</w:t>
            </w:r>
            <w:r>
              <w:rPr>
                <w:rFonts w:ascii="宋体" w:hAnsi="宋体" w:cs="宋体" w:eastAsia="宋体" w:hint="default"/>
                <w:sz w:val="18"/>
                <w:szCs w:val="18"/>
              </w:rPr>
              <w:t>屈先 富</w:t>
            </w:r>
            <w:r>
              <w:rPr>
                <w:rFonts w:ascii="宋体" w:hAnsi="宋体" w:cs="宋体" w:eastAsia="宋体" w:hint="default"/>
                <w:sz w:val="18"/>
                <w:szCs w:val="18"/>
              </w:rPr>
              <w:t>;</w:t>
            </w:r>
            <w:r>
              <w:rPr>
                <w:rFonts w:ascii="宋体" w:hAnsi="宋体" w:cs="宋体" w:eastAsia="宋体" w:hint="default"/>
                <w:sz w:val="18"/>
                <w:szCs w:val="18"/>
              </w:rPr>
              <w:t>申成文</w:t>
            </w:r>
            <w:r>
              <w:rPr>
                <w:rFonts w:ascii="宋体" w:hAnsi="宋体" w:cs="宋体" w:eastAsia="宋体" w:hint="default"/>
                <w:sz w:val="18"/>
                <w:szCs w:val="18"/>
              </w:rPr>
              <w:t>; </w:t>
            </w:r>
            <w:r>
              <w:rPr>
                <w:rFonts w:ascii="宋体" w:hAnsi="宋体" w:cs="宋体" w:eastAsia="宋体" w:hint="default"/>
                <w:sz w:val="18"/>
                <w:szCs w:val="18"/>
              </w:rPr>
              <w:t>深圳市优博 讯科技股份 有限公司</w:t>
            </w:r>
            <w:r>
              <w:rPr>
                <w:rFonts w:ascii="宋体" w:hAnsi="宋体" w:cs="宋体" w:eastAsia="宋体" w:hint="default"/>
                <w:sz w:val="18"/>
                <w:szCs w:val="18"/>
              </w:rPr>
              <w:t>;</w:t>
            </w:r>
            <w:r>
              <w:rPr>
                <w:rFonts w:ascii="宋体" w:hAnsi="宋体" w:cs="宋体" w:eastAsia="宋体" w:hint="default"/>
                <w:sz w:val="18"/>
                <w:szCs w:val="18"/>
              </w:rPr>
              <w:t>仝 文定</w:t>
            </w:r>
            <w:r>
              <w:rPr>
                <w:rFonts w:ascii="宋体" w:hAnsi="宋体" w:cs="宋体" w:eastAsia="宋体" w:hint="default"/>
                <w:sz w:val="18"/>
                <w:szCs w:val="18"/>
              </w:rPr>
              <w:t>;</w:t>
            </w:r>
            <w:r>
              <w:rPr>
                <w:rFonts w:ascii="宋体" w:hAnsi="宋体" w:cs="宋体" w:eastAsia="宋体" w:hint="default"/>
                <w:sz w:val="18"/>
                <w:szCs w:val="18"/>
              </w:rPr>
              <w:t>王滨</w:t>
            </w:r>
            <w:r>
              <w:rPr>
                <w:rFonts w:ascii="宋体" w:hAnsi="宋体" w:cs="宋体" w:eastAsia="宋体" w:hint="default"/>
                <w:sz w:val="18"/>
                <w:szCs w:val="18"/>
              </w:rPr>
              <w:t>; </w:t>
            </w:r>
            <w:r>
              <w:rPr>
                <w:rFonts w:ascii="宋体" w:hAnsi="宋体" w:cs="宋体" w:eastAsia="宋体" w:hint="default"/>
                <w:sz w:val="18"/>
                <w:szCs w:val="18"/>
              </w:rPr>
              <w:t>王仁东</w:t>
            </w:r>
            <w:r>
              <w:rPr>
                <w:rFonts w:ascii="宋体" w:hAnsi="宋体" w:cs="宋体" w:eastAsia="宋体" w:hint="default"/>
                <w:sz w:val="18"/>
                <w:szCs w:val="18"/>
              </w:rPr>
              <w:t>;</w:t>
            </w:r>
            <w:r>
              <w:rPr>
                <w:rFonts w:ascii="宋体" w:hAnsi="宋体" w:cs="宋体" w:eastAsia="宋体" w:hint="default"/>
                <w:sz w:val="18"/>
                <w:szCs w:val="18"/>
              </w:rPr>
              <w:t>香港 优博讯科技 控股集团有 限公司</w:t>
            </w:r>
            <w:r>
              <w:rPr>
                <w:rFonts w:ascii="宋体" w:hAnsi="宋体" w:cs="宋体" w:eastAsia="宋体" w:hint="default"/>
                <w:sz w:val="18"/>
                <w:szCs w:val="18"/>
              </w:rPr>
              <w:t>;</w:t>
            </w:r>
            <w:r>
              <w:rPr>
                <w:rFonts w:ascii="宋体" w:hAnsi="宋体" w:cs="宋体" w:eastAsia="宋体" w:hint="default"/>
                <w:sz w:val="18"/>
                <w:szCs w:val="18"/>
              </w:rPr>
              <w:t>徐先 达</w:t>
            </w:r>
            <w:r>
              <w:rPr>
                <w:rFonts w:ascii="宋体" w:hAnsi="宋体" w:cs="宋体" w:eastAsia="宋体" w:hint="default"/>
                <w:sz w:val="18"/>
                <w:szCs w:val="18"/>
              </w:rPr>
              <w:t>;</w:t>
            </w:r>
            <w:r>
              <w:rPr>
                <w:rFonts w:ascii="宋体" w:hAnsi="宋体" w:cs="宋体" w:eastAsia="宋体" w:hint="default"/>
                <w:sz w:val="18"/>
                <w:szCs w:val="18"/>
              </w:rPr>
              <w:t>杨彦彰</w:t>
            </w:r>
            <w:r>
              <w:rPr>
                <w:rFonts w:ascii="宋体" w:hAnsi="宋体" w:cs="宋体" w:eastAsia="宋体" w:hint="default"/>
                <w:sz w:val="18"/>
                <w:szCs w:val="18"/>
              </w:rPr>
              <w:t>; </w:t>
            </w:r>
            <w:r>
              <w:rPr>
                <w:rFonts w:ascii="宋体" w:hAnsi="宋体" w:cs="宋体" w:eastAsia="宋体" w:hint="default"/>
                <w:sz w:val="18"/>
                <w:szCs w:val="18"/>
              </w:rPr>
              <w:t>邹雪城</w:t>
            </w: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首次公开发行人民币普通股（</w:t>
            </w:r>
            <w:r>
              <w:rPr>
                <w:rFonts w:ascii="宋体" w:hAnsi="宋体" w:cs="宋体" w:eastAsia="宋体" w:hint="default"/>
                <w:sz w:val="18"/>
                <w:szCs w:val="18"/>
              </w:rPr>
              <w:t>A</w:t>
            </w:r>
            <w:r>
              <w:rPr>
                <w:rFonts w:ascii="宋体" w:hAnsi="宋体" w:cs="宋体" w:eastAsia="宋体" w:hint="default"/>
                <w:spacing w:val="-46"/>
                <w:sz w:val="18"/>
                <w:szCs w:val="18"/>
              </w:rPr>
              <w:t> </w:t>
            </w:r>
            <w:r>
              <w:rPr>
                <w:rFonts w:ascii="宋体" w:hAnsi="宋体" w:cs="宋体" w:eastAsia="宋体" w:hint="default"/>
                <w:sz w:val="18"/>
                <w:szCs w:val="18"/>
              </w:rPr>
              <w:t>股）股票并在创业板上市</w:t>
            </w:r>
          </w:p>
          <w:p>
            <w:pPr>
              <w:pStyle w:val="TableParagraph"/>
              <w:spacing w:line="316" w:lineRule="auto" w:before="76"/>
              <w:ind w:left="22" w:right="-33"/>
              <w:jc w:val="left"/>
              <w:rPr>
                <w:rFonts w:ascii="宋体" w:hAnsi="宋体" w:cs="宋体" w:eastAsia="宋体" w:hint="default"/>
                <w:sz w:val="18"/>
                <w:szCs w:val="18"/>
              </w:rPr>
            </w:pPr>
            <w:r>
              <w:rPr>
                <w:rFonts w:ascii="宋体" w:hAnsi="宋体" w:cs="宋体" w:eastAsia="宋体" w:hint="default"/>
                <w:spacing w:val="-16"/>
                <w:sz w:val="18"/>
                <w:szCs w:val="18"/>
              </w:rPr>
              <w:t>（下称“首次公开发行上市”），</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公司及其控股股东、董事及高级管理人员承诺，如果首次</w:t>
            </w:r>
            <w:r>
              <w:rPr>
                <w:rFonts w:ascii="宋体" w:hAnsi="宋体" w:cs="宋体" w:eastAsia="宋体" w:hint="default"/>
                <w:sz w:val="18"/>
                <w:szCs w:val="18"/>
              </w:rPr>
              <w:t> 公开发行上市后三年内公司股价出现低于每股净资产的 情况时，将启动稳定股价的预案，具体如下： </w:t>
            </w:r>
            <w:r>
              <w:rPr>
                <w:rFonts w:ascii="宋体" w:hAnsi="宋体" w:cs="宋体" w:eastAsia="宋体" w:hint="default"/>
                <w:sz w:val="18"/>
                <w:szCs w:val="18"/>
              </w:rPr>
              <w:t>1.</w:t>
            </w:r>
            <w:r>
              <w:rPr>
                <w:rFonts w:ascii="宋体" w:hAnsi="宋体" w:cs="宋体" w:eastAsia="宋体" w:hint="default"/>
                <w:spacing w:val="-19"/>
                <w:sz w:val="18"/>
                <w:szCs w:val="18"/>
              </w:rPr>
              <w:t> </w:t>
            </w:r>
            <w:r>
              <w:rPr>
                <w:rFonts w:ascii="宋体" w:hAnsi="宋体" w:cs="宋体" w:eastAsia="宋体" w:hint="default"/>
                <w:sz w:val="18"/>
                <w:szCs w:val="18"/>
              </w:rPr>
              <w:t>启动股 价稳定措施的具体条件</w:t>
            </w:r>
            <w:r>
              <w:rPr>
                <w:rFonts w:ascii="宋体" w:hAnsi="宋体" w:cs="宋体" w:eastAsia="宋体" w:hint="default"/>
                <w:spacing w:val="-15"/>
                <w:sz w:val="18"/>
                <w:szCs w:val="18"/>
              </w:rPr>
              <w:t> </w:t>
            </w: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）预警条件：当公司股票连续 </w:t>
            </w: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个交易日的收盘价低于每股净资产的</w:t>
            </w:r>
            <w:r>
              <w:rPr>
                <w:rFonts w:ascii="宋体" w:hAnsi="宋体" w:cs="宋体" w:eastAsia="宋体" w:hint="default"/>
                <w:spacing w:val="-46"/>
                <w:sz w:val="18"/>
                <w:szCs w:val="18"/>
              </w:rPr>
              <w:t> </w:t>
            </w:r>
            <w:r>
              <w:rPr>
                <w:rFonts w:ascii="宋体" w:hAnsi="宋体" w:cs="宋体" w:eastAsia="宋体" w:hint="default"/>
                <w:sz w:val="18"/>
                <w:szCs w:val="18"/>
              </w:rPr>
              <w:t>120%</w:t>
            </w:r>
            <w:r>
              <w:rPr>
                <w:rFonts w:ascii="宋体" w:hAnsi="宋体" w:cs="宋体" w:eastAsia="宋体" w:hint="default"/>
                <w:sz w:val="18"/>
                <w:szCs w:val="18"/>
              </w:rPr>
              <w:t>时，在</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6"/>
                <w:sz w:val="18"/>
                <w:szCs w:val="18"/>
              </w:rPr>
              <w:t> </w:t>
            </w:r>
            <w:r>
              <w:rPr>
                <w:rFonts w:ascii="宋体" w:hAnsi="宋体" w:cs="宋体" w:eastAsia="宋体" w:hint="default"/>
                <w:sz w:val="18"/>
                <w:szCs w:val="18"/>
              </w:rPr>
              <w:t>个 工作日内召开投资者见面会，与投资者就上市公司经营状 </w:t>
            </w:r>
            <w:r>
              <w:rPr>
                <w:rFonts w:ascii="宋体" w:hAnsi="宋体" w:cs="宋体" w:eastAsia="宋体" w:hint="default"/>
                <w:spacing w:val="-3"/>
                <w:sz w:val="18"/>
                <w:szCs w:val="18"/>
              </w:rPr>
              <w:t>况、财务指标、发展战略进行深入沟通；</w:t>
            </w:r>
            <w:r>
              <w:rPr>
                <w:rFonts w:ascii="宋体" w:hAnsi="宋体" w:cs="宋体" w:eastAsia="宋体" w:hint="default"/>
                <w:spacing w:val="-32"/>
                <w:sz w:val="18"/>
                <w:szCs w:val="18"/>
              </w:rPr>
              <w:t> </w:t>
            </w:r>
            <w:r>
              <w:rPr>
                <w:rFonts w:ascii="宋体" w:hAnsi="宋体" w:cs="宋体" w:eastAsia="宋体" w:hint="default"/>
                <w:spacing w:val="-8"/>
                <w:sz w:val="18"/>
                <w:szCs w:val="18"/>
              </w:rPr>
              <w:t>（</w:t>
            </w:r>
            <w:r>
              <w:rPr>
                <w:rFonts w:ascii="宋体" w:hAnsi="宋体" w:cs="宋体" w:eastAsia="宋体" w:hint="default"/>
                <w:spacing w:val="-8"/>
                <w:sz w:val="18"/>
                <w:szCs w:val="18"/>
              </w:rPr>
              <w:t>2</w:t>
            </w:r>
            <w:r>
              <w:rPr>
                <w:rFonts w:ascii="宋体" w:hAnsi="宋体" w:cs="宋体" w:eastAsia="宋体" w:hint="default"/>
                <w:spacing w:val="-8"/>
                <w:sz w:val="18"/>
                <w:szCs w:val="18"/>
              </w:rPr>
              <w:t>）启动条件：</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当公司股票连续</w:t>
            </w:r>
            <w:r>
              <w:rPr>
                <w:rFonts w:ascii="宋体" w:hAnsi="宋体" w:cs="宋体" w:eastAsia="宋体" w:hint="default"/>
                <w:spacing w:val="-73"/>
                <w:sz w:val="18"/>
                <w:szCs w:val="18"/>
              </w:rPr>
              <w:t> </w:t>
            </w:r>
            <w:r>
              <w:rPr>
                <w:rFonts w:ascii="宋体" w:hAnsi="宋体" w:cs="宋体" w:eastAsia="宋体" w:hint="default"/>
                <w:sz w:val="18"/>
                <w:szCs w:val="18"/>
              </w:rPr>
              <w:t>20</w:t>
            </w:r>
            <w:r>
              <w:rPr>
                <w:rFonts w:ascii="宋体" w:hAnsi="宋体" w:cs="宋体" w:eastAsia="宋体" w:hint="default"/>
                <w:spacing w:val="-73"/>
                <w:sz w:val="18"/>
                <w:szCs w:val="18"/>
              </w:rPr>
              <w:t> </w:t>
            </w:r>
            <w:r>
              <w:rPr>
                <w:rFonts w:ascii="宋体" w:hAnsi="宋体" w:cs="宋体" w:eastAsia="宋体" w:hint="default"/>
                <w:sz w:val="18"/>
                <w:szCs w:val="18"/>
              </w:rPr>
              <w:t>个交易日的收盘价低于每股净资产时，</w:t>
            </w:r>
          </w:p>
          <w:p>
            <w:pPr>
              <w:pStyle w:val="TableParagraph"/>
              <w:spacing w:line="316" w:lineRule="auto" w:before="19"/>
              <w:ind w:left="22" w:right="21"/>
              <w:jc w:val="left"/>
              <w:rPr>
                <w:rFonts w:ascii="宋体" w:hAnsi="宋体" w:cs="宋体" w:eastAsia="宋体" w:hint="default"/>
                <w:sz w:val="18"/>
                <w:szCs w:val="18"/>
              </w:rPr>
            </w:pPr>
            <w:r>
              <w:rPr>
                <w:rFonts w:ascii="宋体" w:hAnsi="宋体" w:cs="宋体" w:eastAsia="宋体" w:hint="default"/>
                <w:sz w:val="18"/>
                <w:szCs w:val="18"/>
              </w:rPr>
              <w:t>应当在</w:t>
            </w:r>
            <w:r>
              <w:rPr>
                <w:rFonts w:ascii="宋体" w:hAnsi="宋体" w:cs="宋体" w:eastAsia="宋体" w:hint="default"/>
                <w:spacing w:val="-46"/>
                <w:sz w:val="18"/>
                <w:szCs w:val="18"/>
              </w:rPr>
              <w:t> </w:t>
            </w:r>
            <w:r>
              <w:rPr>
                <w:rFonts w:ascii="宋体" w:hAnsi="宋体" w:cs="宋体" w:eastAsia="宋体" w:hint="default"/>
                <w:sz w:val="18"/>
                <w:szCs w:val="18"/>
              </w:rPr>
              <w:t>30</w:t>
            </w:r>
            <w:r>
              <w:rPr>
                <w:rFonts w:ascii="宋体" w:hAnsi="宋体" w:cs="宋体" w:eastAsia="宋体" w:hint="default"/>
                <w:spacing w:val="-46"/>
                <w:sz w:val="18"/>
                <w:szCs w:val="18"/>
              </w:rPr>
              <w:t> </w:t>
            </w:r>
            <w:r>
              <w:rPr>
                <w:rFonts w:ascii="宋体" w:hAnsi="宋体" w:cs="宋体" w:eastAsia="宋体" w:hint="default"/>
                <w:sz w:val="18"/>
                <w:szCs w:val="18"/>
              </w:rPr>
              <w:t>日内实施相关稳定股价的方案，并应提前公告 具体实施方案。 </w:t>
            </w:r>
            <w:r>
              <w:rPr>
                <w:rFonts w:ascii="宋体" w:hAnsi="宋体" w:cs="宋体" w:eastAsia="宋体" w:hint="default"/>
                <w:sz w:val="18"/>
                <w:szCs w:val="18"/>
              </w:rPr>
              <w:t>2. </w:t>
            </w:r>
            <w:r>
              <w:rPr>
                <w:rFonts w:ascii="宋体" w:hAnsi="宋体" w:cs="宋体" w:eastAsia="宋体" w:hint="default"/>
                <w:sz w:val="18"/>
                <w:szCs w:val="18"/>
              </w:rPr>
              <w:t>稳定股价的具体措施 当上述启动股 </w:t>
            </w:r>
            <w:r>
              <w:rPr>
                <w:rFonts w:ascii="宋体" w:hAnsi="宋体" w:cs="宋体" w:eastAsia="宋体" w:hint="default"/>
                <w:spacing w:val="-1"/>
                <w:sz w:val="18"/>
                <w:szCs w:val="18"/>
              </w:rPr>
              <w:t>价稳定措施的条件成就时，公司将及时采取以下部分或全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部措施稳定公司股价： （</w:t>
            </w:r>
            <w:r>
              <w:rPr>
                <w:rFonts w:ascii="宋体" w:hAnsi="宋体" w:cs="宋体" w:eastAsia="宋体" w:hint="default"/>
                <w:sz w:val="18"/>
                <w:szCs w:val="18"/>
              </w:rPr>
              <w:t>1</w:t>
            </w:r>
            <w:r>
              <w:rPr>
                <w:rFonts w:ascii="宋体" w:hAnsi="宋体" w:cs="宋体" w:eastAsia="宋体" w:hint="default"/>
                <w:sz w:val="18"/>
                <w:szCs w:val="18"/>
              </w:rPr>
              <w:t>）由公司回购股票</w:t>
            </w:r>
            <w:r>
              <w:rPr>
                <w:rFonts w:ascii="宋体" w:hAnsi="宋体" w:cs="宋体" w:eastAsia="宋体" w:hint="default"/>
                <w:spacing w:val="-20"/>
                <w:sz w:val="18"/>
                <w:szCs w:val="18"/>
              </w:rPr>
              <w:t> </w:t>
            </w:r>
            <w:r>
              <w:rPr>
                <w:rFonts w:ascii="宋体" w:hAnsi="宋体" w:cs="宋体" w:eastAsia="宋体" w:hint="default"/>
                <w:sz w:val="18"/>
                <w:szCs w:val="18"/>
              </w:rPr>
              <w:t>1</w:t>
            </w:r>
            <w:r>
              <w:rPr>
                <w:rFonts w:ascii="宋体" w:hAnsi="宋体" w:cs="宋体" w:eastAsia="宋体" w:hint="default"/>
                <w:sz w:val="18"/>
                <w:szCs w:val="18"/>
              </w:rPr>
              <w:t>）公司为 </w:t>
            </w:r>
            <w:r>
              <w:rPr>
                <w:rFonts w:ascii="宋体" w:hAnsi="宋体" w:cs="宋体" w:eastAsia="宋体" w:hint="default"/>
                <w:spacing w:val="-1"/>
                <w:sz w:val="18"/>
                <w:szCs w:val="18"/>
              </w:rPr>
              <w:t>稳定股价之目的回购股份，应符合《上市公司回购社会公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4"/>
                <w:sz w:val="18"/>
                <w:szCs w:val="18"/>
              </w:rPr>
              <w:t>众股份管理办法（试行）》及《关于上市公司以集中竞价</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3"/>
                <w:sz w:val="18"/>
                <w:szCs w:val="18"/>
              </w:rPr>
              <w:t>交易方式回购股份的补充规定》等相关法律、</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且不应导致公司股权分布不符合上市条件。</w:t>
            </w:r>
            <w:r>
              <w:rPr>
                <w:rFonts w:ascii="宋体" w:hAnsi="宋体" w:cs="宋体" w:eastAsia="宋体" w:hint="default"/>
                <w:spacing w:val="-22"/>
                <w:sz w:val="18"/>
                <w:szCs w:val="18"/>
              </w:rPr>
              <w:t> </w:t>
            </w:r>
            <w:r>
              <w:rPr>
                <w:rFonts w:ascii="宋体" w:hAnsi="宋体" w:cs="宋体" w:eastAsia="宋体" w:hint="default"/>
                <w:sz w:val="18"/>
                <w:szCs w:val="18"/>
              </w:rPr>
              <w:t>2</w:t>
            </w:r>
            <w:r>
              <w:rPr>
                <w:rFonts w:ascii="宋体" w:hAnsi="宋体" w:cs="宋体" w:eastAsia="宋体" w:hint="default"/>
                <w:sz w:val="18"/>
                <w:szCs w:val="18"/>
              </w:rPr>
              <w:t>）公司股东</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08</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53"/>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宋体" w:hAnsi="宋体" w:cs="宋体" w:eastAsia="宋体" w:hint="default"/>
                <w:sz w:val="18"/>
                <w:szCs w:val="18"/>
              </w:rPr>
              <w:t>08</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08</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53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22" w:right="137"/>
              <w:jc w:val="both"/>
              <w:rPr>
                <w:rFonts w:ascii="宋体" w:hAnsi="宋体" w:cs="宋体" w:eastAsia="宋体" w:hint="default"/>
                <w:sz w:val="18"/>
                <w:szCs w:val="18"/>
              </w:rPr>
            </w:pPr>
            <w:r>
              <w:rPr>
                <w:rFonts w:ascii="宋体" w:hAnsi="宋体" w:cs="宋体" w:eastAsia="宋体" w:hint="default"/>
                <w:sz w:val="18"/>
                <w:szCs w:val="18"/>
              </w:rPr>
              <w:t>承诺 人严 格遵 守了 该项 承诺</w:t>
            </w: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大会对回购股份做出决议，须经出席会议的股东所持表决</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816" w:type="dxa"/>
            <w:vMerge/>
            <w:tcBorders>
              <w:left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nil" w:sz="6" w:space="0" w:color="auto"/>
              <w:right w:val="single" w:sz="4" w:space="0" w:color="000000"/>
            </w:tcBorders>
          </w:tcPr>
          <w:p>
            <w:pPr/>
          </w:p>
        </w:tc>
        <w:tc>
          <w:tcPr>
            <w:tcW w:w="1134" w:type="dxa"/>
            <w:tcBorders>
              <w:top w:val="nil" w:sz="6" w:space="0" w:color="auto"/>
              <w:left w:val="single" w:sz="4" w:space="0" w:color="000000"/>
              <w:bottom w:val="nil" w:sz="6" w:space="0" w:color="auto"/>
              <w:right w:val="single" w:sz="4" w:space="0" w:color="000000"/>
            </w:tcBorders>
          </w:tcPr>
          <w:p>
            <w:pPr/>
          </w:p>
        </w:tc>
        <w:tc>
          <w:tcPr>
            <w:tcW w:w="453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权的三分之二以上通过。</w:t>
            </w:r>
            <w:r>
              <w:rPr>
                <w:rFonts w:ascii="宋体" w:hAnsi="宋体" w:cs="宋体" w:eastAsia="宋体" w:hint="default"/>
                <w:spacing w:val="-20"/>
                <w:sz w:val="18"/>
                <w:szCs w:val="18"/>
              </w:rPr>
              <w:t> </w:t>
            </w:r>
            <w:r>
              <w:rPr>
                <w:rFonts w:ascii="宋体" w:hAnsi="宋体" w:cs="宋体" w:eastAsia="宋体" w:hint="default"/>
                <w:sz w:val="18"/>
                <w:szCs w:val="18"/>
              </w:rPr>
              <w:t>3</w:t>
            </w:r>
            <w:r>
              <w:rPr>
                <w:rFonts w:ascii="宋体" w:hAnsi="宋体" w:cs="宋体" w:eastAsia="宋体" w:hint="default"/>
                <w:sz w:val="18"/>
                <w:szCs w:val="18"/>
              </w:rPr>
              <w:t>）公司为稳定股价之目的进行</w:t>
            </w:r>
          </w:p>
        </w:tc>
        <w:tc>
          <w:tcPr>
            <w:tcW w:w="992"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530" w:type="dxa"/>
            <w:tcBorders>
              <w:top w:val="nil" w:sz="6" w:space="0" w:color="auto"/>
              <w:left w:val="single" w:sz="4" w:space="0" w:color="000000"/>
              <w:bottom w:val="nil" w:sz="6" w:space="0" w:color="auto"/>
              <w:right w:val="single" w:sz="4" w:space="0" w:color="000000"/>
            </w:tcBorders>
          </w:tcPr>
          <w:p>
            <w:pPr/>
          </w:p>
        </w:tc>
      </w:tr>
      <w:tr>
        <w:trPr>
          <w:trHeight w:val="318" w:hRule="exact"/>
        </w:trPr>
        <w:tc>
          <w:tcPr>
            <w:tcW w:w="816" w:type="dxa"/>
            <w:vMerge/>
            <w:tcBorders>
              <w:left w:val="single" w:sz="4" w:space="0" w:color="000000"/>
              <w:bottom w:val="single" w:sz="4" w:space="0" w:color="000000"/>
              <w:right w:val="single" w:sz="4" w:space="0" w:color="000000"/>
            </w:tcBorders>
            <w:shd w:val="clear" w:color="auto" w:fill="D2D2D2"/>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1134" w:type="dxa"/>
            <w:tcBorders>
              <w:top w:val="nil" w:sz="6" w:space="0" w:color="auto"/>
              <w:left w:val="single" w:sz="4" w:space="0" w:color="000000"/>
              <w:bottom w:val="single" w:sz="4" w:space="0" w:color="000000"/>
              <w:right w:val="single" w:sz="4" w:space="0" w:color="000000"/>
            </w:tcBorders>
          </w:tcPr>
          <w:p>
            <w:pPr/>
          </w:p>
        </w:tc>
        <w:tc>
          <w:tcPr>
            <w:tcW w:w="453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z w:val="18"/>
                <w:szCs w:val="18"/>
              </w:rPr>
              <w:t>股份回购的，除应符合相关法律法规之要求之外，还应符</w:t>
            </w:r>
          </w:p>
        </w:tc>
        <w:tc>
          <w:tcPr>
            <w:tcW w:w="992"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530"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412.320007pt;margin-top:72.47998pt;width:55.35pt;height:360.9pt;mso-position-horizontal-relative:page;mso-position-vertical-relative:page;z-index:-1012792"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pStyle w:val="BodyText"/>
                    <w:spacing w:line="240" w:lineRule="auto" w:before="122"/>
                    <w:ind w:left="0" w:right="0"/>
                    <w:jc w:val="left"/>
                  </w:pPr>
                  <w:r>
                    <w:rPr/>
                    <w:t>）</w:t>
                  </w: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2"/>
                    <w:rPr>
                      <w:rFonts w:ascii="Times New Roman" w:hAnsi="Times New Roman" w:cs="Times New Roman" w:eastAsia="Times New Roman" w:hint="default"/>
                      <w:sz w:val="25"/>
                      <w:szCs w:val="25"/>
                    </w:rPr>
                  </w:pPr>
                </w:p>
                <w:p>
                  <w:pPr>
                    <w:pStyle w:val="BodyText"/>
                    <w:spacing w:line="240" w:lineRule="auto"/>
                    <w:ind w:left="0" w:right="0"/>
                    <w:jc w:val="left"/>
                  </w:pPr>
                  <w:r>
                    <w:rPr/>
                    <w:t>）</w:t>
                  </w:r>
                </w:p>
              </w:txbxContent>
            </v:textbox>
            <w10:wrap type="none"/>
          </v:shape>
        </w:pict>
      </w:r>
    </w:p>
    <w:p>
      <w:pPr>
        <w:spacing w:line="240" w:lineRule="auto" w:before="10"/>
        <w:rPr>
          <w:rFonts w:ascii="Times New Roman" w:hAnsi="Times New Roman" w:cs="Times New Roman" w:eastAsia="Times New Roman" w:hint="default"/>
          <w:sz w:val="12"/>
          <w:szCs w:val="12"/>
        </w:rPr>
      </w:pPr>
    </w:p>
    <w:tbl>
      <w:tblPr>
        <w:tblW w:w="0" w:type="auto"/>
        <w:jc w:val="left"/>
        <w:tblInd w:w="183" w:type="dxa"/>
        <w:tblLayout w:type="fixed"/>
        <w:tblCellMar>
          <w:top w:w="0" w:type="dxa"/>
          <w:left w:w="0" w:type="dxa"/>
          <w:bottom w:w="0" w:type="dxa"/>
          <w:right w:w="0" w:type="dxa"/>
        </w:tblCellMar>
        <w:tblLook w:val="01E0"/>
      </w:tblPr>
      <w:tblGrid>
        <w:gridCol w:w="816"/>
        <w:gridCol w:w="709"/>
        <w:gridCol w:w="1134"/>
        <w:gridCol w:w="4537"/>
        <w:gridCol w:w="992"/>
        <w:gridCol w:w="850"/>
        <w:gridCol w:w="533"/>
      </w:tblGrid>
      <w:tr>
        <w:trPr>
          <w:trHeight w:val="7227" w:hRule="exact"/>
        </w:trPr>
        <w:tc>
          <w:tcPr>
            <w:tcW w:w="816" w:type="dxa"/>
            <w:vMerge w:val="restart"/>
            <w:tcBorders>
              <w:top w:val="single" w:sz="4" w:space="0" w:color="000000"/>
              <w:left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2" w:right="21"/>
              <w:jc w:val="left"/>
              <w:rPr>
                <w:rFonts w:ascii="宋体" w:hAnsi="宋体" w:cs="宋体" w:eastAsia="宋体" w:hint="default"/>
                <w:sz w:val="18"/>
                <w:szCs w:val="18"/>
              </w:rPr>
            </w:pPr>
            <w:r>
              <w:rPr>
                <w:rFonts w:ascii="宋体" w:hAnsi="宋体" w:cs="宋体" w:eastAsia="宋体" w:hint="default"/>
                <w:sz w:val="18"/>
                <w:szCs w:val="18"/>
              </w:rPr>
              <w:t>合下列各项： ①公司用于回购股份的资金总额累计不超 过公司首次公开发行新股所募集资金的总额； ②公司单 次用于回购股份的资金不得低于人民币</w:t>
            </w:r>
            <w:r>
              <w:rPr>
                <w:rFonts w:ascii="宋体" w:hAnsi="宋体" w:cs="宋体" w:eastAsia="宋体" w:hint="default"/>
                <w:spacing w:val="-46"/>
                <w:sz w:val="18"/>
                <w:szCs w:val="18"/>
              </w:rPr>
              <w:t> </w:t>
            </w:r>
            <w:r>
              <w:rPr>
                <w:rFonts w:ascii="宋体" w:hAnsi="宋体" w:cs="宋体" w:eastAsia="宋体" w:hint="default"/>
                <w:sz w:val="18"/>
                <w:szCs w:val="18"/>
              </w:rPr>
              <w:t>1000</w:t>
            </w:r>
            <w:r>
              <w:rPr>
                <w:rFonts w:ascii="宋体" w:hAnsi="宋体" w:cs="宋体" w:eastAsia="宋体" w:hint="default"/>
                <w:spacing w:val="-46"/>
                <w:sz w:val="18"/>
                <w:szCs w:val="18"/>
              </w:rPr>
              <w:t> </w:t>
            </w:r>
            <w:r>
              <w:rPr>
                <w:rFonts w:ascii="宋体" w:hAnsi="宋体" w:cs="宋体" w:eastAsia="宋体" w:hint="default"/>
                <w:sz w:val="18"/>
                <w:szCs w:val="18"/>
              </w:rPr>
              <w:t>万元； </w:t>
            </w:r>
            <w:r>
              <w:rPr>
                <w:rFonts w:ascii="宋体" w:hAnsi="宋体" w:cs="宋体" w:eastAsia="宋体" w:hint="default"/>
                <w:sz w:val="18"/>
                <w:szCs w:val="18"/>
              </w:rPr>
              <w:t>4</w:t>
            </w:r>
            <w:r>
              <w:rPr>
                <w:rFonts w:ascii="宋体" w:hAnsi="宋体" w:cs="宋体" w:eastAsia="宋体" w:hint="default"/>
                <w:sz w:val="18"/>
                <w:szCs w:val="18"/>
              </w:rPr>
              <w:t>） 公司董事会公告回购股份预案后，公司股票若连续</w:t>
            </w:r>
            <w:r>
              <w:rPr>
                <w:rFonts w:ascii="宋体" w:hAnsi="宋体" w:cs="宋体" w:eastAsia="宋体" w:hint="default"/>
                <w:spacing w:val="-55"/>
                <w:sz w:val="18"/>
                <w:szCs w:val="18"/>
              </w:rPr>
              <w:t> </w:t>
            </w:r>
            <w:r>
              <w:rPr>
                <w:rFonts w:ascii="宋体" w:hAnsi="宋体" w:cs="宋体" w:eastAsia="宋体" w:hint="default"/>
                <w:sz w:val="18"/>
                <w:szCs w:val="18"/>
              </w:rPr>
              <w:t>5</w:t>
            </w:r>
            <w:r>
              <w:rPr>
                <w:rFonts w:ascii="宋体" w:hAnsi="宋体" w:cs="宋体" w:eastAsia="宋体" w:hint="default"/>
                <w:spacing w:val="-55"/>
                <w:sz w:val="18"/>
                <w:szCs w:val="18"/>
              </w:rPr>
              <w:t> </w:t>
            </w:r>
            <w:r>
              <w:rPr>
                <w:rFonts w:ascii="宋体" w:hAnsi="宋体" w:cs="宋体" w:eastAsia="宋体" w:hint="default"/>
                <w:sz w:val="18"/>
                <w:szCs w:val="18"/>
              </w:rPr>
              <w:t>个交</w:t>
            </w:r>
            <w:r>
              <w:rPr>
                <w:rFonts w:ascii="宋体" w:hAnsi="宋体" w:cs="宋体" w:eastAsia="宋体" w:hint="default"/>
                <w:spacing w:val="1"/>
                <w:sz w:val="18"/>
                <w:szCs w:val="18"/>
              </w:rPr>
              <w:t> </w:t>
            </w:r>
            <w:r>
              <w:rPr>
                <w:rFonts w:ascii="宋体" w:hAnsi="宋体" w:cs="宋体" w:eastAsia="宋体" w:hint="default"/>
                <w:spacing w:val="-1"/>
                <w:sz w:val="18"/>
                <w:szCs w:val="18"/>
              </w:rPr>
              <w:t>易日收盘价超过每股净资产时，公司董事会可以做出决议</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终止回购股份事宜。 </w:t>
            </w:r>
            <w:r>
              <w:rPr>
                <w:rFonts w:ascii="宋体" w:hAnsi="宋体" w:cs="宋体" w:eastAsia="宋体" w:hint="default"/>
                <w:spacing w:val="-4"/>
                <w:sz w:val="18"/>
                <w:szCs w:val="18"/>
              </w:rPr>
              <w:t>（</w:t>
            </w:r>
            <w:r>
              <w:rPr>
                <w:rFonts w:ascii="宋体" w:hAnsi="宋体" w:cs="宋体" w:eastAsia="宋体" w:hint="default"/>
                <w:spacing w:val="-4"/>
                <w:sz w:val="18"/>
                <w:szCs w:val="18"/>
              </w:rPr>
              <w:t>2</w:t>
            </w:r>
            <w:r>
              <w:rPr>
                <w:rFonts w:ascii="宋体" w:hAnsi="宋体" w:cs="宋体" w:eastAsia="宋体" w:hint="default"/>
                <w:spacing w:val="-4"/>
                <w:sz w:val="18"/>
                <w:szCs w:val="18"/>
              </w:rPr>
              <w:t>）控股股东、实际控制人增持</w:t>
            </w:r>
            <w:r>
              <w:rPr>
                <w:rFonts w:ascii="宋体" w:hAnsi="宋体" w:cs="宋体" w:eastAsia="宋体" w:hint="default"/>
                <w:spacing w:val="-53"/>
                <w:sz w:val="18"/>
                <w:szCs w:val="18"/>
              </w:rPr>
              <w:t> </w:t>
            </w:r>
            <w:r>
              <w:rPr>
                <w:rFonts w:ascii="宋体" w:hAnsi="宋体" w:cs="宋体" w:eastAsia="宋体" w:hint="default"/>
                <w:sz w:val="18"/>
                <w:szCs w:val="18"/>
              </w:rPr>
              <w:t>1 </w:t>
            </w:r>
            <w:r>
              <w:rPr>
                <w:rFonts w:ascii="宋体" w:hAnsi="宋体" w:cs="宋体" w:eastAsia="宋体" w:hint="default"/>
                <w:spacing w:val="-1"/>
                <w:sz w:val="18"/>
                <w:szCs w:val="18"/>
              </w:rPr>
              <w:t>公司控股股东、实际控制人应在符合《上市公司收购管理</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办法》及《创业板信息披露业务备忘录第</w:t>
            </w:r>
            <w:r>
              <w:rPr>
                <w:rFonts w:ascii="宋体" w:hAnsi="宋体" w:cs="宋体" w:eastAsia="宋体" w:hint="default"/>
                <w:spacing w:val="-56"/>
                <w:sz w:val="18"/>
                <w:szCs w:val="18"/>
              </w:rPr>
              <w:t> </w:t>
            </w:r>
            <w:r>
              <w:rPr>
                <w:rFonts w:ascii="宋体" w:hAnsi="宋体" w:cs="宋体" w:eastAsia="宋体" w:hint="default"/>
                <w:sz w:val="18"/>
                <w:szCs w:val="18"/>
              </w:rPr>
              <w:t>5</w:t>
            </w:r>
            <w:r>
              <w:rPr>
                <w:rFonts w:ascii="宋体" w:hAnsi="宋体" w:cs="宋体" w:eastAsia="宋体" w:hint="default"/>
                <w:spacing w:val="-56"/>
                <w:sz w:val="18"/>
                <w:szCs w:val="18"/>
              </w:rPr>
              <w:t> </w:t>
            </w:r>
            <w:r>
              <w:rPr>
                <w:rFonts w:ascii="宋体" w:hAnsi="宋体" w:cs="宋体" w:eastAsia="宋体" w:hint="default"/>
                <w:sz w:val="18"/>
                <w:szCs w:val="18"/>
              </w:rPr>
              <w:t>号－股东及其 </w:t>
            </w:r>
            <w:r>
              <w:rPr>
                <w:rFonts w:ascii="宋体" w:hAnsi="宋体" w:cs="宋体" w:eastAsia="宋体" w:hint="default"/>
                <w:spacing w:val="-1"/>
                <w:sz w:val="18"/>
                <w:szCs w:val="18"/>
              </w:rPr>
              <w:t>一致行动人增持股份业务管理》等法律法规的条件和要求</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的前提下，对公司股票进行增持；</w:t>
            </w:r>
            <w:r>
              <w:rPr>
                <w:rFonts w:ascii="宋体" w:hAnsi="宋体" w:cs="宋体" w:eastAsia="宋体" w:hint="default"/>
                <w:spacing w:val="-20"/>
                <w:sz w:val="18"/>
                <w:szCs w:val="18"/>
              </w:rPr>
              <w:t> </w:t>
            </w:r>
            <w:r>
              <w:rPr>
                <w:rFonts w:ascii="宋体" w:hAnsi="宋体" w:cs="宋体" w:eastAsia="宋体" w:hint="default"/>
                <w:sz w:val="18"/>
                <w:szCs w:val="18"/>
              </w:rPr>
              <w:t>2</w:t>
            </w:r>
            <w:r>
              <w:rPr>
                <w:rFonts w:ascii="宋体" w:hAnsi="宋体" w:cs="宋体" w:eastAsia="宋体" w:hint="default"/>
                <w:sz w:val="18"/>
                <w:szCs w:val="18"/>
              </w:rPr>
              <w:t>）控股股东或实际控 制人承诺单次增持总金额不少于人民币</w:t>
            </w:r>
            <w:r>
              <w:rPr>
                <w:rFonts w:ascii="宋体" w:hAnsi="宋体" w:cs="宋体" w:eastAsia="宋体" w:hint="default"/>
                <w:spacing w:val="-46"/>
                <w:sz w:val="18"/>
                <w:szCs w:val="18"/>
              </w:rPr>
              <w:t> </w:t>
            </w:r>
            <w:r>
              <w:rPr>
                <w:rFonts w:ascii="宋体" w:hAnsi="宋体" w:cs="宋体" w:eastAsia="宋体" w:hint="default"/>
                <w:sz w:val="18"/>
                <w:szCs w:val="18"/>
              </w:rPr>
              <w:t>1000</w:t>
            </w:r>
            <w:r>
              <w:rPr>
                <w:rFonts w:ascii="宋体" w:hAnsi="宋体" w:cs="宋体" w:eastAsia="宋体" w:hint="default"/>
                <w:spacing w:val="-46"/>
                <w:sz w:val="18"/>
                <w:szCs w:val="18"/>
              </w:rPr>
              <w:t> </w:t>
            </w:r>
            <w:r>
              <w:rPr>
                <w:rFonts w:ascii="宋体" w:hAnsi="宋体" w:cs="宋体" w:eastAsia="宋体" w:hint="default"/>
                <w:sz w:val="18"/>
                <w:szCs w:val="18"/>
              </w:rPr>
              <w:t>万元。</w:t>
            </w:r>
            <w:r>
              <w:rPr>
                <w:rFonts w:ascii="宋体" w:hAnsi="宋体" w:cs="宋体" w:eastAsia="宋体" w:hint="default"/>
                <w:spacing w:val="-20"/>
                <w:sz w:val="18"/>
                <w:szCs w:val="18"/>
              </w:rPr>
              <w:t> </w:t>
            </w:r>
            <w:r>
              <w:rPr>
                <w:rFonts w:ascii="宋体" w:hAnsi="宋体" w:cs="宋体" w:eastAsia="宋体" w:hint="default"/>
                <w:sz w:val="18"/>
                <w:szCs w:val="18"/>
              </w:rPr>
              <w:t>（</w:t>
            </w:r>
            <w:r>
              <w:rPr>
                <w:rFonts w:ascii="宋体" w:hAnsi="宋体" w:cs="宋体" w:eastAsia="宋体" w:hint="default"/>
                <w:sz w:val="18"/>
                <w:szCs w:val="18"/>
              </w:rPr>
              <w:t>3 </w:t>
            </w:r>
            <w:r>
              <w:rPr>
                <w:rFonts w:ascii="宋体" w:hAnsi="宋体" w:cs="宋体" w:eastAsia="宋体" w:hint="default"/>
                <w:sz w:val="18"/>
                <w:szCs w:val="18"/>
              </w:rPr>
              <w:t>董事、高级管理人员增持</w:t>
            </w:r>
            <w:r>
              <w:rPr>
                <w:rFonts w:ascii="宋体" w:hAnsi="宋体" w:cs="宋体" w:eastAsia="宋体" w:hint="default"/>
                <w:spacing w:val="-18"/>
                <w:sz w:val="18"/>
                <w:szCs w:val="18"/>
              </w:rPr>
              <w:t> </w:t>
            </w:r>
            <w:r>
              <w:rPr>
                <w:rFonts w:ascii="宋体" w:hAnsi="宋体" w:cs="宋体" w:eastAsia="宋体" w:hint="default"/>
                <w:sz w:val="18"/>
                <w:szCs w:val="18"/>
              </w:rPr>
              <w:t>1</w:t>
            </w:r>
            <w:r>
              <w:rPr>
                <w:rFonts w:ascii="宋体" w:hAnsi="宋体" w:cs="宋体" w:eastAsia="宋体" w:hint="default"/>
                <w:sz w:val="18"/>
                <w:szCs w:val="18"/>
              </w:rPr>
              <w:t>）在公司任职并领取薪酬的公 </w:t>
            </w:r>
            <w:r>
              <w:rPr>
                <w:rFonts w:ascii="宋体" w:hAnsi="宋体" w:cs="宋体" w:eastAsia="宋体" w:hint="default"/>
                <w:spacing w:val="-4"/>
                <w:sz w:val="18"/>
                <w:szCs w:val="18"/>
              </w:rPr>
              <w:t>司董事（不包括独立董事）、高级管理人员应在符合《上</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1"/>
                <w:sz w:val="18"/>
                <w:szCs w:val="18"/>
              </w:rPr>
              <w:t>市公司收购管理办法》及《上市公司董事、监事和高级管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1"/>
                <w:sz w:val="18"/>
                <w:szCs w:val="18"/>
              </w:rPr>
              <w:t>理人员所持本公司股份及其变动管理规则》等法律法规的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条件和要求的前提下，对公司股票进行增持；</w:t>
            </w:r>
            <w:r>
              <w:rPr>
                <w:rFonts w:ascii="宋体" w:hAnsi="宋体" w:cs="宋体" w:eastAsia="宋体" w:hint="default"/>
                <w:spacing w:val="-20"/>
                <w:sz w:val="18"/>
                <w:szCs w:val="18"/>
              </w:rPr>
              <w:t> </w:t>
            </w:r>
            <w:r>
              <w:rPr>
                <w:rFonts w:ascii="宋体" w:hAnsi="宋体" w:cs="宋体" w:eastAsia="宋体" w:hint="default"/>
                <w:sz w:val="18"/>
                <w:szCs w:val="18"/>
              </w:rPr>
              <w:t>2</w:t>
            </w:r>
            <w:r>
              <w:rPr>
                <w:rFonts w:ascii="宋体" w:hAnsi="宋体" w:cs="宋体" w:eastAsia="宋体" w:hint="default"/>
                <w:sz w:val="18"/>
                <w:szCs w:val="18"/>
              </w:rPr>
              <w:t>）有义务 </w:t>
            </w:r>
            <w:r>
              <w:rPr>
                <w:rFonts w:ascii="宋体" w:hAnsi="宋体" w:cs="宋体" w:eastAsia="宋体" w:hint="default"/>
                <w:spacing w:val="-1"/>
                <w:sz w:val="18"/>
                <w:szCs w:val="18"/>
              </w:rPr>
              <w:t>增持的公司董事、高级管理人员承诺，其用于增持公司股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
                <w:sz w:val="18"/>
                <w:szCs w:val="18"/>
              </w:rPr>
              <w:t>份的货币资金不少于该等董事、高级管理人员上年度薪酬</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总和的 </w:t>
            </w:r>
            <w:r>
              <w:rPr>
                <w:rFonts w:ascii="宋体" w:hAnsi="宋体" w:cs="宋体" w:eastAsia="宋体" w:hint="default"/>
                <w:sz w:val="18"/>
                <w:szCs w:val="18"/>
              </w:rPr>
              <w:t>30%</w:t>
            </w:r>
            <w:r>
              <w:rPr>
                <w:rFonts w:ascii="宋体" w:hAnsi="宋体" w:cs="宋体" w:eastAsia="宋体" w:hint="default"/>
                <w:sz w:val="18"/>
                <w:szCs w:val="18"/>
              </w:rPr>
              <w:t>。</w:t>
            </w:r>
            <w:r>
              <w:rPr>
                <w:rFonts w:ascii="宋体" w:hAnsi="宋体" w:cs="宋体" w:eastAsia="宋体" w:hint="default"/>
                <w:spacing w:val="-46"/>
                <w:sz w:val="18"/>
                <w:szCs w:val="18"/>
              </w:rPr>
              <w:t> </w:t>
            </w: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）其他法律、法规以及中国证监会、证 券交易所规定允许的措施。 公司在未来聘任新的董事、 </w:t>
            </w:r>
            <w:r>
              <w:rPr>
                <w:rFonts w:ascii="宋体" w:hAnsi="宋体" w:cs="宋体" w:eastAsia="宋体" w:hint="default"/>
                <w:spacing w:val="-1"/>
                <w:sz w:val="18"/>
                <w:szCs w:val="18"/>
              </w:rPr>
              <w:t>高级管理人员前，将要求其签署承诺书，保证其履行公司</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
                <w:sz w:val="18"/>
                <w:szCs w:val="18"/>
              </w:rPr>
              <w:t>首次公开发行上市时董事、高级管理人员已做出的相应承</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诺。</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7217"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143"/>
                <w:sz w:val="20"/>
                <w:szCs w:val="20"/>
              </w:rPr>
              <w:pict>
                <v:group style="width:49.15pt;height:360.9pt;mso-position-horizontal-relative:char;mso-position-vertical-relative:line" coordorigin="0,0" coordsize="983,7218">
                  <v:group style="position:absolute;left:0;top:0;width:983;height:7218" coordorigin="0,0" coordsize="983,7218">
                    <v:shape style="position:absolute;left:0;top:0;width:983;height:7218" coordorigin="0,0" coordsize="983,7218" path="m0,7218l983,7218,983,0,0,0,0,7218xe" filled="true" fillcolor="#ffffff" stroked="false">
                      <v:path arrowok="t"/>
                      <v:fill type="solid"/>
                    </v:shape>
                  </v:group>
                </v:group>
              </w:pict>
            </w:r>
            <w:r>
              <w:rPr>
                <w:rFonts w:ascii="Times New Roman" w:hAnsi="Times New Roman" w:cs="Times New Roman" w:eastAsia="Times New Roman" w:hint="default"/>
                <w:position w:val="-143"/>
                <w:sz w:val="20"/>
                <w:szCs w:val="20"/>
              </w:rPr>
            </w:r>
          </w:p>
        </w:tc>
        <w:tc>
          <w:tcPr>
            <w:tcW w:w="850" w:type="dxa"/>
            <w:tcBorders>
              <w:top w:val="single" w:sz="4" w:space="0" w:color="000000"/>
              <w:left w:val="single" w:sz="4" w:space="0" w:color="000000"/>
              <w:bottom w:val="single" w:sz="4" w:space="0" w:color="000000"/>
              <w:right w:val="single" w:sz="4" w:space="0" w:color="000000"/>
            </w:tcBorders>
          </w:tcPr>
          <w:p>
            <w:pPr/>
          </w:p>
        </w:tc>
        <w:tc>
          <w:tcPr>
            <w:tcW w:w="533" w:type="dxa"/>
            <w:tcBorders>
              <w:top w:val="single" w:sz="4" w:space="0" w:color="000000"/>
              <w:left w:val="single" w:sz="4" w:space="0" w:color="000000"/>
              <w:bottom w:val="single" w:sz="4" w:space="0" w:color="000000"/>
              <w:right w:val="single" w:sz="4" w:space="0" w:color="000000"/>
            </w:tcBorders>
          </w:tcPr>
          <w:p>
            <w:pPr/>
          </w:p>
        </w:tc>
      </w:tr>
      <w:tr>
        <w:trPr>
          <w:trHeight w:val="6603" w:hRule="exact"/>
        </w:trPr>
        <w:tc>
          <w:tcPr>
            <w:tcW w:w="816" w:type="dxa"/>
            <w:vMerge/>
            <w:tcBorders>
              <w:left w:val="single" w:sz="4" w:space="0" w:color="000000"/>
              <w:bottom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319" w:lineRule="auto"/>
              <w:ind w:left="22" w:right="134"/>
              <w:jc w:val="left"/>
              <w:rPr>
                <w:rFonts w:ascii="宋体" w:hAnsi="宋体" w:cs="宋体" w:eastAsia="宋体" w:hint="default"/>
                <w:sz w:val="18"/>
                <w:szCs w:val="18"/>
              </w:rPr>
            </w:pPr>
            <w:r>
              <w:rPr>
                <w:rFonts w:ascii="宋体" w:hAnsi="宋体" w:cs="宋体" w:eastAsia="宋体" w:hint="default"/>
                <w:sz w:val="18"/>
                <w:szCs w:val="18"/>
              </w:rPr>
              <w:t>其他承 诺</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316" w:lineRule="auto"/>
              <w:ind w:left="22" w:right="289"/>
              <w:jc w:val="left"/>
              <w:rPr>
                <w:rFonts w:ascii="宋体" w:hAnsi="宋体" w:cs="宋体" w:eastAsia="宋体" w:hint="default"/>
                <w:sz w:val="18"/>
                <w:szCs w:val="18"/>
              </w:rPr>
            </w:pPr>
            <w:r>
              <w:rPr>
                <w:rFonts w:ascii="宋体"/>
                <w:sz w:val="18"/>
              </w:rPr>
              <w:t>CHEN YIHAN;GUO SONG;LIU</w:t>
            </w:r>
          </w:p>
          <w:p>
            <w:pPr>
              <w:pStyle w:val="TableParagraph"/>
              <w:spacing w:line="316" w:lineRule="auto" w:before="19"/>
              <w:ind w:left="22" w:right="109"/>
              <w:jc w:val="left"/>
              <w:rPr>
                <w:rFonts w:ascii="宋体" w:hAnsi="宋体" w:cs="宋体" w:eastAsia="宋体" w:hint="default"/>
                <w:sz w:val="18"/>
                <w:szCs w:val="18"/>
              </w:rPr>
            </w:pPr>
            <w:r>
              <w:rPr>
                <w:rFonts w:ascii="宋体" w:hAnsi="宋体" w:cs="宋体" w:eastAsia="宋体" w:hint="default"/>
                <w:sz w:val="18"/>
                <w:szCs w:val="18"/>
              </w:rPr>
              <w:t>DAN;</w:t>
            </w:r>
            <w:r>
              <w:rPr>
                <w:rFonts w:ascii="宋体" w:hAnsi="宋体" w:cs="宋体" w:eastAsia="宋体" w:hint="default"/>
                <w:sz w:val="18"/>
                <w:szCs w:val="18"/>
              </w:rPr>
              <w:t>陈雪飞</w:t>
            </w:r>
            <w:r>
              <w:rPr>
                <w:rFonts w:ascii="宋体" w:hAnsi="宋体" w:cs="宋体" w:eastAsia="宋体" w:hint="default"/>
                <w:sz w:val="18"/>
                <w:szCs w:val="18"/>
              </w:rPr>
              <w:t>; </w:t>
            </w:r>
            <w:r>
              <w:rPr>
                <w:rFonts w:ascii="宋体" w:hAnsi="宋体" w:cs="宋体" w:eastAsia="宋体" w:hint="default"/>
                <w:sz w:val="18"/>
                <w:szCs w:val="18"/>
              </w:rPr>
              <w:t>达瓦</w:t>
            </w:r>
            <w:r>
              <w:rPr>
                <w:rFonts w:ascii="宋体" w:hAnsi="宋体" w:cs="宋体" w:eastAsia="宋体" w:hint="default"/>
                <w:sz w:val="18"/>
                <w:szCs w:val="18"/>
              </w:rPr>
              <w:t>;</w:t>
            </w:r>
            <w:r>
              <w:rPr>
                <w:rFonts w:ascii="宋体" w:hAnsi="宋体" w:cs="宋体" w:eastAsia="宋体" w:hint="default"/>
                <w:sz w:val="18"/>
                <w:szCs w:val="18"/>
              </w:rPr>
              <w:t>高明 玉</w:t>
            </w:r>
            <w:r>
              <w:rPr>
                <w:rFonts w:ascii="宋体" w:hAnsi="宋体" w:cs="宋体" w:eastAsia="宋体" w:hint="default"/>
                <w:sz w:val="18"/>
                <w:szCs w:val="18"/>
              </w:rPr>
              <w:t>;</w:t>
            </w:r>
            <w:r>
              <w:rPr>
                <w:rFonts w:ascii="宋体" w:hAnsi="宋体" w:cs="宋体" w:eastAsia="宋体" w:hint="default"/>
                <w:sz w:val="18"/>
                <w:szCs w:val="18"/>
              </w:rPr>
              <w:t>李挥</w:t>
            </w:r>
            <w:r>
              <w:rPr>
                <w:rFonts w:ascii="宋体" w:hAnsi="宋体" w:cs="宋体" w:eastAsia="宋体" w:hint="default"/>
                <w:sz w:val="18"/>
                <w:szCs w:val="18"/>
              </w:rPr>
              <w:t>;</w:t>
            </w:r>
            <w:r>
              <w:rPr>
                <w:rFonts w:ascii="宋体" w:hAnsi="宋体" w:cs="宋体" w:eastAsia="宋体" w:hint="default"/>
                <w:sz w:val="18"/>
                <w:szCs w:val="18"/>
              </w:rPr>
              <w:t>刘</w:t>
            </w:r>
          </w:p>
          <w:p>
            <w:pPr>
              <w:pStyle w:val="TableParagraph"/>
              <w:spacing w:line="319" w:lineRule="auto" w:before="19"/>
              <w:ind w:left="22" w:right="109"/>
              <w:jc w:val="left"/>
              <w:rPr>
                <w:rFonts w:ascii="宋体" w:hAnsi="宋体" w:cs="宋体" w:eastAsia="宋体" w:hint="default"/>
                <w:sz w:val="18"/>
                <w:szCs w:val="18"/>
              </w:rPr>
            </w:pPr>
            <w:r>
              <w:rPr>
                <w:rFonts w:ascii="宋体" w:hAnsi="宋体" w:cs="宋体" w:eastAsia="宋体" w:hint="default"/>
                <w:sz w:val="18"/>
                <w:szCs w:val="18"/>
              </w:rPr>
              <w:t>镇</w:t>
            </w:r>
            <w:r>
              <w:rPr>
                <w:rFonts w:ascii="宋体" w:hAnsi="宋体" w:cs="宋体" w:eastAsia="宋体" w:hint="default"/>
                <w:sz w:val="18"/>
                <w:szCs w:val="18"/>
              </w:rPr>
              <w:t>;</w:t>
            </w:r>
            <w:r>
              <w:rPr>
                <w:rFonts w:ascii="宋体" w:hAnsi="宋体" w:cs="宋体" w:eastAsia="宋体" w:hint="default"/>
                <w:sz w:val="18"/>
                <w:szCs w:val="18"/>
              </w:rPr>
              <w:t>屈先富</w:t>
            </w:r>
            <w:r>
              <w:rPr>
                <w:rFonts w:ascii="宋体" w:hAnsi="宋体" w:cs="宋体" w:eastAsia="宋体" w:hint="default"/>
                <w:sz w:val="18"/>
                <w:szCs w:val="18"/>
              </w:rPr>
              <w:t>; </w:t>
            </w:r>
            <w:r>
              <w:rPr>
                <w:rFonts w:ascii="宋体" w:hAnsi="宋体" w:cs="宋体" w:eastAsia="宋体" w:hint="default"/>
                <w:sz w:val="18"/>
                <w:szCs w:val="18"/>
              </w:rPr>
              <w:t>申成文</w:t>
            </w:r>
            <w:r>
              <w:rPr>
                <w:rFonts w:ascii="宋体" w:hAnsi="宋体" w:cs="宋体" w:eastAsia="宋体" w:hint="default"/>
                <w:sz w:val="18"/>
                <w:szCs w:val="18"/>
              </w:rPr>
              <w:t>;</w:t>
            </w:r>
            <w:r>
              <w:rPr>
                <w:rFonts w:ascii="宋体" w:hAnsi="宋体" w:cs="宋体" w:eastAsia="宋体" w:hint="default"/>
                <w:sz w:val="18"/>
                <w:szCs w:val="18"/>
              </w:rPr>
              <w:t>深圳 市优博讯科 技股份有限 公司</w:t>
            </w:r>
            <w:r>
              <w:rPr>
                <w:rFonts w:ascii="宋体" w:hAnsi="宋体" w:cs="宋体" w:eastAsia="宋体" w:hint="default"/>
                <w:sz w:val="18"/>
                <w:szCs w:val="18"/>
              </w:rPr>
              <w:t>;</w:t>
            </w:r>
            <w:r>
              <w:rPr>
                <w:rFonts w:ascii="宋体" w:hAnsi="宋体" w:cs="宋体" w:eastAsia="宋体" w:hint="default"/>
                <w:sz w:val="18"/>
                <w:szCs w:val="18"/>
              </w:rPr>
              <w:t>仝文 定</w:t>
            </w:r>
            <w:r>
              <w:rPr>
                <w:rFonts w:ascii="宋体" w:hAnsi="宋体" w:cs="宋体" w:eastAsia="宋体" w:hint="default"/>
                <w:sz w:val="18"/>
                <w:szCs w:val="18"/>
              </w:rPr>
              <w:t>;</w:t>
            </w:r>
            <w:r>
              <w:rPr>
                <w:rFonts w:ascii="宋体" w:hAnsi="宋体" w:cs="宋体" w:eastAsia="宋体" w:hint="default"/>
                <w:sz w:val="18"/>
                <w:szCs w:val="18"/>
              </w:rPr>
              <w:t>王勤红</w:t>
            </w:r>
            <w:r>
              <w:rPr>
                <w:rFonts w:ascii="宋体" w:hAnsi="宋体" w:cs="宋体" w:eastAsia="宋体" w:hint="default"/>
                <w:sz w:val="18"/>
                <w:szCs w:val="18"/>
              </w:rPr>
              <w:t>; </w:t>
            </w:r>
            <w:r>
              <w:rPr>
                <w:rFonts w:ascii="宋体" w:hAnsi="宋体" w:cs="宋体" w:eastAsia="宋体" w:hint="default"/>
                <w:sz w:val="18"/>
                <w:szCs w:val="18"/>
              </w:rPr>
              <w:t>香港优博讯 科技控股集 团有限公司</w:t>
            </w:r>
            <w:r>
              <w:rPr>
                <w:rFonts w:ascii="宋体" w:hAnsi="宋体" w:cs="宋体" w:eastAsia="宋体" w:hint="default"/>
                <w:sz w:val="18"/>
                <w:szCs w:val="18"/>
              </w:rPr>
              <w:t>; </w:t>
            </w:r>
            <w:r>
              <w:rPr>
                <w:rFonts w:ascii="宋体" w:hAnsi="宋体" w:cs="宋体" w:eastAsia="宋体" w:hint="default"/>
                <w:sz w:val="18"/>
                <w:szCs w:val="18"/>
              </w:rPr>
              <w:t>杨彦彰</w:t>
            </w:r>
            <w:r>
              <w:rPr>
                <w:rFonts w:ascii="宋体" w:hAnsi="宋体" w:cs="宋体" w:eastAsia="宋体" w:hint="default"/>
                <w:sz w:val="18"/>
                <w:szCs w:val="18"/>
              </w:rPr>
              <w:t>;</w:t>
            </w:r>
            <w:r>
              <w:rPr>
                <w:rFonts w:ascii="宋体" w:hAnsi="宋体" w:cs="宋体" w:eastAsia="宋体" w:hint="default"/>
                <w:sz w:val="18"/>
                <w:szCs w:val="18"/>
              </w:rPr>
              <w:t>于雪 磊</w:t>
            </w:r>
            <w:r>
              <w:rPr>
                <w:rFonts w:ascii="宋体" w:hAnsi="宋体" w:cs="宋体" w:eastAsia="宋体" w:hint="default"/>
                <w:sz w:val="18"/>
                <w:szCs w:val="18"/>
              </w:rPr>
              <w:t>;</w:t>
            </w:r>
            <w:r>
              <w:rPr>
                <w:rFonts w:ascii="宋体" w:hAnsi="宋体" w:cs="宋体" w:eastAsia="宋体" w:hint="default"/>
                <w:sz w:val="18"/>
                <w:szCs w:val="18"/>
              </w:rPr>
              <w:t>郁小娇</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1"/>
                <w:sz w:val="18"/>
                <w:szCs w:val="18"/>
              </w:rPr>
              <w:t>发行人、发行人控股股东、发行人实际控制人及发行人董</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5"/>
                <w:sz w:val="18"/>
                <w:szCs w:val="18"/>
              </w:rPr>
              <w:t>事、监事、高级管理人员关于未能履行承诺的约束措施</w:t>
            </w:r>
            <w:r>
              <w:rPr>
                <w:rFonts w:ascii="宋体" w:hAnsi="宋体" w:cs="宋体" w:eastAsia="宋体" w:hint="default"/>
                <w:spacing w:val="6"/>
                <w:sz w:val="18"/>
                <w:szCs w:val="18"/>
              </w:rPr>
              <w:t> </w:t>
            </w:r>
            <w:r>
              <w:rPr>
                <w:rFonts w:ascii="宋体" w:hAnsi="宋体" w:cs="宋体" w:eastAsia="宋体" w:hint="default"/>
                <w:sz w:val="18"/>
                <w:szCs w:val="18"/>
              </w:rPr>
              <w:t>深</w:t>
            </w:r>
            <w:r>
              <w:rPr>
                <w:rFonts w:ascii="宋体" w:hAnsi="宋体" w:cs="宋体" w:eastAsia="宋体" w:hint="default"/>
                <w:sz w:val="18"/>
                <w:szCs w:val="18"/>
              </w:rPr>
              <w:t> </w:t>
            </w:r>
            <w:r>
              <w:rPr>
                <w:rFonts w:ascii="宋体" w:hAnsi="宋体" w:cs="宋体" w:eastAsia="宋体" w:hint="default"/>
                <w:spacing w:val="-4"/>
                <w:sz w:val="18"/>
                <w:szCs w:val="18"/>
              </w:rPr>
              <w:t>圳市优博讯科技股份有限公司（下称“发行人”）拟申请</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首次公开发行人民币普通股（</w:t>
            </w:r>
            <w:r>
              <w:rPr>
                <w:rFonts w:ascii="宋体" w:hAnsi="宋体" w:cs="宋体" w:eastAsia="宋体" w:hint="default"/>
                <w:sz w:val="18"/>
                <w:szCs w:val="18"/>
              </w:rPr>
              <w:t>A</w:t>
            </w:r>
            <w:r>
              <w:rPr>
                <w:rFonts w:ascii="宋体" w:hAnsi="宋体" w:cs="宋体" w:eastAsia="宋体" w:hint="default"/>
                <w:spacing w:val="-46"/>
                <w:sz w:val="18"/>
                <w:szCs w:val="18"/>
              </w:rPr>
              <w:t> </w:t>
            </w:r>
            <w:r>
              <w:rPr>
                <w:rFonts w:ascii="宋体" w:hAnsi="宋体" w:cs="宋体" w:eastAsia="宋体" w:hint="default"/>
                <w:sz w:val="18"/>
                <w:szCs w:val="18"/>
              </w:rPr>
              <w:t>股）股票并在创业板上市</w:t>
            </w:r>
          </w:p>
          <w:p>
            <w:pPr>
              <w:pStyle w:val="TableParagraph"/>
              <w:spacing w:line="316" w:lineRule="auto" w:before="19"/>
              <w:ind w:left="22" w:right="3"/>
              <w:jc w:val="left"/>
              <w:rPr>
                <w:rFonts w:ascii="宋体" w:hAnsi="宋体" w:cs="宋体" w:eastAsia="宋体" w:hint="default"/>
                <w:sz w:val="18"/>
                <w:szCs w:val="18"/>
              </w:rPr>
            </w:pPr>
            <w:r>
              <w:rPr>
                <w:rFonts w:ascii="宋体" w:hAnsi="宋体" w:cs="宋体" w:eastAsia="宋体" w:hint="default"/>
                <w:spacing w:val="-8"/>
                <w:sz w:val="18"/>
                <w:szCs w:val="18"/>
              </w:rPr>
              <w:t>（下称“首次公开发行上市”），为首次公开发行上市，发</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行人、发行人控股股东香港优博讯科技控股集团有限公 司、发行人实际控制人、发行人董事、监事、高级管理人</w:t>
            </w:r>
            <w:r>
              <w:rPr>
                <w:rFonts w:ascii="宋体" w:hAnsi="宋体" w:cs="宋体" w:eastAsia="宋体" w:hint="default"/>
                <w:sz w:val="18"/>
                <w:szCs w:val="18"/>
              </w:rPr>
              <w:t> 员出具了关于所持发行人股份限售安排及自愿锁定承诺， 保证首次公开发行上市全套文件不存在虚假记载、误导性 陈述或重大遗漏的承诺及在出现虚假记载、误导性陈述或 者重大遗漏致使投资者在证券交易中遭受损失将依法赔 偿投资者损失的承诺，关于避免同业竞争及规范关联交易 的承诺、发行人关于回购股份的承诺以及发行人控股股东 关于购回股份的承诺等相关公开承诺。如在实际执行过程 中，上述责任主体违反首次公开发行上市时已作出的公开 </w:t>
            </w:r>
            <w:r>
              <w:rPr>
                <w:rFonts w:ascii="宋体" w:hAnsi="宋体" w:cs="宋体" w:eastAsia="宋体" w:hint="default"/>
                <w:spacing w:val="-5"/>
                <w:sz w:val="18"/>
                <w:szCs w:val="18"/>
              </w:rPr>
              <w:t>承诺的，则采取或接受以下措施：（</w:t>
            </w:r>
            <w:r>
              <w:rPr>
                <w:rFonts w:ascii="宋体" w:hAnsi="宋体" w:cs="宋体" w:eastAsia="宋体" w:hint="default"/>
                <w:spacing w:val="-5"/>
                <w:sz w:val="18"/>
                <w:szCs w:val="18"/>
              </w:rPr>
              <w:t>1</w:t>
            </w:r>
            <w:r>
              <w:rPr>
                <w:rFonts w:ascii="宋体" w:hAnsi="宋体" w:cs="宋体" w:eastAsia="宋体" w:hint="default"/>
                <w:spacing w:val="-5"/>
                <w:sz w:val="18"/>
                <w:szCs w:val="18"/>
              </w:rPr>
              <w:t>）在有关监管机关要</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5"/>
                <w:sz w:val="18"/>
                <w:szCs w:val="18"/>
              </w:rPr>
              <w:t>求的期限内予以纠正；（</w:t>
            </w:r>
            <w:r>
              <w:rPr>
                <w:rFonts w:ascii="宋体" w:hAnsi="宋体" w:cs="宋体" w:eastAsia="宋体" w:hint="default"/>
                <w:spacing w:val="-5"/>
                <w:sz w:val="18"/>
                <w:szCs w:val="18"/>
              </w:rPr>
              <w:t>2</w:t>
            </w:r>
            <w:r>
              <w:rPr>
                <w:rFonts w:ascii="宋体" w:hAnsi="宋体" w:cs="宋体" w:eastAsia="宋体" w:hint="default"/>
                <w:spacing w:val="-5"/>
                <w:sz w:val="18"/>
                <w:szCs w:val="18"/>
              </w:rPr>
              <w:t>）给投资者造成直接损失的，依</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4"/>
                <w:sz w:val="18"/>
                <w:szCs w:val="18"/>
              </w:rPr>
              <w:t>法赔偿损失；（</w:t>
            </w:r>
            <w:r>
              <w:rPr>
                <w:rFonts w:ascii="宋体" w:hAnsi="宋体" w:cs="宋体" w:eastAsia="宋体" w:hint="default"/>
                <w:spacing w:val="-4"/>
                <w:sz w:val="18"/>
                <w:szCs w:val="18"/>
              </w:rPr>
              <w:t>3</w:t>
            </w:r>
            <w:r>
              <w:rPr>
                <w:rFonts w:ascii="宋体" w:hAnsi="宋体" w:cs="宋体" w:eastAsia="宋体" w:hint="default"/>
                <w:spacing w:val="-4"/>
                <w:sz w:val="18"/>
                <w:szCs w:val="18"/>
              </w:rPr>
              <w:t>）有违法所得的，按相关法律法规处理；</w:t>
            </w:r>
          </w:p>
          <w:p>
            <w:pPr>
              <w:pStyle w:val="TableParagraph"/>
              <w:spacing w:line="316" w:lineRule="auto" w:before="19"/>
              <w:ind w:left="22" w:right="22"/>
              <w:jc w:val="both"/>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）如该违反的承诺属可以继续履行的，将继续履行该 </w:t>
            </w:r>
            <w:r>
              <w:rPr>
                <w:rFonts w:ascii="宋体" w:hAnsi="宋体" w:cs="宋体" w:eastAsia="宋体" w:hint="default"/>
                <w:spacing w:val="-5"/>
                <w:sz w:val="18"/>
                <w:szCs w:val="18"/>
              </w:rPr>
              <w:t>承诺；（</w:t>
            </w:r>
            <w:r>
              <w:rPr>
                <w:rFonts w:ascii="宋体" w:hAnsi="宋体" w:cs="宋体" w:eastAsia="宋体" w:hint="default"/>
                <w:spacing w:val="-5"/>
                <w:sz w:val="18"/>
                <w:szCs w:val="18"/>
              </w:rPr>
              <w:t>5</w:t>
            </w:r>
            <w:r>
              <w:rPr>
                <w:rFonts w:ascii="宋体" w:hAnsi="宋体" w:cs="宋体" w:eastAsia="宋体" w:hint="default"/>
                <w:spacing w:val="-5"/>
                <w:sz w:val="18"/>
                <w:szCs w:val="18"/>
              </w:rPr>
              <w:t>）根据届时规定可以采取的其他措施。</w:t>
            </w:r>
            <w:r>
              <w:rPr>
                <w:rFonts w:ascii="宋体" w:hAnsi="宋体" w:cs="宋体" w:eastAsia="宋体" w:hint="default"/>
                <w:sz w:val="18"/>
                <w:szCs w:val="18"/>
              </w:rPr>
              <w:t> 发行人</w:t>
            </w:r>
            <w:r>
              <w:rPr>
                <w:rFonts w:ascii="宋体" w:hAnsi="宋体" w:cs="宋体" w:eastAsia="宋体" w:hint="default"/>
                <w:spacing w:val="-70"/>
                <w:sz w:val="18"/>
                <w:szCs w:val="18"/>
              </w:rPr>
              <w:t> </w:t>
            </w:r>
            <w:r>
              <w:rPr>
                <w:rFonts w:ascii="宋体" w:hAnsi="宋体" w:cs="宋体" w:eastAsia="宋体" w:hint="default"/>
                <w:spacing w:val="-1"/>
                <w:sz w:val="18"/>
                <w:szCs w:val="18"/>
              </w:rPr>
              <w:t>董事、监事、高级管理人员承诺不因职务变更、离职等原</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08</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5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319" w:lineRule="auto"/>
              <w:ind w:left="22" w:right="138"/>
              <w:jc w:val="both"/>
              <w:rPr>
                <w:rFonts w:ascii="宋体" w:hAnsi="宋体" w:cs="宋体" w:eastAsia="宋体" w:hint="default"/>
                <w:sz w:val="18"/>
                <w:szCs w:val="18"/>
              </w:rPr>
            </w:pPr>
            <w:r>
              <w:rPr>
                <w:rFonts w:ascii="宋体" w:hAnsi="宋体" w:cs="宋体" w:eastAsia="宋体" w:hint="default"/>
                <w:sz w:val="18"/>
                <w:szCs w:val="18"/>
              </w:rPr>
              <w:t>承诺 人严 格遵 守了 该项 承诺</w:t>
            </w:r>
          </w:p>
        </w:tc>
      </w:tr>
    </w:tbl>
    <w:p>
      <w:pPr>
        <w:spacing w:after="0" w:line="319" w:lineRule="auto"/>
        <w:jc w:val="both"/>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r>
        <w:rPr/>
        <w:pict>
          <v:shape style="position:absolute;margin-left:349.274017pt;margin-top:266.719971pt;width:118.4pt;height:117pt;mso-position-horizontal-relative:page;mso-position-vertical-relative:page;z-index:-1012744"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1"/>
                      <w:szCs w:val="21"/>
                    </w:rPr>
                  </w:pPr>
                </w:p>
                <w:p>
                  <w:pPr>
                    <w:pStyle w:val="BodyText"/>
                    <w:spacing w:line="240" w:lineRule="auto"/>
                    <w:ind w:left="0" w:right="0"/>
                    <w:jc w:val="left"/>
                  </w:pPr>
                  <w:r>
                    <w:rPr/>
                    <w:t>发行人全体董事、</w:t>
                  </w:r>
                </w:p>
              </w:txbxContent>
            </v:textbox>
            <w10:wrap type="none"/>
          </v:shape>
        </w:pict>
      </w:r>
    </w:p>
    <w:p>
      <w:pPr>
        <w:spacing w:line="240" w:lineRule="auto" w:before="5"/>
        <w:rPr>
          <w:rFonts w:ascii="Times New Roman" w:hAnsi="Times New Roman" w:cs="Times New Roman" w:eastAsia="Times New Roman" w:hint="default"/>
          <w:sz w:val="12"/>
          <w:szCs w:val="12"/>
        </w:rPr>
      </w:pPr>
    </w:p>
    <w:tbl>
      <w:tblPr>
        <w:tblW w:w="0" w:type="auto"/>
        <w:jc w:val="left"/>
        <w:tblInd w:w="183" w:type="dxa"/>
        <w:tblLayout w:type="fixed"/>
        <w:tblCellMar>
          <w:top w:w="0" w:type="dxa"/>
          <w:left w:w="0" w:type="dxa"/>
          <w:bottom w:w="0" w:type="dxa"/>
          <w:right w:w="0" w:type="dxa"/>
        </w:tblCellMar>
        <w:tblLook w:val="01E0"/>
      </w:tblPr>
      <w:tblGrid>
        <w:gridCol w:w="816"/>
        <w:gridCol w:w="709"/>
        <w:gridCol w:w="1134"/>
        <w:gridCol w:w="4537"/>
        <w:gridCol w:w="992"/>
        <w:gridCol w:w="850"/>
        <w:gridCol w:w="530"/>
      </w:tblGrid>
      <w:tr>
        <w:trPr>
          <w:trHeight w:val="674" w:hRule="exact"/>
        </w:trPr>
        <w:tc>
          <w:tcPr>
            <w:tcW w:w="816" w:type="dxa"/>
            <w:vMerge w:val="restart"/>
            <w:tcBorders>
              <w:top w:val="single" w:sz="4" w:space="0" w:color="000000"/>
              <w:left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21"/>
              <w:jc w:val="left"/>
              <w:rPr>
                <w:rFonts w:ascii="宋体" w:hAnsi="宋体" w:cs="宋体" w:eastAsia="宋体" w:hint="default"/>
                <w:sz w:val="18"/>
                <w:szCs w:val="18"/>
              </w:rPr>
            </w:pPr>
            <w:r>
              <w:rPr>
                <w:rFonts w:ascii="宋体" w:hAnsi="宋体" w:cs="宋体" w:eastAsia="宋体" w:hint="default"/>
                <w:spacing w:val="-1"/>
                <w:sz w:val="18"/>
                <w:szCs w:val="18"/>
              </w:rPr>
              <w:t>因而放弃履行已作出的承诺，未经公司许可，该等人员离</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职后二年内不从事与公司相同或相似业务的工作。</w:t>
            </w:r>
          </w:p>
        </w:tc>
        <w:tc>
          <w:tcPr>
            <w:tcW w:w="99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r>
      <w:tr>
        <w:trPr>
          <w:trHeight w:val="3210" w:hRule="exact"/>
        </w:trPr>
        <w:tc>
          <w:tcPr>
            <w:tcW w:w="816" w:type="dxa"/>
            <w:vMerge/>
            <w:tcBorders>
              <w:left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316" w:lineRule="auto"/>
              <w:ind w:left="22" w:right="134"/>
              <w:jc w:val="left"/>
              <w:rPr>
                <w:rFonts w:ascii="宋体" w:hAnsi="宋体" w:cs="宋体" w:eastAsia="宋体" w:hint="default"/>
                <w:sz w:val="18"/>
                <w:szCs w:val="18"/>
              </w:rPr>
            </w:pPr>
            <w:r>
              <w:rPr>
                <w:rFonts w:ascii="宋体" w:hAnsi="宋体" w:cs="宋体" w:eastAsia="宋体" w:hint="default"/>
                <w:sz w:val="18"/>
                <w:szCs w:val="18"/>
              </w:rPr>
              <w:t>股份回 购承诺</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9"/>
              <w:ind w:left="22" w:right="199"/>
              <w:jc w:val="both"/>
              <w:rPr>
                <w:rFonts w:ascii="宋体" w:hAnsi="宋体" w:cs="宋体" w:eastAsia="宋体" w:hint="default"/>
                <w:sz w:val="18"/>
                <w:szCs w:val="18"/>
              </w:rPr>
            </w:pPr>
            <w:r>
              <w:rPr>
                <w:rFonts w:ascii="宋体" w:hAnsi="宋体" w:cs="宋体" w:eastAsia="宋体" w:hint="default"/>
                <w:sz w:val="18"/>
                <w:szCs w:val="18"/>
              </w:rPr>
              <w:t>深圳市优博 讯科技股份 有限公司</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z w:val="18"/>
                <w:szCs w:val="18"/>
              </w:rPr>
              <w:t>发行人关于回购股份的承诺函 深圳市优博讯科技股份有 </w:t>
            </w:r>
            <w:r>
              <w:rPr>
                <w:rFonts w:ascii="宋体" w:hAnsi="宋体" w:cs="宋体" w:eastAsia="宋体" w:hint="default"/>
                <w:spacing w:val="-4"/>
                <w:sz w:val="18"/>
                <w:szCs w:val="18"/>
              </w:rPr>
              <w:t>限公司（下称“发行人”）拟申请首次公开发行人民币普</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通股（</w:t>
            </w:r>
            <w:r>
              <w:rPr>
                <w:rFonts w:ascii="宋体" w:hAnsi="宋体" w:cs="宋体" w:eastAsia="宋体" w:hint="default"/>
                <w:sz w:val="18"/>
                <w:szCs w:val="18"/>
              </w:rPr>
              <w:t>A</w:t>
            </w:r>
            <w:r>
              <w:rPr>
                <w:rFonts w:ascii="宋体" w:hAnsi="宋体" w:cs="宋体" w:eastAsia="宋体" w:hint="default"/>
                <w:spacing w:val="-46"/>
                <w:sz w:val="18"/>
                <w:szCs w:val="18"/>
              </w:rPr>
              <w:t> </w:t>
            </w:r>
            <w:r>
              <w:rPr>
                <w:rFonts w:ascii="宋体" w:hAnsi="宋体" w:cs="宋体" w:eastAsia="宋体" w:hint="default"/>
                <w:sz w:val="18"/>
                <w:szCs w:val="18"/>
              </w:rPr>
              <w:t>股）股票并在创业板上市（下称“首次公开发行 </w:t>
            </w:r>
            <w:r>
              <w:rPr>
                <w:rFonts w:ascii="宋体" w:hAnsi="宋体" w:cs="宋体" w:eastAsia="宋体" w:hint="default"/>
                <w:spacing w:val="-8"/>
                <w:sz w:val="18"/>
                <w:szCs w:val="18"/>
              </w:rPr>
              <w:t>上市”），为首次公开发行上市，发行人编制了《深圳市优</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博讯科技股份有限公司首次公开发行股票并在创业板上 </w:t>
            </w:r>
            <w:r>
              <w:rPr>
                <w:rFonts w:ascii="宋体" w:hAnsi="宋体" w:cs="宋体" w:eastAsia="宋体" w:hint="default"/>
                <w:spacing w:val="-17"/>
                <w:sz w:val="18"/>
                <w:szCs w:val="18"/>
              </w:rPr>
              <w:t>市招股说明书》（下称“《招股说明书》”）。为维护公众投</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资者的利益，发行人承诺如下： 如《招股说明书》存在 </w:t>
            </w:r>
            <w:r>
              <w:rPr>
                <w:rFonts w:ascii="宋体" w:hAnsi="宋体" w:cs="宋体" w:eastAsia="宋体" w:hint="default"/>
                <w:spacing w:val="-1"/>
                <w:sz w:val="18"/>
                <w:szCs w:val="18"/>
              </w:rPr>
              <w:t>虚假记载、误导性陈述或者重大遗漏，对判断发行人是否</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1"/>
                <w:sz w:val="18"/>
                <w:szCs w:val="18"/>
              </w:rPr>
              <w:t>符合法律规定的发行条件构成重大、实质影响的，发行人</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将以二级市场价格依法回购本次公开发行的全部新股。</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08</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09</w:t>
            </w:r>
            <w:r>
              <w:rPr>
                <w:rFonts w:ascii="宋体" w:hAnsi="宋体" w:cs="宋体" w:eastAsia="宋体" w:hint="default"/>
                <w:spacing w:val="-46"/>
                <w:sz w:val="18"/>
                <w:szCs w:val="18"/>
              </w:rPr>
              <w:t>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316" w:lineRule="auto"/>
              <w:ind w:left="22" w:right="137"/>
              <w:jc w:val="both"/>
              <w:rPr>
                <w:rFonts w:ascii="宋体" w:hAnsi="宋体" w:cs="宋体" w:eastAsia="宋体" w:hint="default"/>
                <w:sz w:val="18"/>
                <w:szCs w:val="18"/>
              </w:rPr>
            </w:pPr>
            <w:r>
              <w:rPr>
                <w:rFonts w:ascii="宋体" w:hAnsi="宋体" w:cs="宋体" w:eastAsia="宋体" w:hint="default"/>
                <w:sz w:val="18"/>
                <w:szCs w:val="18"/>
              </w:rPr>
              <w:t>承诺 人严 格遵 守了 该项 承诺</w:t>
            </w:r>
          </w:p>
        </w:tc>
      </w:tr>
      <w:tr>
        <w:trPr>
          <w:trHeight w:val="5394" w:hRule="exact"/>
        </w:trPr>
        <w:tc>
          <w:tcPr>
            <w:tcW w:w="816" w:type="dxa"/>
            <w:vMerge/>
            <w:tcBorders>
              <w:left w:val="single" w:sz="4" w:space="0" w:color="000000"/>
              <w:bottom w:val="single" w:sz="4" w:space="0" w:color="000000"/>
              <w:right w:val="single" w:sz="4" w:space="0" w:color="000000"/>
            </w:tcBorders>
            <w:shd w:val="clear" w:color="auto" w:fill="D2D2D2"/>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4"/>
              <w:ind w:left="22" w:right="134"/>
              <w:jc w:val="left"/>
              <w:rPr>
                <w:rFonts w:ascii="宋体" w:hAnsi="宋体" w:cs="宋体" w:eastAsia="宋体" w:hint="default"/>
                <w:sz w:val="18"/>
                <w:szCs w:val="18"/>
              </w:rPr>
            </w:pPr>
            <w:r>
              <w:rPr>
                <w:rFonts w:ascii="宋体" w:hAnsi="宋体" w:cs="宋体" w:eastAsia="宋体" w:hint="default"/>
                <w:sz w:val="18"/>
                <w:szCs w:val="18"/>
              </w:rPr>
              <w:t>其他承 诺</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89"/>
              <w:jc w:val="left"/>
              <w:rPr>
                <w:rFonts w:ascii="宋体" w:hAnsi="宋体" w:cs="宋体" w:eastAsia="宋体" w:hint="default"/>
                <w:sz w:val="18"/>
                <w:szCs w:val="18"/>
              </w:rPr>
            </w:pPr>
            <w:r>
              <w:rPr>
                <w:rFonts w:ascii="宋体"/>
                <w:sz w:val="18"/>
              </w:rPr>
              <w:t>CHEN YIHAN;GUO SONG;LIU</w:t>
            </w:r>
          </w:p>
          <w:p>
            <w:pPr>
              <w:pStyle w:val="TableParagraph"/>
              <w:spacing w:line="316" w:lineRule="auto" w:before="19"/>
              <w:ind w:left="22" w:right="109"/>
              <w:jc w:val="left"/>
              <w:rPr>
                <w:rFonts w:ascii="宋体" w:hAnsi="宋体" w:cs="宋体" w:eastAsia="宋体" w:hint="default"/>
                <w:sz w:val="18"/>
                <w:szCs w:val="18"/>
              </w:rPr>
            </w:pPr>
            <w:r>
              <w:rPr>
                <w:rFonts w:ascii="宋体" w:hAnsi="宋体" w:cs="宋体" w:eastAsia="宋体" w:hint="default"/>
                <w:sz w:val="18"/>
                <w:szCs w:val="18"/>
              </w:rPr>
              <w:t>DAN;</w:t>
            </w:r>
            <w:r>
              <w:rPr>
                <w:rFonts w:ascii="宋体" w:hAnsi="宋体" w:cs="宋体" w:eastAsia="宋体" w:hint="default"/>
                <w:sz w:val="18"/>
                <w:szCs w:val="18"/>
              </w:rPr>
              <w:t>陈雪飞</w:t>
            </w:r>
            <w:r>
              <w:rPr>
                <w:rFonts w:ascii="宋体" w:hAnsi="宋体" w:cs="宋体" w:eastAsia="宋体" w:hint="default"/>
                <w:sz w:val="18"/>
                <w:szCs w:val="18"/>
              </w:rPr>
              <w:t>; </w:t>
            </w:r>
            <w:r>
              <w:rPr>
                <w:rFonts w:ascii="宋体" w:hAnsi="宋体" w:cs="宋体" w:eastAsia="宋体" w:hint="default"/>
                <w:sz w:val="18"/>
                <w:szCs w:val="18"/>
              </w:rPr>
              <w:t>达瓦</w:t>
            </w:r>
            <w:r>
              <w:rPr>
                <w:rFonts w:ascii="宋体" w:hAnsi="宋体" w:cs="宋体" w:eastAsia="宋体" w:hint="default"/>
                <w:sz w:val="18"/>
                <w:szCs w:val="18"/>
              </w:rPr>
              <w:t>;</w:t>
            </w:r>
            <w:r>
              <w:rPr>
                <w:rFonts w:ascii="宋体" w:hAnsi="宋体" w:cs="宋体" w:eastAsia="宋体" w:hint="default"/>
                <w:sz w:val="18"/>
                <w:szCs w:val="18"/>
              </w:rPr>
              <w:t>高明 玉</w:t>
            </w:r>
            <w:r>
              <w:rPr>
                <w:rFonts w:ascii="宋体" w:hAnsi="宋体" w:cs="宋体" w:eastAsia="宋体" w:hint="default"/>
                <w:sz w:val="18"/>
                <w:szCs w:val="18"/>
              </w:rPr>
              <w:t>;</w:t>
            </w:r>
            <w:r>
              <w:rPr>
                <w:rFonts w:ascii="宋体" w:hAnsi="宋体" w:cs="宋体" w:eastAsia="宋体" w:hint="default"/>
                <w:sz w:val="18"/>
                <w:szCs w:val="18"/>
              </w:rPr>
              <w:t>李挥</w:t>
            </w:r>
            <w:r>
              <w:rPr>
                <w:rFonts w:ascii="宋体" w:hAnsi="宋体" w:cs="宋体" w:eastAsia="宋体" w:hint="default"/>
                <w:sz w:val="18"/>
                <w:szCs w:val="18"/>
              </w:rPr>
              <w:t>;</w:t>
            </w:r>
            <w:r>
              <w:rPr>
                <w:rFonts w:ascii="宋体" w:hAnsi="宋体" w:cs="宋体" w:eastAsia="宋体" w:hint="default"/>
                <w:sz w:val="18"/>
                <w:szCs w:val="18"/>
              </w:rPr>
              <w:t>刘</w:t>
            </w:r>
          </w:p>
          <w:p>
            <w:pPr>
              <w:pStyle w:val="TableParagraph"/>
              <w:spacing w:line="319" w:lineRule="auto" w:before="19"/>
              <w:ind w:left="22" w:right="109"/>
              <w:jc w:val="left"/>
              <w:rPr>
                <w:rFonts w:ascii="宋体" w:hAnsi="宋体" w:cs="宋体" w:eastAsia="宋体" w:hint="default"/>
                <w:sz w:val="18"/>
                <w:szCs w:val="18"/>
              </w:rPr>
            </w:pPr>
            <w:r>
              <w:rPr>
                <w:rFonts w:ascii="宋体" w:hAnsi="宋体" w:cs="宋体" w:eastAsia="宋体" w:hint="default"/>
                <w:sz w:val="18"/>
                <w:szCs w:val="18"/>
              </w:rPr>
              <w:t>镇</w:t>
            </w:r>
            <w:r>
              <w:rPr>
                <w:rFonts w:ascii="宋体" w:hAnsi="宋体" w:cs="宋体" w:eastAsia="宋体" w:hint="default"/>
                <w:sz w:val="18"/>
                <w:szCs w:val="18"/>
              </w:rPr>
              <w:t>;</w:t>
            </w:r>
            <w:r>
              <w:rPr>
                <w:rFonts w:ascii="宋体" w:hAnsi="宋体" w:cs="宋体" w:eastAsia="宋体" w:hint="default"/>
                <w:sz w:val="18"/>
                <w:szCs w:val="18"/>
              </w:rPr>
              <w:t>屈先富</w:t>
            </w:r>
            <w:r>
              <w:rPr>
                <w:rFonts w:ascii="宋体" w:hAnsi="宋体" w:cs="宋体" w:eastAsia="宋体" w:hint="default"/>
                <w:sz w:val="18"/>
                <w:szCs w:val="18"/>
              </w:rPr>
              <w:t>; </w:t>
            </w:r>
            <w:r>
              <w:rPr>
                <w:rFonts w:ascii="宋体" w:hAnsi="宋体" w:cs="宋体" w:eastAsia="宋体" w:hint="default"/>
                <w:sz w:val="18"/>
                <w:szCs w:val="18"/>
              </w:rPr>
              <w:t>申成文</w:t>
            </w:r>
            <w:r>
              <w:rPr>
                <w:rFonts w:ascii="宋体" w:hAnsi="宋体" w:cs="宋体" w:eastAsia="宋体" w:hint="default"/>
                <w:sz w:val="18"/>
                <w:szCs w:val="18"/>
              </w:rPr>
              <w:t>;</w:t>
            </w:r>
            <w:r>
              <w:rPr>
                <w:rFonts w:ascii="宋体" w:hAnsi="宋体" w:cs="宋体" w:eastAsia="宋体" w:hint="default"/>
                <w:sz w:val="18"/>
                <w:szCs w:val="18"/>
              </w:rPr>
              <w:t>深圳 市优博讯科 技股份有限 公司</w:t>
            </w:r>
            <w:r>
              <w:rPr>
                <w:rFonts w:ascii="宋体" w:hAnsi="宋体" w:cs="宋体" w:eastAsia="宋体" w:hint="default"/>
                <w:sz w:val="18"/>
                <w:szCs w:val="18"/>
              </w:rPr>
              <w:t>;</w:t>
            </w:r>
            <w:r>
              <w:rPr>
                <w:rFonts w:ascii="宋体" w:hAnsi="宋体" w:cs="宋体" w:eastAsia="宋体" w:hint="default"/>
                <w:sz w:val="18"/>
                <w:szCs w:val="18"/>
              </w:rPr>
              <w:t>仝文 定</w:t>
            </w:r>
            <w:r>
              <w:rPr>
                <w:rFonts w:ascii="宋体" w:hAnsi="宋体" w:cs="宋体" w:eastAsia="宋体" w:hint="default"/>
                <w:sz w:val="18"/>
                <w:szCs w:val="18"/>
              </w:rPr>
              <w:t>;</w:t>
            </w:r>
            <w:r>
              <w:rPr>
                <w:rFonts w:ascii="宋体" w:hAnsi="宋体" w:cs="宋体" w:eastAsia="宋体" w:hint="default"/>
                <w:sz w:val="18"/>
                <w:szCs w:val="18"/>
              </w:rPr>
              <w:t>王勤红</w:t>
            </w:r>
            <w:r>
              <w:rPr>
                <w:rFonts w:ascii="宋体" w:hAnsi="宋体" w:cs="宋体" w:eastAsia="宋体" w:hint="default"/>
                <w:sz w:val="18"/>
                <w:szCs w:val="18"/>
              </w:rPr>
              <w:t>; </w:t>
            </w:r>
            <w:r>
              <w:rPr>
                <w:rFonts w:ascii="宋体" w:hAnsi="宋体" w:cs="宋体" w:eastAsia="宋体" w:hint="default"/>
                <w:sz w:val="18"/>
                <w:szCs w:val="18"/>
              </w:rPr>
              <w:t>香港优博讯 科技控股集 团有限公司</w:t>
            </w:r>
            <w:r>
              <w:rPr>
                <w:rFonts w:ascii="宋体" w:hAnsi="宋体" w:cs="宋体" w:eastAsia="宋体" w:hint="default"/>
                <w:sz w:val="18"/>
                <w:szCs w:val="18"/>
              </w:rPr>
              <w:t>; </w:t>
            </w:r>
            <w:r>
              <w:rPr>
                <w:rFonts w:ascii="宋体" w:hAnsi="宋体" w:cs="宋体" w:eastAsia="宋体" w:hint="default"/>
                <w:sz w:val="18"/>
                <w:szCs w:val="18"/>
              </w:rPr>
              <w:t>杨彦彰</w:t>
            </w:r>
            <w:r>
              <w:rPr>
                <w:rFonts w:ascii="宋体" w:hAnsi="宋体" w:cs="宋体" w:eastAsia="宋体" w:hint="default"/>
                <w:sz w:val="18"/>
                <w:szCs w:val="18"/>
              </w:rPr>
              <w:t>;</w:t>
            </w:r>
            <w:r>
              <w:rPr>
                <w:rFonts w:ascii="宋体" w:hAnsi="宋体" w:cs="宋体" w:eastAsia="宋体" w:hint="default"/>
                <w:sz w:val="18"/>
                <w:szCs w:val="18"/>
              </w:rPr>
              <w:t>于雪 磊</w:t>
            </w:r>
            <w:r>
              <w:rPr>
                <w:rFonts w:ascii="宋体" w:hAnsi="宋体" w:cs="宋体" w:eastAsia="宋体" w:hint="default"/>
                <w:sz w:val="18"/>
                <w:szCs w:val="18"/>
              </w:rPr>
              <w:t>;</w:t>
            </w:r>
            <w:r>
              <w:rPr>
                <w:rFonts w:ascii="宋体" w:hAnsi="宋体" w:cs="宋体" w:eastAsia="宋体" w:hint="default"/>
                <w:sz w:val="18"/>
                <w:szCs w:val="18"/>
              </w:rPr>
              <w:t>郁小娇</w:t>
            </w:r>
          </w:p>
        </w:tc>
        <w:tc>
          <w:tcPr>
            <w:tcW w:w="45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05"/>
              <w:ind w:left="22" w:right="1"/>
              <w:jc w:val="left"/>
              <w:rPr>
                <w:rFonts w:ascii="宋体" w:hAnsi="宋体" w:cs="宋体" w:eastAsia="宋体" w:hint="default"/>
                <w:sz w:val="18"/>
                <w:szCs w:val="18"/>
              </w:rPr>
            </w:pPr>
            <w:r>
              <w:rPr>
                <w:rFonts w:ascii="宋体" w:hAnsi="宋体" w:cs="宋体" w:eastAsia="宋体" w:hint="default"/>
                <w:spacing w:val="-4"/>
                <w:sz w:val="18"/>
                <w:szCs w:val="18"/>
              </w:rPr>
              <w:t>发行人及发行人控股股东、实际控制人、</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监事、高级管理人员关于赔偿投资者损失承诺函 深圳市 </w:t>
            </w:r>
            <w:r>
              <w:rPr>
                <w:rFonts w:ascii="宋体" w:hAnsi="宋体" w:cs="宋体" w:eastAsia="宋体" w:hint="default"/>
                <w:spacing w:val="-4"/>
                <w:sz w:val="18"/>
                <w:szCs w:val="18"/>
              </w:rPr>
              <w:t>优博讯科技股份有限公司（下称“发行人”）拟申请首次</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公开发行人民币普通股（</w:t>
            </w:r>
            <w:r>
              <w:rPr>
                <w:rFonts w:ascii="宋体" w:hAnsi="宋体" w:cs="宋体" w:eastAsia="宋体" w:hint="default"/>
                <w:sz w:val="18"/>
                <w:szCs w:val="18"/>
              </w:rPr>
              <w:t>A</w:t>
            </w:r>
            <w:r>
              <w:rPr>
                <w:rFonts w:ascii="宋体" w:hAnsi="宋体" w:cs="宋体" w:eastAsia="宋体" w:hint="default"/>
                <w:spacing w:val="-46"/>
                <w:sz w:val="18"/>
                <w:szCs w:val="18"/>
              </w:rPr>
              <w:t> </w:t>
            </w:r>
            <w:r>
              <w:rPr>
                <w:rFonts w:ascii="宋体" w:hAnsi="宋体" w:cs="宋体" w:eastAsia="宋体" w:hint="default"/>
                <w:sz w:val="18"/>
                <w:szCs w:val="18"/>
              </w:rPr>
              <w:t>股）股票并在创业板上市（下 </w:t>
            </w:r>
            <w:r>
              <w:rPr>
                <w:rFonts w:ascii="宋体" w:hAnsi="宋体" w:cs="宋体" w:eastAsia="宋体" w:hint="default"/>
                <w:spacing w:val="-8"/>
                <w:sz w:val="18"/>
                <w:szCs w:val="18"/>
              </w:rPr>
              <w:t>称“首次公开发行上市”），为首次公开发行上市，发行人</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编制了《深圳市优博讯科技股份有限公司首次公开发行股</w:t>
            </w:r>
            <w:r>
              <w:rPr>
                <w:rFonts w:ascii="宋体" w:hAnsi="宋体" w:cs="宋体" w:eastAsia="宋体" w:hint="default"/>
                <w:sz w:val="18"/>
                <w:szCs w:val="18"/>
              </w:rPr>
              <w:t> </w:t>
            </w:r>
            <w:r>
              <w:rPr>
                <w:rFonts w:ascii="宋体" w:hAnsi="宋体" w:cs="宋体" w:eastAsia="宋体" w:hint="default"/>
                <w:spacing w:val="-14"/>
                <w:sz w:val="18"/>
                <w:szCs w:val="18"/>
              </w:rPr>
              <w:t>票并在创业板上市招股说明书》（下称“《招股说明书》”）</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及其他相关文件。为维护公众投资者的利益，发行人及发</w:t>
            </w:r>
            <w:r>
              <w:rPr>
                <w:rFonts w:ascii="宋体" w:hAnsi="宋体" w:cs="宋体" w:eastAsia="宋体" w:hint="default"/>
                <w:sz w:val="18"/>
                <w:szCs w:val="18"/>
              </w:rPr>
              <w:t> 行人控股股东、实际控制人、发行人全体董事、监事、高 级管理人员承诺如下： 如发行人《招股说明书》存在虚 假记载、误导性陈述或者重大遗漏，并因此给投资者造成 直接损失的，本公司（或本人）将依法就上述事项向投资 者承担连带赔偿责任，但本公司（或本人）能够证明自己 没有过错的除外。</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340" w:lineRule="exact"/>
              <w:ind w:right="-51"/>
              <w:jc w:val="left"/>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46"/>
                <w:sz w:val="20"/>
                <w:szCs w:val="20"/>
              </w:rPr>
              <w:pict>
                <v:group style="width:49.15pt;height:117pt;mso-position-horizontal-relative:char;mso-position-vertical-relative:line" coordorigin="0,0" coordsize="983,2340">
                  <v:group style="position:absolute;left:0;top:0;width:983;height:2340" coordorigin="0,0" coordsize="983,2340">
                    <v:shape style="position:absolute;left:0;top:0;width:983;height:2340" coordorigin="0,0" coordsize="983,2340" path="m0,2340l983,2340,983,0,0,0,0,2340xe" filled="true" fillcolor="#ffffff" stroked="false">
                      <v:path arrowok="t"/>
                      <v:fill type="solid"/>
                    </v:shape>
                  </v:group>
                </v:group>
              </w:pict>
            </w:r>
            <w:r>
              <w:rPr>
                <w:rFonts w:ascii="Times New Roman" w:hAnsi="Times New Roman" w:cs="Times New Roman" w:eastAsia="Times New Roman" w:hint="default"/>
                <w:position w:val="-46"/>
                <w:sz w:val="20"/>
                <w:szCs w:val="20"/>
              </w:rPr>
            </w:r>
          </w:p>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08</w:t>
            </w:r>
          </w:p>
          <w:p>
            <w:pPr>
              <w:pStyle w:val="TableParagraph"/>
              <w:spacing w:line="240" w:lineRule="auto" w:before="76"/>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09</w:t>
            </w:r>
            <w:r>
              <w:rPr>
                <w:rFonts w:ascii="宋体" w:hAnsi="宋体" w:cs="宋体" w:eastAsia="宋体" w:hint="default"/>
                <w:spacing w:val="-46"/>
                <w:sz w:val="18"/>
                <w:szCs w:val="18"/>
              </w:rPr>
              <w:t> </w:t>
            </w:r>
            <w:r>
              <w:rPr>
                <w:rFonts w:ascii="宋体" w:hAnsi="宋体" w:cs="宋体" w:eastAsia="宋体" w:hint="default"/>
                <w:sz w:val="18"/>
                <w:szCs w:val="18"/>
              </w:rPr>
              <w:t>日</w:t>
            </w: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3"/>
              <w:ind w:right="0"/>
              <w:jc w:val="left"/>
              <w:rPr>
                <w:rFonts w:ascii="Times New Roman" w:hAnsi="Times New Roman" w:cs="Times New Roman" w:eastAsia="Times New Roman" w:hint="default"/>
                <w:sz w:val="28"/>
                <w:szCs w:val="28"/>
              </w:rPr>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长期有效</w:t>
            </w:r>
          </w:p>
        </w:tc>
        <w:tc>
          <w:tcPr>
            <w:tcW w:w="5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1"/>
              <w:ind w:left="22" w:right="137"/>
              <w:jc w:val="both"/>
              <w:rPr>
                <w:rFonts w:ascii="宋体" w:hAnsi="宋体" w:cs="宋体" w:eastAsia="宋体" w:hint="default"/>
                <w:sz w:val="18"/>
                <w:szCs w:val="18"/>
              </w:rPr>
            </w:pPr>
            <w:r>
              <w:rPr>
                <w:rFonts w:ascii="宋体" w:hAnsi="宋体" w:cs="宋体" w:eastAsia="宋体" w:hint="default"/>
                <w:sz w:val="18"/>
                <w:szCs w:val="18"/>
              </w:rPr>
              <w:t>承诺 人严 格遵 守了 该项 承诺</w:t>
            </w:r>
          </w:p>
        </w:tc>
      </w:tr>
      <w:tr>
        <w:trPr>
          <w:trHeight w:val="402" w:hRule="exact"/>
        </w:trPr>
        <w:tc>
          <w:tcPr>
            <w:tcW w:w="719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2372"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719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如承诺超期未履行完毕的，应当详细说明未完成履行的具体原因及下一步的工作计划</w:t>
            </w:r>
          </w:p>
        </w:tc>
        <w:tc>
          <w:tcPr>
            <w:tcW w:w="2372" w:type="dxa"/>
            <w:gridSpan w:val="3"/>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10"/>
        <w:rPr>
          <w:rFonts w:ascii="Times New Roman" w:hAnsi="Times New Roman" w:cs="Times New Roman" w:eastAsia="Times New Roman" w:hint="default"/>
          <w:sz w:val="21"/>
          <w:szCs w:val="21"/>
        </w:rPr>
      </w:pPr>
    </w:p>
    <w:p>
      <w:pPr>
        <w:pStyle w:val="Heading3"/>
        <w:spacing w:line="259" w:lineRule="auto" w:before="35"/>
        <w:ind w:right="1134"/>
        <w:jc w:val="left"/>
        <w:rPr>
          <w:b w:val="0"/>
          <w:bCs w:val="0"/>
        </w:rPr>
      </w:pPr>
      <w:bookmarkStart w:name="2、公司资产或项目存在盈利预测，且报告期仍处在盈利预测期间，公司就资产或项目达到" w:id="66"/>
      <w:bookmarkEnd w:id="66"/>
      <w:r>
        <w:rPr>
          <w:b w:val="0"/>
          <w:bCs w:val="0"/>
        </w:rPr>
      </w:r>
      <w:r>
        <w:rPr>
          <w:rFonts w:ascii="Times New Roman" w:hAnsi="Times New Roman" w:cs="Times New Roman" w:eastAsia="Times New Roman" w:hint="default"/>
        </w:rPr>
        <w:t>2</w:t>
      </w:r>
      <w:r>
        <w:rPr/>
        <w:t>、公司资产或项目存在盈利预测，且报告期仍处在盈利预测期间，公司就资产或项目达到原盈利预测及</w:t>
      </w:r>
      <w:r>
        <w:rPr>
          <w:spacing w:val="-74"/>
        </w:rPr>
        <w:t> </w:t>
      </w:r>
      <w:r>
        <w:rPr>
          <w:spacing w:val="-74"/>
        </w:rPr>
      </w:r>
      <w:r>
        <w:rPr/>
        <w:t>其原因做出说明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4"/>
        <w:jc w:val="left"/>
      </w:pPr>
      <w:r>
        <w:rPr/>
        <w:pict>
          <v:group style="position:absolute;margin-left:433.799988pt;margin-top:86.431717pt;width:40.15pt;height:17.6pt;mso-position-horizontal-relative:page;mso-position-vertical-relative:paragraph;z-index:-1012720" coordorigin="8676,1729" coordsize="803,352">
            <v:shape style="position:absolute;left:8676;top:1729;width:803;height:352" coordorigin="8676,1729" coordsize="803,352" path="m8676,2080l9479,2080,9479,1729,8676,1729,8676,2080xe" filled="true" fillcolor="#ffffff" stroked="false">
              <v:path arrowok="t"/>
              <v:fill type="solid"/>
            </v:shape>
            <w10:wrap type="none"/>
          </v:group>
        </w:pict>
      </w: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1276"/>
        <w:gridCol w:w="852"/>
        <w:gridCol w:w="991"/>
        <w:gridCol w:w="1134"/>
        <w:gridCol w:w="1134"/>
        <w:gridCol w:w="2127"/>
        <w:gridCol w:w="859"/>
        <w:gridCol w:w="1195"/>
      </w:tblGrid>
      <w:tr>
        <w:trPr>
          <w:trHeight w:val="713" w:hRule="exact"/>
        </w:trPr>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82" w:right="93" w:hanging="90"/>
              <w:jc w:val="left"/>
              <w:rPr>
                <w:rFonts w:ascii="宋体" w:hAnsi="宋体" w:cs="宋体" w:eastAsia="宋体" w:hint="default"/>
                <w:sz w:val="18"/>
                <w:szCs w:val="18"/>
              </w:rPr>
            </w:pPr>
            <w:r>
              <w:rPr>
                <w:rFonts w:ascii="宋体" w:hAnsi="宋体" w:cs="宋体" w:eastAsia="宋体" w:hint="default"/>
                <w:sz w:val="18"/>
                <w:szCs w:val="18"/>
              </w:rPr>
              <w:t>盈利预测资产 或项目名称</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41" w:right="59" w:hanging="180"/>
              <w:jc w:val="left"/>
              <w:rPr>
                <w:rFonts w:ascii="宋体" w:hAnsi="宋体" w:cs="宋体" w:eastAsia="宋体" w:hint="default"/>
                <w:sz w:val="18"/>
                <w:szCs w:val="18"/>
              </w:rPr>
            </w:pPr>
            <w:r>
              <w:rPr>
                <w:rFonts w:ascii="宋体" w:hAnsi="宋体" w:cs="宋体" w:eastAsia="宋体" w:hint="default"/>
                <w:sz w:val="18"/>
                <w:szCs w:val="18"/>
              </w:rPr>
              <w:t>预测起始 时间</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00" w:right="38" w:hanging="360"/>
              <w:jc w:val="left"/>
              <w:rPr>
                <w:rFonts w:ascii="宋体" w:hAnsi="宋体" w:cs="宋体" w:eastAsia="宋体" w:hint="default"/>
                <w:sz w:val="18"/>
                <w:szCs w:val="18"/>
              </w:rPr>
            </w:pPr>
            <w:r>
              <w:rPr>
                <w:rFonts w:ascii="宋体" w:hAnsi="宋体" w:cs="宋体" w:eastAsia="宋体" w:hint="default"/>
                <w:sz w:val="18"/>
                <w:szCs w:val="18"/>
              </w:rPr>
              <w:t>预测终止时 间</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1" w:right="111"/>
              <w:jc w:val="left"/>
              <w:rPr>
                <w:rFonts w:ascii="宋体" w:hAnsi="宋体" w:cs="宋体" w:eastAsia="宋体" w:hint="default"/>
                <w:sz w:val="18"/>
                <w:szCs w:val="18"/>
              </w:rPr>
            </w:pPr>
            <w:r>
              <w:rPr>
                <w:rFonts w:ascii="宋体" w:hAnsi="宋体" w:cs="宋体" w:eastAsia="宋体" w:hint="default"/>
                <w:sz w:val="18"/>
                <w:szCs w:val="18"/>
              </w:rPr>
              <w:t>当期预测业 绩（万元）</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1" w:right="110"/>
              <w:jc w:val="left"/>
              <w:rPr>
                <w:rFonts w:ascii="宋体" w:hAnsi="宋体" w:cs="宋体" w:eastAsia="宋体" w:hint="default"/>
                <w:sz w:val="18"/>
                <w:szCs w:val="18"/>
              </w:rPr>
            </w:pPr>
            <w:r>
              <w:rPr>
                <w:rFonts w:ascii="宋体" w:hAnsi="宋体" w:cs="宋体" w:eastAsia="宋体" w:hint="default"/>
                <w:sz w:val="18"/>
                <w:szCs w:val="18"/>
              </w:rPr>
              <w:t>当期实际业 绩（万元）</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未达预测的原因（如适用</w:t>
            </w:r>
          </w:p>
        </w:tc>
        <w:tc>
          <w:tcPr>
            <w:tcW w:w="8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96" w:lineRule="exact" w:before="52"/>
              <w:ind w:left="63" w:right="0"/>
              <w:jc w:val="left"/>
              <w:rPr>
                <w:rFonts w:ascii="宋体" w:hAnsi="宋体" w:cs="宋体" w:eastAsia="宋体" w:hint="default"/>
                <w:sz w:val="18"/>
                <w:szCs w:val="18"/>
              </w:rPr>
            </w:pPr>
            <w:r>
              <w:rPr>
                <w:rFonts w:ascii="宋体" w:hAnsi="宋体" w:cs="宋体" w:eastAsia="宋体" w:hint="default"/>
                <w:sz w:val="18"/>
                <w:szCs w:val="18"/>
              </w:rPr>
              <w:t>原预测披</w:t>
            </w:r>
          </w:p>
          <w:p>
            <w:pPr>
              <w:pStyle w:val="TableParagraph"/>
              <w:spacing w:line="156" w:lineRule="exact"/>
              <w:ind w:left="-125"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196" w:lineRule="exact"/>
              <w:ind w:left="153" w:right="0"/>
              <w:jc w:val="left"/>
              <w:rPr>
                <w:rFonts w:ascii="宋体" w:hAnsi="宋体" w:cs="宋体" w:eastAsia="宋体" w:hint="default"/>
                <w:sz w:val="18"/>
                <w:szCs w:val="18"/>
              </w:rPr>
            </w:pPr>
            <w:r>
              <w:rPr>
                <w:rFonts w:ascii="宋体" w:hAnsi="宋体" w:cs="宋体" w:eastAsia="宋体" w:hint="default"/>
                <w:sz w:val="18"/>
                <w:szCs w:val="18"/>
              </w:rPr>
              <w:t>露日期</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502" w:right="50" w:hanging="450"/>
              <w:jc w:val="left"/>
              <w:rPr>
                <w:rFonts w:ascii="宋体" w:hAnsi="宋体" w:cs="宋体" w:eastAsia="宋体" w:hint="default"/>
                <w:sz w:val="18"/>
                <w:szCs w:val="18"/>
              </w:rPr>
            </w:pPr>
            <w:r>
              <w:rPr>
                <w:rFonts w:ascii="宋体" w:hAnsi="宋体" w:cs="宋体" w:eastAsia="宋体" w:hint="default"/>
                <w:sz w:val="18"/>
                <w:szCs w:val="18"/>
              </w:rPr>
              <w:t>原预测披露索 引</w:t>
            </w:r>
          </w:p>
        </w:tc>
      </w:tr>
      <w:tr>
        <w:trPr>
          <w:trHeight w:val="1340" w:hRule="exact"/>
        </w:trPr>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2" w:right="21"/>
              <w:jc w:val="left"/>
              <w:rPr>
                <w:rFonts w:ascii="宋体" w:hAnsi="宋体" w:cs="宋体" w:eastAsia="宋体" w:hint="default"/>
                <w:sz w:val="18"/>
                <w:szCs w:val="18"/>
              </w:rPr>
            </w:pPr>
            <w:r>
              <w:rPr>
                <w:rFonts w:ascii="宋体" w:hAnsi="宋体" w:cs="宋体" w:eastAsia="宋体" w:hint="default"/>
                <w:spacing w:val="-6"/>
                <w:sz w:val="18"/>
                <w:szCs w:val="18"/>
              </w:rPr>
              <w:t>瑞柏泰（公司持</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51%</w:t>
            </w:r>
            <w:r>
              <w:rPr>
                <w:rFonts w:ascii="宋体" w:hAnsi="宋体" w:cs="宋体" w:eastAsia="宋体" w:hint="default"/>
                <w:sz w:val="18"/>
                <w:szCs w:val="18"/>
              </w:rPr>
              <w:t>股权）</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01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696" w:right="0"/>
              <w:jc w:val="left"/>
              <w:rPr>
                <w:rFonts w:ascii="Times New Roman" w:hAnsi="Times New Roman" w:cs="Times New Roman" w:eastAsia="Times New Roman" w:hint="default"/>
                <w:sz w:val="18"/>
                <w:szCs w:val="18"/>
              </w:rPr>
            </w:pPr>
            <w:r>
              <w:rPr>
                <w:rFonts w:ascii="Times New Roman"/>
                <w:sz w:val="18"/>
              </w:rPr>
              <w:t>2,800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470" w:right="0"/>
              <w:jc w:val="left"/>
              <w:rPr>
                <w:rFonts w:ascii="Times New Roman" w:hAnsi="Times New Roman" w:cs="Times New Roman" w:eastAsia="Times New Roman" w:hint="default"/>
                <w:sz w:val="18"/>
                <w:szCs w:val="18"/>
              </w:rPr>
            </w:pPr>
            <w:r>
              <w:rPr>
                <w:rFonts w:ascii="Times New Roman"/>
                <w:sz w:val="18"/>
              </w:rPr>
              <w:t>2,656.72</w:t>
            </w:r>
          </w:p>
        </w:tc>
        <w:tc>
          <w:tcPr>
            <w:tcW w:w="2127" w:type="dxa"/>
            <w:tcBorders>
              <w:top w:val="single" w:sz="4" w:space="0" w:color="000000"/>
              <w:left w:val="single" w:sz="4" w:space="0" w:color="000000"/>
              <w:bottom w:val="single" w:sz="4" w:space="0" w:color="000000"/>
              <w:right w:val="single" w:sz="9" w:space="0" w:color="FFFFFF"/>
            </w:tcBorders>
          </w:tcPr>
          <w:p>
            <w:pPr>
              <w:pStyle w:val="TableParagraph"/>
              <w:spacing w:line="316" w:lineRule="auto" w:before="53"/>
              <w:ind w:left="22" w:right="-39"/>
              <w:jc w:val="left"/>
              <w:rPr>
                <w:rFonts w:ascii="宋体" w:hAnsi="宋体" w:cs="宋体" w:eastAsia="宋体" w:hint="default"/>
                <w:sz w:val="18"/>
                <w:szCs w:val="18"/>
              </w:rPr>
            </w:pPr>
            <w:r>
              <w:rPr>
                <w:rFonts w:ascii="宋体" w:hAnsi="宋体" w:cs="宋体" w:eastAsia="宋体" w:hint="default"/>
                <w:sz w:val="18"/>
                <w:szCs w:val="18"/>
              </w:rPr>
              <w:t>瑞柏泰业务按经营计划有 </w:t>
            </w:r>
            <w:r>
              <w:rPr>
                <w:rFonts w:ascii="宋体" w:hAnsi="宋体" w:cs="宋体" w:eastAsia="宋体" w:hint="default"/>
                <w:spacing w:val="-8"/>
                <w:sz w:val="18"/>
                <w:szCs w:val="18"/>
              </w:rPr>
              <w:t>序开展，但因供应商交货延</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3"/>
                <w:sz w:val="18"/>
                <w:szCs w:val="18"/>
              </w:rPr>
              <w:t>迟致使个别项目交付延期，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导致未实现业绩承诺</w:t>
            </w:r>
          </w:p>
        </w:tc>
        <w:tc>
          <w:tcPr>
            <w:tcW w:w="859" w:type="dxa"/>
            <w:tcBorders>
              <w:top w:val="single" w:sz="4" w:space="0" w:color="000000"/>
              <w:left w:val="single" w:sz="9"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6"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16"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338" w:lineRule="auto"/>
              <w:ind w:left="22" w:right="8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公告编号： </w:t>
            </w:r>
            <w:r>
              <w:rPr>
                <w:rFonts w:ascii="Times New Roman" w:hAnsi="Times New Roman" w:cs="Times New Roman" w:eastAsia="Times New Roman" w:hint="default"/>
                <w:sz w:val="18"/>
                <w:szCs w:val="18"/>
              </w:rPr>
              <w:t>2017-008</w:t>
            </w:r>
          </w:p>
        </w:tc>
      </w:tr>
    </w:tbl>
    <w:p>
      <w:pPr>
        <w:spacing w:after="0" w:line="338"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276"/>
        <w:gridCol w:w="852"/>
        <w:gridCol w:w="991"/>
        <w:gridCol w:w="1134"/>
        <w:gridCol w:w="1134"/>
        <w:gridCol w:w="2127"/>
        <w:gridCol w:w="859"/>
        <w:gridCol w:w="1195"/>
      </w:tblGrid>
      <w:tr>
        <w:trPr>
          <w:trHeight w:val="1026" w:hRule="exact"/>
        </w:trPr>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22" w:right="21"/>
              <w:jc w:val="left"/>
              <w:rPr>
                <w:rFonts w:ascii="宋体" w:hAnsi="宋体" w:cs="宋体" w:eastAsia="宋体" w:hint="default"/>
                <w:sz w:val="18"/>
                <w:szCs w:val="18"/>
              </w:rPr>
            </w:pPr>
            <w:r>
              <w:rPr>
                <w:rFonts w:ascii="宋体" w:hAnsi="宋体" w:cs="宋体" w:eastAsia="宋体" w:hint="default"/>
                <w:spacing w:val="-6"/>
                <w:sz w:val="18"/>
                <w:szCs w:val="18"/>
              </w:rPr>
              <w:t>上海芝柯（公司</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27.50%</w:t>
            </w:r>
            <w:r>
              <w:rPr>
                <w:rFonts w:ascii="宋体" w:hAnsi="宋体" w:cs="宋体" w:eastAsia="宋体" w:hint="default"/>
                <w:sz w:val="18"/>
                <w:szCs w:val="18"/>
              </w:rPr>
              <w:t>股 权）</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800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1,513.78</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22" w:right="8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公告编号： </w:t>
            </w:r>
            <w:r>
              <w:rPr>
                <w:rFonts w:ascii="Times New Roman" w:hAnsi="Times New Roman" w:cs="Times New Roman" w:eastAsia="Times New Roman" w:hint="default"/>
                <w:sz w:val="18"/>
                <w:szCs w:val="18"/>
              </w:rPr>
              <w:t>2017-066</w:t>
            </w:r>
          </w:p>
        </w:tc>
      </w:tr>
      <w:tr>
        <w:trPr>
          <w:trHeight w:val="1026" w:hRule="exact"/>
        </w:trPr>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2" w:right="21"/>
              <w:jc w:val="left"/>
              <w:rPr>
                <w:rFonts w:ascii="宋体" w:hAnsi="宋体" w:cs="宋体" w:eastAsia="宋体" w:hint="default"/>
                <w:sz w:val="18"/>
                <w:szCs w:val="18"/>
              </w:rPr>
            </w:pPr>
            <w:r>
              <w:rPr>
                <w:rFonts w:ascii="宋体" w:hAnsi="宋体" w:cs="宋体" w:eastAsia="宋体" w:hint="default"/>
                <w:spacing w:val="-6"/>
                <w:sz w:val="18"/>
                <w:szCs w:val="18"/>
              </w:rPr>
              <w:t>中世顺（公司持</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股权）</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1,100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1,520.00</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8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10</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338" w:lineRule="auto" w:before="51"/>
              <w:ind w:left="22" w:right="8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 公告编号： </w:t>
            </w:r>
            <w:r>
              <w:rPr>
                <w:rFonts w:ascii="Times New Roman" w:hAnsi="Times New Roman" w:cs="Times New Roman" w:eastAsia="Times New Roman" w:hint="default"/>
                <w:sz w:val="18"/>
                <w:szCs w:val="18"/>
              </w:rPr>
              <w:t>2017-082</w:t>
            </w:r>
          </w:p>
        </w:tc>
      </w:tr>
    </w:tbl>
    <w:p>
      <w:pPr>
        <w:pStyle w:val="BodyText"/>
        <w:spacing w:line="240" w:lineRule="auto" w:before="51"/>
        <w:ind w:right="0"/>
        <w:jc w:val="both"/>
      </w:pPr>
      <w:r>
        <w:rPr/>
        <w:t>公司股东、交易对手方对公司或相关资产年度经营业绩作出的承诺情况</w:t>
      </w:r>
    </w:p>
    <w:p>
      <w:pPr>
        <w:pStyle w:val="BodyText"/>
        <w:spacing w:line="240" w:lineRule="auto" w:before="117"/>
        <w:ind w:right="0"/>
        <w:jc w:val="both"/>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514" w:right="1134"/>
        <w:jc w:val="left"/>
      </w:pPr>
      <w:r>
        <w:rPr/>
        <w:t>（</w:t>
      </w:r>
      <w:r>
        <w:rPr>
          <w:rFonts w:ascii="Times New Roman" w:hAnsi="Times New Roman" w:cs="Times New Roman" w:eastAsia="Times New Roman" w:hint="default"/>
        </w:rPr>
        <w:t>1</w:t>
      </w:r>
      <w:r>
        <w:rPr/>
        <w:t>）深圳市瑞柏泰电子有限公司</w:t>
      </w:r>
    </w:p>
    <w:p>
      <w:pPr>
        <w:pStyle w:val="BodyText"/>
        <w:spacing w:line="300" w:lineRule="auto" w:before="102"/>
        <w:ind w:right="1130" w:firstLine="360"/>
        <w:jc w:val="both"/>
      </w:pPr>
      <w:r>
        <w:rPr/>
        <w:t>根据公司与深圳市柏士泰科技有限公司及瑞柏泰实际控制人蔡敏女士于 </w:t>
      </w:r>
      <w:r>
        <w:rPr>
          <w:rFonts w:ascii="Times New Roman" w:hAnsi="Times New Roman" w:cs="Times New Roman" w:eastAsia="Times New Roman" w:hint="default"/>
        </w:rPr>
        <w:t>2017 </w:t>
      </w:r>
      <w:r>
        <w:rPr/>
        <w:t>年 </w:t>
      </w:r>
      <w:r>
        <w:rPr>
          <w:rFonts w:ascii="Times New Roman" w:hAnsi="Times New Roman" w:cs="Times New Roman" w:eastAsia="Times New Roman" w:hint="default"/>
        </w:rPr>
        <w:t>3 </w:t>
      </w:r>
      <w:r>
        <w:rPr/>
        <w:t>月 </w:t>
      </w:r>
      <w:r>
        <w:rPr>
          <w:rFonts w:ascii="Times New Roman" w:hAnsi="Times New Roman" w:cs="Times New Roman" w:eastAsia="Times New Roman" w:hint="default"/>
        </w:rPr>
        <w:t>13</w:t>
      </w:r>
      <w:r>
        <w:rPr>
          <w:rFonts w:ascii="Times New Roman" w:hAnsi="Times New Roman" w:cs="Times New Roman" w:eastAsia="Times New Roman" w:hint="default"/>
          <w:spacing w:val="-7"/>
        </w:rPr>
        <w:t> </w:t>
      </w:r>
      <w:r>
        <w:rPr>
          <w:spacing w:val="-6"/>
        </w:rPr>
        <w:t>日签署的《关于深圳市瑞柏泰</w:t>
      </w:r>
      <w:r>
        <w:rPr/>
        <w:t> 电子有限公司之股权转让协议》约定，瑞柏泰业绩承诺：</w:t>
      </w:r>
      <w:r>
        <w:rPr>
          <w:rFonts w:ascii="Times New Roman" w:hAnsi="Times New Roman" w:cs="Times New Roman" w:eastAsia="Times New Roman" w:hint="default"/>
        </w:rPr>
        <w:t>2017</w:t>
      </w:r>
      <w:r>
        <w:rPr/>
        <w:t>年度不低于</w:t>
      </w:r>
      <w:r>
        <w:rPr>
          <w:rFonts w:ascii="Times New Roman" w:hAnsi="Times New Roman" w:cs="Times New Roman" w:eastAsia="Times New Roman" w:hint="default"/>
        </w:rPr>
        <w:t>2,400</w:t>
      </w:r>
      <w:r>
        <w:rPr/>
        <w:t>万元，</w:t>
      </w:r>
      <w:r>
        <w:rPr>
          <w:rFonts w:ascii="Times New Roman" w:hAnsi="Times New Roman" w:cs="Times New Roman" w:eastAsia="Times New Roman" w:hint="default"/>
        </w:rPr>
        <w:t>2018</w:t>
      </w:r>
      <w:r>
        <w:rPr/>
        <w:t>年度不低于</w:t>
      </w:r>
      <w:r>
        <w:rPr>
          <w:rFonts w:ascii="Times New Roman" w:hAnsi="Times New Roman" w:cs="Times New Roman" w:eastAsia="Times New Roman" w:hint="default"/>
        </w:rPr>
        <w:t>2,800</w:t>
      </w:r>
      <w:r>
        <w:rPr/>
        <w:t>万元，</w:t>
      </w:r>
      <w:r>
        <w:rPr>
          <w:rFonts w:ascii="Times New Roman" w:hAnsi="Times New Roman" w:cs="Times New Roman" w:eastAsia="Times New Roman" w:hint="default"/>
        </w:rPr>
        <w:t>2019</w:t>
      </w:r>
      <w:r>
        <w:rPr/>
        <w:t>年度 不低于</w:t>
      </w:r>
      <w:r>
        <w:rPr>
          <w:rFonts w:ascii="Times New Roman" w:hAnsi="Times New Roman" w:cs="Times New Roman" w:eastAsia="Times New Roman" w:hint="default"/>
        </w:rPr>
        <w:t>3,100</w:t>
      </w:r>
      <w:r>
        <w:rPr/>
        <w:t>万元。业绩承诺补偿期间内，若瑞柏泰实际实现的净利润数小于同期承诺净利润数的，柏士泰应当按照以下公 式对优博讯进行补偿：当年应补偿金额＝（截止当期期末累积承诺净利润数</w:t>
      </w:r>
      <w:r>
        <w:rPr>
          <w:rFonts w:ascii="Times New Roman" w:hAnsi="Times New Roman" w:cs="Times New Roman" w:eastAsia="Times New Roman" w:hint="default"/>
        </w:rPr>
        <w:t>—</w:t>
      </w:r>
      <w:r>
        <w:rPr/>
        <w:t>截止当期期末累积实际净利润数）</w:t>
      </w:r>
      <w:r>
        <w:rPr>
          <w:rFonts w:ascii="Times New Roman" w:hAnsi="Times New Roman" w:cs="Times New Roman" w:eastAsia="Times New Roman" w:hint="default"/>
        </w:rPr>
        <w:t>÷</w:t>
      </w:r>
      <w:r>
        <w:rPr/>
        <w:t>业绩承诺 补偿期间内累积承诺净利润数总和</w:t>
      </w:r>
      <w:r>
        <w:rPr>
          <w:rFonts w:ascii="Times New Roman" w:hAnsi="Times New Roman" w:cs="Times New Roman" w:eastAsia="Times New Roman" w:hint="default"/>
        </w:rPr>
        <w:t>×</w:t>
      </w:r>
      <w:r>
        <w:rPr/>
        <w:t>标的股权交易价格</w:t>
      </w:r>
      <w:r>
        <w:rPr>
          <w:rFonts w:ascii="Times New Roman" w:hAnsi="Times New Roman" w:cs="Times New Roman" w:eastAsia="Times New Roman" w:hint="default"/>
        </w:rPr>
        <w:t>—</w:t>
      </w:r>
      <w:r>
        <w:rPr/>
        <w:t>已补偿金额。</w:t>
      </w:r>
    </w:p>
    <w:p>
      <w:pPr>
        <w:pStyle w:val="BodyText"/>
        <w:spacing w:line="240" w:lineRule="auto" w:before="52"/>
        <w:ind w:left="514" w:right="1134"/>
        <w:jc w:val="left"/>
      </w:pPr>
      <w:r>
        <w:rPr/>
        <w:t>（</w:t>
      </w:r>
      <w:r>
        <w:rPr>
          <w:rFonts w:ascii="Times New Roman" w:hAnsi="Times New Roman" w:cs="Times New Roman" w:eastAsia="Times New Roman" w:hint="default"/>
        </w:rPr>
        <w:t>2</w:t>
      </w:r>
      <w:r>
        <w:rPr/>
        <w:t>）上海芝柯智能科技有限公司</w:t>
      </w:r>
    </w:p>
    <w:p>
      <w:pPr>
        <w:pStyle w:val="BodyText"/>
        <w:spacing w:line="304" w:lineRule="auto" w:before="101"/>
        <w:ind w:right="1131" w:firstLine="360"/>
        <w:jc w:val="both"/>
      </w:pPr>
      <w:r>
        <w:rPr/>
        <w:t>根据公司、葛学敏、牛素侠于 </w:t>
      </w:r>
      <w:r>
        <w:rPr>
          <w:rFonts w:ascii="Times New Roman" w:hAnsi="Times New Roman" w:cs="Times New Roman" w:eastAsia="Times New Roman" w:hint="default"/>
        </w:rPr>
        <w:t>2017 </w:t>
      </w:r>
      <w:r>
        <w:rPr/>
        <w:t>年 </w:t>
      </w:r>
      <w:r>
        <w:rPr>
          <w:rFonts w:ascii="Times New Roman" w:hAnsi="Times New Roman" w:cs="Times New Roman" w:eastAsia="Times New Roman" w:hint="default"/>
        </w:rPr>
        <w:t>9 </w:t>
      </w:r>
      <w:r>
        <w:rPr/>
        <w:t>月 </w:t>
      </w:r>
      <w:r>
        <w:rPr>
          <w:rFonts w:ascii="Times New Roman" w:hAnsi="Times New Roman" w:cs="Times New Roman" w:eastAsia="Times New Roman" w:hint="default"/>
        </w:rPr>
        <w:t>1</w:t>
      </w:r>
      <w:r>
        <w:rPr>
          <w:rFonts w:ascii="Times New Roman" w:hAnsi="Times New Roman" w:cs="Times New Roman" w:eastAsia="Times New Roman" w:hint="default"/>
          <w:spacing w:val="25"/>
        </w:rPr>
        <w:t> </w:t>
      </w:r>
      <w:r>
        <w:rPr/>
        <w:t>日与蒋武靖、岳跃军签署的《关于上海芝柯智能科技有限公司之股权转 让协议》约定，上海芝柯业绩承诺：</w:t>
      </w:r>
      <w:r>
        <w:rPr>
          <w:rFonts w:ascii="Times New Roman" w:hAnsi="Times New Roman" w:cs="Times New Roman" w:eastAsia="Times New Roman" w:hint="default"/>
        </w:rPr>
        <w:t>2017</w:t>
      </w:r>
      <w:r>
        <w:rPr/>
        <w:t>年度不低于</w:t>
      </w:r>
      <w:r>
        <w:rPr>
          <w:rFonts w:ascii="Times New Roman" w:hAnsi="Times New Roman" w:cs="Times New Roman" w:eastAsia="Times New Roman" w:hint="default"/>
        </w:rPr>
        <w:t>700</w:t>
      </w:r>
      <w:r>
        <w:rPr/>
        <w:t>万元，</w:t>
      </w:r>
      <w:r>
        <w:rPr>
          <w:rFonts w:ascii="Times New Roman" w:hAnsi="Times New Roman" w:cs="Times New Roman" w:eastAsia="Times New Roman" w:hint="default"/>
        </w:rPr>
        <w:t>2018</w:t>
      </w:r>
      <w:r>
        <w:rPr/>
        <w:t>年度不低于</w:t>
      </w:r>
      <w:r>
        <w:rPr>
          <w:rFonts w:ascii="Times New Roman" w:hAnsi="Times New Roman" w:cs="Times New Roman" w:eastAsia="Times New Roman" w:hint="default"/>
        </w:rPr>
        <w:t>800</w:t>
      </w:r>
      <w:r>
        <w:rPr/>
        <w:t>万元，</w:t>
      </w:r>
      <w:r>
        <w:rPr>
          <w:rFonts w:ascii="Times New Roman" w:hAnsi="Times New Roman" w:cs="Times New Roman" w:eastAsia="Times New Roman" w:hint="default"/>
        </w:rPr>
        <w:t>2019</w:t>
      </w:r>
      <w:r>
        <w:rPr/>
        <w:t>年度不低于</w:t>
      </w:r>
      <w:r>
        <w:rPr>
          <w:rFonts w:ascii="Times New Roman" w:hAnsi="Times New Roman" w:cs="Times New Roman" w:eastAsia="Times New Roman" w:hint="default"/>
        </w:rPr>
        <w:t>1,000</w:t>
      </w:r>
      <w:r>
        <w:rPr/>
        <w:t>万元。业绩 </w:t>
      </w:r>
      <w:r>
        <w:rPr>
          <w:spacing w:val="-2"/>
        </w:rPr>
        <w:t>承诺补偿期间内，若上海芝柯实际实现的净利润数小于同期承诺净利润数的，乙方（包括：蒋武靖、岳跃军）应当按照以下</w:t>
      </w:r>
      <w:r>
        <w:rPr>
          <w:spacing w:val="-69"/>
        </w:rPr>
        <w:t> </w:t>
      </w:r>
      <w:r>
        <w:rPr>
          <w:spacing w:val="-69"/>
        </w:rPr>
      </w:r>
      <w:r>
        <w:rPr>
          <w:spacing w:val="-2"/>
        </w:rPr>
        <w:t>公式对甲方（包括：优博讯、葛学敏、牛素侠）进行补偿：当年应补偿金额＝（截止当期期末累积承诺净利润数</w:t>
      </w:r>
      <w:r>
        <w:rPr>
          <w:rFonts w:ascii="Times New Roman" w:hAnsi="Times New Roman" w:cs="Times New Roman" w:eastAsia="Times New Roman" w:hint="default"/>
          <w:spacing w:val="-2"/>
        </w:rPr>
        <w:t>—</w:t>
      </w:r>
      <w:r>
        <w:rPr>
          <w:spacing w:val="-2"/>
        </w:rPr>
        <w:t>截止当期</w:t>
      </w:r>
      <w:r>
        <w:rPr>
          <w:spacing w:val="-71"/>
        </w:rPr>
        <w:t> </w:t>
      </w:r>
      <w:r>
        <w:rPr>
          <w:spacing w:val="-71"/>
        </w:rPr>
      </w:r>
      <w:r>
        <w:rPr/>
        <w:t>期末累积实际净利润数）</w:t>
      </w:r>
      <w:r>
        <w:rPr>
          <w:rFonts w:ascii="Times New Roman" w:hAnsi="Times New Roman" w:cs="Times New Roman" w:eastAsia="Times New Roman" w:hint="default"/>
        </w:rPr>
        <w:t>÷</w:t>
      </w:r>
      <w:r>
        <w:rPr/>
        <w:t>业绩承诺补偿期间内累积承诺净利润数总和</w:t>
      </w:r>
      <w:r>
        <w:rPr>
          <w:rFonts w:ascii="Times New Roman" w:hAnsi="Times New Roman" w:cs="Times New Roman" w:eastAsia="Times New Roman" w:hint="default"/>
        </w:rPr>
        <w:t>×1980</w:t>
      </w:r>
      <w:r>
        <w:rPr/>
        <w:t>万元</w:t>
      </w:r>
      <w:r>
        <w:rPr>
          <w:rFonts w:ascii="Times New Roman" w:hAnsi="Times New Roman" w:cs="Times New Roman" w:eastAsia="Times New Roman" w:hint="default"/>
        </w:rPr>
        <w:t>—</w:t>
      </w:r>
      <w:r>
        <w:rPr/>
        <w:t>已补偿金额。</w:t>
      </w:r>
    </w:p>
    <w:p>
      <w:pPr>
        <w:pStyle w:val="BodyText"/>
        <w:spacing w:line="240" w:lineRule="auto" w:before="50"/>
        <w:ind w:left="514" w:right="1134"/>
        <w:jc w:val="left"/>
      </w:pPr>
      <w:r>
        <w:rPr/>
        <w:t>（</w:t>
      </w:r>
      <w:r>
        <w:rPr>
          <w:rFonts w:ascii="Times New Roman" w:hAnsi="Times New Roman" w:cs="Times New Roman" w:eastAsia="Times New Roman" w:hint="default"/>
        </w:rPr>
        <w:t>3</w:t>
      </w:r>
      <w:r>
        <w:rPr/>
        <w:t>）中世顺科技（北京）股份有限公司</w:t>
      </w:r>
    </w:p>
    <w:p>
      <w:pPr>
        <w:pStyle w:val="BodyText"/>
        <w:spacing w:line="307" w:lineRule="auto" w:before="101"/>
        <w:ind w:right="1130" w:firstLine="360"/>
        <w:jc w:val="both"/>
      </w:pPr>
      <w:r>
        <w:rPr/>
        <w:t>根据公司与中世顺科技（北京）股份有限公司及其原股东于 </w:t>
      </w:r>
      <w:r>
        <w:rPr>
          <w:rFonts w:ascii="Times New Roman" w:hAnsi="Times New Roman" w:cs="Times New Roman" w:eastAsia="Times New Roman" w:hint="default"/>
        </w:rPr>
        <w:t>2017 </w:t>
      </w:r>
      <w:r>
        <w:rPr/>
        <w:t>年 </w:t>
      </w:r>
      <w:r>
        <w:rPr>
          <w:rFonts w:ascii="Times New Roman" w:hAnsi="Times New Roman" w:cs="Times New Roman" w:eastAsia="Times New Roman" w:hint="default"/>
        </w:rPr>
        <w:t>10 </w:t>
      </w:r>
      <w:r>
        <w:rPr/>
        <w:t>月 </w:t>
      </w:r>
      <w:r>
        <w:rPr>
          <w:rFonts w:ascii="Times New Roman" w:hAnsi="Times New Roman" w:cs="Times New Roman" w:eastAsia="Times New Roman" w:hint="default"/>
        </w:rPr>
        <w:t>19</w:t>
      </w:r>
      <w:r>
        <w:rPr>
          <w:rFonts w:ascii="Times New Roman" w:hAnsi="Times New Roman" w:cs="Times New Roman" w:eastAsia="Times New Roman" w:hint="default"/>
          <w:spacing w:val="-19"/>
        </w:rPr>
        <w:t> </w:t>
      </w:r>
      <w:r>
        <w:rPr/>
        <w:t>日签订的《关于中世顺科技（北京）股 </w:t>
      </w:r>
      <w:r>
        <w:rPr>
          <w:spacing w:val="-1"/>
        </w:rPr>
        <w:t>份有限公司之股份投资协议》约定，中世顺业绩承诺：</w:t>
      </w:r>
      <w:r>
        <w:rPr>
          <w:rFonts w:ascii="Times New Roman" w:hAnsi="Times New Roman" w:cs="Times New Roman" w:eastAsia="Times New Roman" w:hint="default"/>
          <w:spacing w:val="-1"/>
        </w:rPr>
        <w:t>2017</w:t>
      </w:r>
      <w:r>
        <w:rPr>
          <w:spacing w:val="-1"/>
        </w:rPr>
        <w:t>年度不低于</w:t>
      </w:r>
      <w:r>
        <w:rPr>
          <w:rFonts w:ascii="Times New Roman" w:hAnsi="Times New Roman" w:cs="Times New Roman" w:eastAsia="Times New Roman" w:hint="default"/>
          <w:spacing w:val="-1"/>
        </w:rPr>
        <w:t>900</w:t>
      </w:r>
      <w:r>
        <w:rPr>
          <w:spacing w:val="-1"/>
        </w:rPr>
        <w:t>万元（含本数），</w:t>
      </w:r>
      <w:r>
        <w:rPr>
          <w:rFonts w:ascii="Times New Roman" w:hAnsi="Times New Roman" w:cs="Times New Roman" w:eastAsia="Times New Roman" w:hint="default"/>
          <w:spacing w:val="-1"/>
        </w:rPr>
        <w:t>2018</w:t>
      </w:r>
      <w:r>
        <w:rPr>
          <w:spacing w:val="-1"/>
        </w:rPr>
        <w:t>年度不低于</w:t>
      </w:r>
      <w:r>
        <w:rPr>
          <w:rFonts w:ascii="Times New Roman" w:hAnsi="Times New Roman" w:cs="Times New Roman" w:eastAsia="Times New Roman" w:hint="default"/>
          <w:spacing w:val="-1"/>
        </w:rPr>
        <w:t>1,100</w:t>
      </w:r>
      <w:r>
        <w:rPr>
          <w:spacing w:val="-1"/>
        </w:rPr>
        <w:t>万元（含</w:t>
      </w:r>
      <w:r>
        <w:rPr>
          <w:spacing w:val="-67"/>
        </w:rPr>
        <w:t> </w:t>
      </w:r>
      <w:r>
        <w:rPr>
          <w:spacing w:val="-67"/>
        </w:rPr>
      </w:r>
      <w:r>
        <w:rPr/>
        <w:t>本数），</w:t>
      </w:r>
      <w:r>
        <w:rPr>
          <w:rFonts w:ascii="Times New Roman" w:hAnsi="Times New Roman" w:cs="Times New Roman" w:eastAsia="Times New Roman" w:hint="default"/>
        </w:rPr>
        <w:t>2019</w:t>
      </w:r>
      <w:r>
        <w:rPr/>
        <w:t>年度不低于</w:t>
      </w:r>
      <w:r>
        <w:rPr>
          <w:rFonts w:ascii="Times New Roman" w:hAnsi="Times New Roman" w:cs="Times New Roman" w:eastAsia="Times New Roman" w:hint="default"/>
        </w:rPr>
        <w:t>1,300</w:t>
      </w:r>
      <w:r>
        <w:rPr/>
        <w:t>万元（含本数），</w:t>
      </w:r>
      <w:r>
        <w:rPr>
          <w:rFonts w:ascii="Times New Roman" w:hAnsi="Times New Roman" w:cs="Times New Roman" w:eastAsia="Times New Roman" w:hint="default"/>
        </w:rPr>
        <w:t>2020</w:t>
      </w:r>
      <w:r>
        <w:rPr/>
        <w:t>年度不低于</w:t>
      </w:r>
      <w:r>
        <w:rPr>
          <w:rFonts w:ascii="Times New Roman" w:hAnsi="Times New Roman" w:cs="Times New Roman" w:eastAsia="Times New Roman" w:hint="default"/>
        </w:rPr>
        <w:t>1,500</w:t>
      </w:r>
      <w:r>
        <w:rPr/>
        <w:t>万元（含本数）。业绩补偿：如果中世顺未完成业绩 </w:t>
      </w:r>
      <w:r>
        <w:rPr>
          <w:spacing w:val="-2"/>
        </w:rPr>
        <w:t>承诺约定的任一会计年度的承诺净利润数的，差额利润数计入下一年度应完成的目标，如果累计四个年度的利润目标最终没</w:t>
      </w:r>
      <w:r>
        <w:rPr>
          <w:spacing w:val="-64"/>
        </w:rPr>
        <w:t> </w:t>
      </w:r>
      <w:r>
        <w:rPr>
          <w:spacing w:val="-64"/>
        </w:rPr>
      </w:r>
      <w:r>
        <w:rPr>
          <w:spacing w:val="-5"/>
        </w:rPr>
        <w:t>有完成，则重要股东（包括：李远模、昇萃科技有限公司、高慧、林慧霞、付万明、袁韻棋、余波、中世顺商务信息咨询（天</w:t>
      </w:r>
      <w:r>
        <w:rPr>
          <w:spacing w:val="-78"/>
        </w:rPr>
        <w:t> </w:t>
      </w:r>
      <w:r>
        <w:rPr>
          <w:spacing w:val="-78"/>
        </w:rPr>
      </w:r>
      <w:r>
        <w:rPr/>
        <w:t>津）合伙企业（有限合伙））应按如下方式和金额对优博讯进行补偿：应补偿金额总额</w:t>
      </w:r>
      <w:r>
        <w:rPr>
          <w:rFonts w:ascii="Times New Roman" w:hAnsi="Times New Roman" w:cs="Times New Roman" w:eastAsia="Times New Roman" w:hint="default"/>
        </w:rPr>
        <w:t>=</w:t>
      </w:r>
      <w:r>
        <w:rPr/>
        <w:t>（四个年度累积承诺净利润数</w:t>
      </w:r>
      <w:r>
        <w:rPr>
          <w:rFonts w:ascii="Times New Roman" w:hAnsi="Times New Roman" w:cs="Times New Roman" w:eastAsia="Times New Roman" w:hint="default"/>
        </w:rPr>
        <w:t>—</w:t>
      </w:r>
      <w:r>
        <w:rPr/>
        <w:t>四 个年度累积实际净利润数）</w:t>
      </w:r>
      <w:r>
        <w:rPr>
          <w:rFonts w:ascii="Times New Roman" w:hAnsi="Times New Roman" w:cs="Times New Roman" w:eastAsia="Times New Roman" w:hint="default"/>
        </w:rPr>
        <w:t>÷</w:t>
      </w:r>
      <w:r>
        <w:rPr/>
        <w:t>四个年度累积承诺净利润数</w:t>
      </w:r>
      <w:r>
        <w:rPr>
          <w:rFonts w:ascii="Times New Roman" w:hAnsi="Times New Roman" w:cs="Times New Roman" w:eastAsia="Times New Roman" w:hint="default"/>
        </w:rPr>
        <w:t>×</w:t>
      </w:r>
      <w:r>
        <w:rPr/>
        <w:t>投资价款。</w:t>
      </w:r>
    </w:p>
    <w:p>
      <w:pPr>
        <w:pStyle w:val="BodyText"/>
        <w:spacing w:line="240" w:lineRule="auto" w:before="46"/>
        <w:ind w:right="0"/>
        <w:jc w:val="both"/>
      </w:pPr>
      <w:r>
        <w:rPr/>
        <w:t>业绩承诺的完成情况及其对商誉减值测试的影响</w:t>
      </w:r>
    </w:p>
    <w:p>
      <w:pPr>
        <w:pStyle w:val="BodyText"/>
        <w:spacing w:line="338" w:lineRule="auto" w:before="117"/>
        <w:ind w:left="514" w:right="1122"/>
        <w:jc w:val="left"/>
      </w:pPr>
      <w:r>
        <w:rPr/>
        <w:t>（</w:t>
      </w:r>
      <w:r>
        <w:rPr>
          <w:rFonts w:ascii="Times New Roman" w:hAnsi="Times New Roman" w:cs="Times New Roman" w:eastAsia="Times New Roman" w:hint="default"/>
        </w:rPr>
        <w:t>1</w:t>
      </w:r>
      <w:r>
        <w:rPr/>
        <w:t>）深圳市瑞柏泰电子有限公司 依据大华会计师事务所（特殊普通合伙）于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26</w:t>
      </w:r>
      <w:r>
        <w:rPr/>
        <w:t>日出具的《深圳市优博讯科技股份有限公司关于收购深圳市瑞</w:t>
      </w:r>
    </w:p>
    <w:p>
      <w:pPr>
        <w:pStyle w:val="BodyText"/>
        <w:spacing w:line="230" w:lineRule="exact"/>
        <w:ind w:right="0"/>
        <w:jc w:val="both"/>
      </w:pPr>
      <w:r>
        <w:rPr/>
        <w:t>柏泰电子有限公司业绩承诺实现情况说明的审核报告》（大华核字</w:t>
      </w:r>
      <w:r>
        <w:rPr>
          <w:rFonts w:ascii="Times New Roman" w:hAnsi="Times New Roman" w:cs="Times New Roman" w:eastAsia="Times New Roman" w:hint="default"/>
        </w:rPr>
        <w:t>[2019]002045</w:t>
      </w:r>
      <w:r>
        <w:rPr/>
        <w:t>号）显示，瑞柏泰</w:t>
      </w:r>
      <w:r>
        <w:rPr>
          <w:rFonts w:ascii="Times New Roman" w:hAnsi="Times New Roman" w:cs="Times New Roman" w:eastAsia="Times New Roman" w:hint="default"/>
        </w:rPr>
        <w:t>2017</w:t>
      </w:r>
      <w:r>
        <w:rPr/>
        <w:t>年度实现利润数</w:t>
      </w:r>
    </w:p>
    <w:p>
      <w:pPr>
        <w:pStyle w:val="BodyText"/>
        <w:spacing w:line="300" w:lineRule="auto" w:before="63"/>
        <w:ind w:right="1140"/>
        <w:jc w:val="both"/>
      </w:pPr>
      <w:r>
        <w:rPr>
          <w:rFonts w:ascii="Times New Roman" w:hAnsi="Times New Roman" w:cs="Times New Roman" w:eastAsia="Times New Roman" w:hint="default"/>
        </w:rPr>
        <w:t>24,201,268.69</w:t>
      </w:r>
      <w:r>
        <w:rPr/>
        <w:t>元超过业绩承诺数</w:t>
      </w:r>
      <w:r>
        <w:rPr>
          <w:rFonts w:ascii="Times New Roman" w:hAnsi="Times New Roman" w:cs="Times New Roman" w:eastAsia="Times New Roman" w:hint="default"/>
        </w:rPr>
        <w:t>24,000,000.00</w:t>
      </w:r>
      <w:r>
        <w:rPr/>
        <w:t>元，</w:t>
      </w:r>
      <w:r>
        <w:rPr>
          <w:rFonts w:ascii="Times New Roman" w:hAnsi="Times New Roman" w:cs="Times New Roman" w:eastAsia="Times New Roman" w:hint="default"/>
        </w:rPr>
        <w:t>2017</w:t>
      </w:r>
      <w:r>
        <w:rPr/>
        <w:t>年的业绩承诺得到了有效履行，无需对公司进行补偿；截至</w:t>
      </w:r>
      <w:r>
        <w:rPr>
          <w:rFonts w:ascii="Times New Roman" w:hAnsi="Times New Roman" w:cs="Times New Roman" w:eastAsia="Times New Roman" w:hint="default"/>
        </w:rPr>
        <w:t>2018</w:t>
      </w:r>
      <w:r>
        <w:rPr/>
        <w:t>年末 瑞柏泰累积实现利润数</w:t>
      </w:r>
      <w:r>
        <w:rPr>
          <w:rFonts w:ascii="Times New Roman" w:hAnsi="Times New Roman" w:cs="Times New Roman" w:eastAsia="Times New Roman" w:hint="default"/>
        </w:rPr>
        <w:t>50,768,448.62</w:t>
      </w:r>
      <w:r>
        <w:rPr/>
        <w:t>元小于同期累积承诺利润数</w:t>
      </w:r>
      <w:r>
        <w:rPr>
          <w:rFonts w:ascii="Times New Roman" w:hAnsi="Times New Roman" w:cs="Times New Roman" w:eastAsia="Times New Roman" w:hint="default"/>
        </w:rPr>
        <w:t>52,000,000.00</w:t>
      </w:r>
      <w:r>
        <w:rPr/>
        <w:t>元，累积业绩承诺未完成，根据补偿安排深圳 市柏士泰科技有限公司需对公司进行补偿金额为</w:t>
      </w:r>
      <w:r>
        <w:rPr>
          <w:rFonts w:ascii="Times New Roman" w:hAnsi="Times New Roman" w:cs="Times New Roman" w:eastAsia="Times New Roman" w:hint="default"/>
        </w:rPr>
        <w:t>1,664,820.06</w:t>
      </w:r>
      <w:r>
        <w:rPr/>
        <w:t>元。管理层经过商誉减值测试，合并瑞柏泰形成的商誉减值金 额</w:t>
      </w:r>
      <w:r>
        <w:rPr>
          <w:rFonts w:ascii="宋体" w:hAnsi="宋体" w:cs="宋体" w:eastAsia="宋体" w:hint="default"/>
        </w:rPr>
        <w:t>2,400,390.72</w:t>
      </w:r>
      <w:r>
        <w:rPr/>
        <w:t>元。详见第十一节“七、</w:t>
      </w:r>
      <w:r>
        <w:rPr>
          <w:rFonts w:ascii="宋体" w:hAnsi="宋体" w:cs="宋体" w:eastAsia="宋体" w:hint="default"/>
        </w:rPr>
        <w:t>11</w:t>
      </w:r>
      <w:r>
        <w:rPr/>
        <w:t>、商誉”。</w:t>
      </w:r>
    </w:p>
    <w:p>
      <w:pPr>
        <w:pStyle w:val="BodyText"/>
        <w:spacing w:line="338" w:lineRule="auto" w:before="71"/>
        <w:ind w:left="514" w:right="1122"/>
        <w:jc w:val="left"/>
      </w:pPr>
      <w:r>
        <w:rPr/>
        <w:t>（</w:t>
      </w:r>
      <w:r>
        <w:rPr>
          <w:rFonts w:ascii="Times New Roman" w:hAnsi="Times New Roman" w:cs="Times New Roman" w:eastAsia="Times New Roman" w:hint="default"/>
        </w:rPr>
        <w:t>2</w:t>
      </w:r>
      <w:r>
        <w:rPr/>
        <w:t>）上海芝柯智能科技有限公司 根据中准会计师事务所（特殊普通合伙）于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20</w:t>
      </w:r>
      <w:r>
        <w:rPr/>
        <w:t>日出具的《上海芝柯智能科技有限公司</w:t>
      </w:r>
      <w:r>
        <w:rPr>
          <w:rFonts w:ascii="Times New Roman" w:hAnsi="Times New Roman" w:cs="Times New Roman" w:eastAsia="Times New Roman" w:hint="default"/>
        </w:rPr>
        <w:t>2018</w:t>
      </w:r>
      <w:r>
        <w:rPr/>
        <w:t>年度财务报表审计</w:t>
      </w:r>
    </w:p>
    <w:p>
      <w:pPr>
        <w:pStyle w:val="BodyText"/>
        <w:spacing w:line="231" w:lineRule="exact"/>
        <w:ind w:right="0"/>
        <w:jc w:val="both"/>
      </w:pPr>
      <w:r>
        <w:rPr/>
        <w:t>报告》中准审字</w:t>
      </w:r>
      <w:r>
        <w:rPr>
          <w:rFonts w:ascii="Times New Roman" w:hAnsi="Times New Roman" w:cs="Times New Roman" w:eastAsia="Times New Roman" w:hint="default"/>
        </w:rPr>
        <w:t>[2019]</w:t>
      </w:r>
      <w:r>
        <w:rPr/>
        <w:t>第</w:t>
      </w:r>
      <w:r>
        <w:rPr>
          <w:rFonts w:ascii="宋体" w:hAnsi="宋体" w:cs="宋体" w:eastAsia="宋体" w:hint="default"/>
        </w:rPr>
        <w:t>2077</w:t>
      </w:r>
      <w:r>
        <w:rPr/>
        <w:t>号显示，上海芝柯</w:t>
      </w:r>
      <w:r>
        <w:rPr>
          <w:rFonts w:ascii="Times New Roman" w:hAnsi="Times New Roman" w:cs="Times New Roman" w:eastAsia="Times New Roman" w:hint="default"/>
        </w:rPr>
        <w:t>2018</w:t>
      </w:r>
      <w:r>
        <w:rPr/>
        <w:t>年实现的扣除非经常性损益的净利润为</w:t>
      </w:r>
      <w:r>
        <w:rPr>
          <w:rFonts w:ascii="Times New Roman" w:hAnsi="Times New Roman" w:cs="Times New Roman" w:eastAsia="Times New Roman" w:hint="default"/>
        </w:rPr>
        <w:t>1,513.78</w:t>
      </w:r>
      <w:r>
        <w:rPr/>
        <w:t>万元，已达到</w:t>
      </w:r>
      <w:r>
        <w:rPr>
          <w:rFonts w:ascii="Times New Roman" w:hAnsi="Times New Roman" w:cs="Times New Roman" w:eastAsia="Times New Roman" w:hint="default"/>
        </w:rPr>
        <w:t>2018</w:t>
      </w:r>
      <w:r>
        <w:rPr/>
        <w:t>年度</w:t>
      </w:r>
    </w:p>
    <w:p>
      <w:pPr>
        <w:pStyle w:val="BodyText"/>
        <w:spacing w:line="240" w:lineRule="auto" w:before="64"/>
        <w:ind w:right="0"/>
        <w:jc w:val="both"/>
      </w:pPr>
      <w:r>
        <w:rPr/>
        <w:t>承诺净利润数。</w:t>
      </w:r>
    </w:p>
    <w:p>
      <w:pPr>
        <w:pStyle w:val="BodyText"/>
        <w:spacing w:line="338" w:lineRule="auto" w:before="116"/>
        <w:ind w:left="514" w:right="1122"/>
        <w:jc w:val="left"/>
      </w:pPr>
      <w:r>
        <w:rPr/>
        <w:t>（</w:t>
      </w:r>
      <w:r>
        <w:rPr>
          <w:rFonts w:ascii="Times New Roman" w:hAnsi="Times New Roman" w:cs="Times New Roman" w:eastAsia="Times New Roman" w:hint="default"/>
        </w:rPr>
        <w:t>3</w:t>
      </w:r>
      <w:r>
        <w:rPr/>
        <w:t>）中世顺科技（北京）股份有限公司 根据北京天鸿永信会计师事务所（普通合伙）于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15</w:t>
      </w:r>
      <w:r>
        <w:rPr/>
        <w:t>日出具的《中世顺科技（北京）股份有限公司</w:t>
      </w:r>
      <w:r>
        <w:rPr>
          <w:rFonts w:ascii="Times New Roman" w:hAnsi="Times New Roman" w:cs="Times New Roman" w:eastAsia="Times New Roman" w:hint="default"/>
        </w:rPr>
        <w:t>2018</w:t>
      </w:r>
      <w:r>
        <w:rPr/>
        <w:t>年合并</w:t>
      </w:r>
    </w:p>
    <w:p>
      <w:pPr>
        <w:spacing w:after="0" w:line="338"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right="0"/>
        <w:jc w:val="left"/>
      </w:pPr>
      <w:r>
        <w:rPr/>
        <w:t>财务报表审计报告》天鸿审字</w:t>
      </w:r>
      <w:r>
        <w:rPr>
          <w:rFonts w:ascii="Times New Roman" w:hAnsi="Times New Roman" w:cs="Times New Roman" w:eastAsia="Times New Roman" w:hint="default"/>
        </w:rPr>
        <w:t>[2019]</w:t>
      </w:r>
      <w:r>
        <w:rPr/>
        <w:t>第</w:t>
      </w:r>
      <w:r>
        <w:rPr>
          <w:rFonts w:ascii="Times New Roman" w:hAnsi="Times New Roman" w:cs="Times New Roman" w:eastAsia="Times New Roman" w:hint="default"/>
        </w:rPr>
        <w:t>190020</w:t>
      </w:r>
      <w:r>
        <w:rPr/>
        <w:t>号显示，中世顺</w:t>
      </w:r>
      <w:r>
        <w:rPr>
          <w:rFonts w:ascii="Times New Roman" w:hAnsi="Times New Roman" w:cs="Times New Roman" w:eastAsia="Times New Roman" w:hint="default"/>
        </w:rPr>
        <w:t>2018</w:t>
      </w:r>
      <w:r>
        <w:rPr/>
        <w:t>年实现的扣除非经常性损益的净利润为</w:t>
      </w:r>
      <w:r>
        <w:rPr>
          <w:rFonts w:ascii="Times New Roman" w:hAnsi="Times New Roman" w:cs="Times New Roman" w:eastAsia="Times New Roman" w:hint="default"/>
        </w:rPr>
        <w:t>1,520</w:t>
      </w:r>
      <w:r>
        <w:rPr/>
        <w:t>万元，已达到</w:t>
      </w:r>
    </w:p>
    <w:p>
      <w:pPr>
        <w:pStyle w:val="BodyText"/>
        <w:spacing w:line="240" w:lineRule="auto" w:before="64"/>
        <w:ind w:right="1134"/>
        <w:jc w:val="left"/>
      </w:pPr>
      <w:r>
        <w:rPr>
          <w:rFonts w:ascii="Times New Roman" w:hAnsi="Times New Roman" w:cs="Times New Roman" w:eastAsia="Times New Roman" w:hint="default"/>
        </w:rPr>
        <w:t>2018</w:t>
      </w:r>
      <w:r>
        <w:rPr/>
        <w:t>年度承诺净利润数。</w:t>
      </w:r>
    </w:p>
    <w:p>
      <w:pPr>
        <w:spacing w:line="240" w:lineRule="auto" w:before="12"/>
        <w:rPr>
          <w:rFonts w:ascii="宋体" w:hAnsi="宋体" w:cs="宋体" w:eastAsia="宋体" w:hint="default"/>
          <w:sz w:val="23"/>
          <w:szCs w:val="23"/>
        </w:rPr>
      </w:pPr>
    </w:p>
    <w:p>
      <w:pPr>
        <w:pStyle w:val="Heading2"/>
        <w:spacing w:line="240" w:lineRule="auto"/>
        <w:ind w:right="1134"/>
        <w:jc w:val="left"/>
        <w:rPr>
          <w:b w:val="0"/>
          <w:bCs w:val="0"/>
        </w:rPr>
      </w:pPr>
      <w:bookmarkStart w:name="三、控股股东及其关联方对上市公司的非经营性占用资金情况" w:id="67"/>
      <w:bookmarkEnd w:id="67"/>
      <w:r>
        <w:rPr>
          <w:b w:val="0"/>
          <w:bCs w:val="0"/>
        </w:rPr>
      </w:r>
      <w:r>
        <w:rPr/>
        <w:t>三、控股股东及其关联方对上市公司的非经营性占用资金情况</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49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公司报告期不存在控股股东及其关联方对上市公司的非经营性占用资金。</w:t>
      </w:r>
    </w:p>
    <w:p>
      <w:pPr>
        <w:spacing w:line="240" w:lineRule="auto" w:before="6"/>
        <w:rPr>
          <w:rFonts w:ascii="宋体" w:hAnsi="宋体" w:cs="宋体" w:eastAsia="宋体" w:hint="default"/>
          <w:sz w:val="19"/>
          <w:szCs w:val="19"/>
        </w:rPr>
      </w:pPr>
    </w:p>
    <w:p>
      <w:pPr>
        <w:pStyle w:val="Heading2"/>
        <w:spacing w:line="240" w:lineRule="auto"/>
        <w:ind w:right="1134"/>
        <w:jc w:val="left"/>
        <w:rPr>
          <w:b w:val="0"/>
          <w:bCs w:val="0"/>
        </w:rPr>
      </w:pPr>
      <w:bookmarkStart w:name="四、董事会对最近一期“非标准审计报告”相关情况的说明" w:id="68"/>
      <w:bookmarkEnd w:id="68"/>
      <w:r>
        <w:rPr>
          <w:b w:val="0"/>
          <w:bCs w:val="0"/>
        </w:rPr>
      </w:r>
      <w:r>
        <w:rPr/>
        <w:t>四、董事会对最近一期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相关情况的说明</w:t>
      </w:r>
      <w:r>
        <w:rPr>
          <w:b w:val="0"/>
          <w:bCs w:val="0"/>
        </w:rPr>
      </w:r>
    </w:p>
    <w:p>
      <w:pPr>
        <w:spacing w:line="240" w:lineRule="auto" w:before="2"/>
        <w:rPr>
          <w:rFonts w:ascii="宋体" w:hAnsi="宋体" w:cs="宋体" w:eastAsia="宋体" w:hint="default"/>
          <w:b/>
          <w:bCs/>
          <w:sz w:val="25"/>
          <w:szCs w:val="25"/>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24"/>
          <w:szCs w:val="24"/>
        </w:rPr>
      </w:pPr>
    </w:p>
    <w:p>
      <w:pPr>
        <w:pStyle w:val="Heading2"/>
        <w:spacing w:line="240" w:lineRule="auto"/>
        <w:ind w:right="0"/>
        <w:jc w:val="left"/>
        <w:rPr>
          <w:b w:val="0"/>
          <w:bCs w:val="0"/>
        </w:rPr>
      </w:pPr>
      <w:bookmarkStart w:name="五、董事会、监事会、独立董事（如有）对会计师事务所本报告期“非标准审计报告”的说" w:id="69"/>
      <w:bookmarkEnd w:id="69"/>
      <w:r>
        <w:rPr>
          <w:b w:val="0"/>
          <w:bCs w:val="0"/>
        </w:rPr>
      </w:r>
      <w:r>
        <w:rPr/>
        <w:t>五、董事会、监事会、独立董事（如有）对会计师事务所本报告期</w:t>
      </w:r>
      <w:r>
        <w:rPr>
          <w:rFonts w:ascii="Times New Roman" w:hAnsi="Times New Roman" w:cs="Times New Roman" w:eastAsia="Times New Roman" w:hint="default"/>
        </w:rPr>
        <w:t>“</w:t>
      </w:r>
      <w:r>
        <w:rPr/>
        <w:t>非标准审计报告</w:t>
      </w:r>
      <w:r>
        <w:rPr>
          <w:rFonts w:ascii="Times New Roman" w:hAnsi="Times New Roman" w:cs="Times New Roman" w:eastAsia="Times New Roman" w:hint="default"/>
        </w:rPr>
        <w:t>”</w:t>
      </w:r>
      <w:r>
        <w:rPr/>
        <w:t>的说明</w:t>
      </w:r>
      <w:r>
        <w:rPr>
          <w:b w:val="0"/>
          <w:bCs w:val="0"/>
        </w:rPr>
      </w:r>
    </w:p>
    <w:p>
      <w:pPr>
        <w:spacing w:line="240" w:lineRule="auto" w:before="4"/>
        <w:rPr>
          <w:rFonts w:ascii="宋体" w:hAnsi="宋体" w:cs="宋体" w:eastAsia="宋体" w:hint="default"/>
          <w:b/>
          <w:bCs/>
          <w:sz w:val="25"/>
          <w:szCs w:val="25"/>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1134"/>
        <w:jc w:val="left"/>
        <w:rPr>
          <w:b w:val="0"/>
          <w:bCs w:val="0"/>
        </w:rPr>
      </w:pPr>
      <w:bookmarkStart w:name="六、董事会关于报告期会计政策、会计估计变更或重大会计差错更正的说明" w:id="70"/>
      <w:bookmarkEnd w:id="70"/>
      <w:r>
        <w:rPr>
          <w:b w:val="0"/>
          <w:bCs w:val="0"/>
        </w:rPr>
      </w:r>
      <w:r>
        <w:rPr/>
        <w:t>六、董事会关于报告期会计政策、会计估计变更或重大会计差错更正的说明</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348" w:lineRule="auto" w:before="102"/>
        <w:ind w:left="514" w:right="7512"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会计政策变更</w:t>
      </w:r>
      <w:r>
        <w:rPr>
          <w:rFonts w:ascii="宋体" w:hAnsi="宋体" w:cs="宋体" w:eastAsia="宋体" w:hint="default"/>
          <w:b/>
          <w:bCs/>
          <w:w w:val="99"/>
          <w:sz w:val="18"/>
          <w:szCs w:val="18"/>
        </w:rPr>
        <w:t> </w:t>
      </w:r>
      <w:r>
        <w:rPr>
          <w:rFonts w:ascii="宋体" w:hAnsi="宋体" w:cs="宋体" w:eastAsia="宋体" w:hint="default"/>
          <w:sz w:val="18"/>
          <w:szCs w:val="18"/>
        </w:rPr>
        <w:t>本报告期重要会计政策未变更。 </w:t>
      </w: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会计估计变更</w:t>
      </w:r>
      <w:r>
        <w:rPr>
          <w:rFonts w:ascii="宋体" w:hAnsi="宋体" w:cs="宋体" w:eastAsia="宋体" w:hint="default"/>
          <w:b/>
          <w:bCs/>
          <w:w w:val="99"/>
          <w:sz w:val="18"/>
          <w:szCs w:val="18"/>
        </w:rPr>
        <w:t> </w:t>
      </w:r>
      <w:r>
        <w:rPr>
          <w:rFonts w:ascii="宋体" w:hAnsi="宋体" w:cs="宋体" w:eastAsia="宋体" w:hint="default"/>
          <w:sz w:val="18"/>
          <w:szCs w:val="18"/>
        </w:rPr>
        <w:t>本报告期主要会计估计未发生变更。 </w: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财务报表列报项目变更说明</w:t>
      </w:r>
      <w:r>
        <w:rPr>
          <w:rFonts w:ascii="宋体" w:hAnsi="宋体" w:cs="宋体" w:eastAsia="宋体" w:hint="default"/>
          <w:sz w:val="18"/>
          <w:szCs w:val="18"/>
        </w:rPr>
      </w:r>
    </w:p>
    <w:p>
      <w:pPr>
        <w:pStyle w:val="BodyText"/>
        <w:spacing w:line="300" w:lineRule="auto" w:before="12"/>
        <w:ind w:right="1122" w:firstLine="360"/>
        <w:jc w:val="left"/>
      </w:pPr>
      <w:r>
        <w:rPr/>
        <w:t>财政部于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15</w:t>
      </w:r>
      <w:r>
        <w:rPr/>
        <w:t>日发布了《关于修订印发</w:t>
      </w:r>
      <w:r>
        <w:rPr>
          <w:rFonts w:ascii="Times New Roman" w:hAnsi="Times New Roman" w:cs="Times New Roman" w:eastAsia="Times New Roman" w:hint="default"/>
        </w:rPr>
        <w:t>2018</w:t>
      </w:r>
      <w:r>
        <w:rPr/>
        <w:t>年度一般企业财务报表格式的通知》（财会〔</w:t>
      </w:r>
      <w:r>
        <w:rPr>
          <w:rFonts w:ascii="Times New Roman" w:hAnsi="Times New Roman" w:cs="Times New Roman" w:eastAsia="Times New Roman" w:hint="default"/>
        </w:rPr>
        <w:t>2018</w:t>
      </w:r>
      <w:r>
        <w:rPr/>
        <w:t>〕</w:t>
      </w:r>
      <w:r>
        <w:rPr>
          <w:rFonts w:ascii="Times New Roman" w:hAnsi="Times New Roman" w:cs="Times New Roman" w:eastAsia="Times New Roman" w:hint="default"/>
        </w:rPr>
        <w:t>15</w:t>
      </w:r>
      <w:r>
        <w:rPr/>
        <w:t>号），对一 般企业财务报表格式进行了修订，归并部分资产负债表项目，拆分部分利润表项目；并于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7</w:t>
      </w:r>
      <w:r>
        <w:rPr/>
        <w:t>日发布了《关于</w:t>
      </w:r>
      <w:r>
        <w:rPr>
          <w:rFonts w:ascii="Times New Roman" w:hAnsi="Times New Roman" w:cs="Times New Roman" w:eastAsia="Times New Roman" w:hint="default"/>
        </w:rPr>
        <w:t>2018 </w:t>
      </w:r>
      <w:r>
        <w:rPr>
          <w:spacing w:val="-2"/>
        </w:rPr>
        <w:t>年度一般企业财务报表格式有关问题的解读》，明确要求代扣个人所得税手续费返还在</w:t>
      </w:r>
      <w:r>
        <w:rPr>
          <w:rFonts w:ascii="Times New Roman" w:hAnsi="Times New Roman" w:cs="Times New Roman" w:eastAsia="Times New Roman" w:hint="default"/>
          <w:spacing w:val="-2"/>
        </w:rPr>
        <w:t>“</w:t>
      </w:r>
      <w:r>
        <w:rPr>
          <w:spacing w:val="-2"/>
        </w:rPr>
        <w:t>其他收益</w:t>
      </w:r>
      <w:r>
        <w:rPr>
          <w:rFonts w:ascii="Times New Roman" w:hAnsi="Times New Roman" w:cs="Times New Roman" w:eastAsia="Times New Roman" w:hint="default"/>
          <w:spacing w:val="-2"/>
        </w:rPr>
        <w:t>”</w:t>
      </w:r>
      <w:r>
        <w:rPr>
          <w:spacing w:val="-2"/>
        </w:rPr>
        <w:t>列报，实际收到的政府补</w:t>
      </w:r>
      <w:r>
        <w:rPr>
          <w:spacing w:val="-44"/>
        </w:rPr>
        <w:t> </w:t>
      </w:r>
      <w:r>
        <w:rPr>
          <w:spacing w:val="-44"/>
        </w:rPr>
      </w:r>
      <w:r>
        <w:rPr/>
        <w:t>助，无论是与资产相关还是与收益相关，在编制现金流量表时均作为经营活动产生的现金流量列报等。</w:t>
      </w:r>
    </w:p>
    <w:p>
      <w:pPr>
        <w:pStyle w:val="BodyText"/>
        <w:spacing w:line="319" w:lineRule="auto" w:before="70"/>
        <w:ind w:right="0" w:firstLine="360"/>
        <w:jc w:val="left"/>
      </w:pPr>
      <w:r>
        <w:rPr>
          <w:spacing w:val="-2"/>
        </w:rPr>
        <w:t>本公司已经根据新的企业财务报表格式的要求编制财务报表，财务报表的列报项目因此发生变更的，已经按照《企业会</w:t>
      </w:r>
      <w:r>
        <w:rPr/>
        <w:t> 计准则第</w:t>
      </w:r>
      <w:r>
        <w:rPr>
          <w:rFonts w:ascii="Times New Roman" w:hAnsi="Times New Roman" w:cs="Times New Roman" w:eastAsia="Times New Roman" w:hint="default"/>
        </w:rPr>
        <w:t>30</w:t>
      </w:r>
      <w:r>
        <w:rPr/>
        <w:t>号</w:t>
      </w:r>
      <w:r>
        <w:rPr>
          <w:rFonts w:ascii="Times New Roman" w:hAnsi="Times New Roman" w:cs="Times New Roman" w:eastAsia="Times New Roman" w:hint="default"/>
        </w:rPr>
        <w:t>——</w:t>
      </w:r>
      <w:r>
        <w:rPr/>
        <w:t>财务报表列报》等的相关规定，对可比期间的比较数据进行调整。</w:t>
      </w:r>
    </w:p>
    <w:p>
      <w:pPr>
        <w:pStyle w:val="BodyText"/>
        <w:spacing w:line="240" w:lineRule="auto" w:before="36"/>
        <w:ind w:left="514" w:right="1134"/>
        <w:jc w:val="left"/>
      </w:pPr>
      <w:r>
        <w:rPr/>
        <w:t>对可比期间的财务报表列报项目及金额的影响如下：</w:t>
      </w:r>
    </w:p>
    <w:p>
      <w:pPr>
        <w:spacing w:line="240" w:lineRule="auto" w:before="1"/>
        <w:rPr>
          <w:rFonts w:ascii="宋体" w:hAnsi="宋体" w:cs="宋体" w:eastAsia="宋体" w:hint="default"/>
          <w:sz w:val="8"/>
          <w:szCs w:val="8"/>
        </w:rPr>
      </w:pPr>
    </w:p>
    <w:tbl>
      <w:tblPr>
        <w:tblW w:w="0" w:type="auto"/>
        <w:jc w:val="left"/>
        <w:tblInd w:w="146" w:type="dxa"/>
        <w:tblLayout w:type="fixed"/>
        <w:tblCellMar>
          <w:top w:w="0" w:type="dxa"/>
          <w:left w:w="0" w:type="dxa"/>
          <w:bottom w:w="0" w:type="dxa"/>
          <w:right w:w="0" w:type="dxa"/>
        </w:tblCellMar>
        <w:tblLook w:val="01E0"/>
      </w:tblPr>
      <w:tblGrid>
        <w:gridCol w:w="2694"/>
        <w:gridCol w:w="2410"/>
        <w:gridCol w:w="2268"/>
        <w:gridCol w:w="2248"/>
      </w:tblGrid>
      <w:tr>
        <w:trPr>
          <w:trHeight w:val="329" w:hRule="exact"/>
        </w:trPr>
        <w:tc>
          <w:tcPr>
            <w:tcW w:w="269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列报项目</w:t>
            </w:r>
          </w:p>
        </w:tc>
        <w:tc>
          <w:tcPr>
            <w:tcW w:w="241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26"/>
              <w:jc w:val="righ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日之前列报金额</w:t>
            </w:r>
          </w:p>
        </w:tc>
        <w:tc>
          <w:tcPr>
            <w:tcW w:w="226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影响金额</w:t>
            </w:r>
          </w:p>
        </w:tc>
        <w:tc>
          <w:tcPr>
            <w:tcW w:w="224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35"/>
              <w:jc w:val="righ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日经重列后金额</w:t>
            </w:r>
          </w:p>
        </w:tc>
      </w:tr>
      <w:tr>
        <w:trPr>
          <w:trHeight w:val="365" w:hRule="exact"/>
        </w:trPr>
        <w:tc>
          <w:tcPr>
            <w:tcW w:w="2694"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34"/>
              <w:ind w:left="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410"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73"/>
              <w:ind w:right="1"/>
              <w:jc w:val="right"/>
              <w:rPr>
                <w:rFonts w:ascii="Times New Roman" w:hAnsi="Times New Roman" w:cs="Times New Roman" w:eastAsia="Times New Roman" w:hint="default"/>
                <w:sz w:val="18"/>
                <w:szCs w:val="18"/>
              </w:rPr>
            </w:pPr>
            <w:r>
              <w:rPr>
                <w:rFonts w:ascii="Times New Roman"/>
                <w:spacing w:val="-1"/>
                <w:sz w:val="18"/>
              </w:rPr>
              <w:t>12,360,475.10</w:t>
            </w:r>
          </w:p>
        </w:tc>
        <w:tc>
          <w:tcPr>
            <w:tcW w:w="2268"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73"/>
              <w:ind w:right="1"/>
              <w:jc w:val="right"/>
              <w:rPr>
                <w:rFonts w:ascii="Times New Roman" w:hAnsi="Times New Roman" w:cs="Times New Roman" w:eastAsia="Times New Roman" w:hint="default"/>
                <w:sz w:val="18"/>
                <w:szCs w:val="18"/>
              </w:rPr>
            </w:pPr>
            <w:r>
              <w:rPr>
                <w:rFonts w:ascii="Times New Roman"/>
                <w:spacing w:val="-1"/>
                <w:sz w:val="18"/>
              </w:rPr>
              <w:t>-12,360,475.10</w:t>
            </w:r>
          </w:p>
        </w:tc>
        <w:tc>
          <w:tcPr>
            <w:tcW w:w="2248"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73"/>
              <w:ind w:right="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7" w:hRule="exact"/>
        </w:trPr>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165,708,872.92</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-165,708,872.92</w:t>
            </w:r>
          </w:p>
        </w:tc>
        <w:tc>
          <w:tcPr>
            <w:tcW w:w="2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7" w:hRule="exact"/>
        </w:trPr>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178,069,348.02</w:t>
            </w:r>
          </w:p>
        </w:tc>
        <w:tc>
          <w:tcPr>
            <w:tcW w:w="2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178,069,348.02</w:t>
            </w:r>
          </w:p>
        </w:tc>
      </w:tr>
      <w:tr>
        <w:trPr>
          <w:trHeight w:val="347" w:hRule="exact"/>
        </w:trPr>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345,640.30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w w:val="95"/>
                <w:sz w:val="18"/>
              </w:rPr>
              <w:t>-345,640.30</w:t>
            </w:r>
            <w:r>
              <w:rPr>
                <w:rFonts w:ascii="Times New Roman"/>
                <w:sz w:val="18"/>
              </w:rPr>
            </w:r>
          </w:p>
        </w:tc>
        <w:tc>
          <w:tcPr>
            <w:tcW w:w="2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8" w:hRule="exact"/>
        </w:trPr>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9,496,645.17</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345,640.30</w:t>
            </w:r>
          </w:p>
        </w:tc>
        <w:tc>
          <w:tcPr>
            <w:tcW w:w="2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9,842,285.47</w:t>
            </w:r>
          </w:p>
        </w:tc>
      </w:tr>
      <w:tr>
        <w:trPr>
          <w:trHeight w:val="347" w:hRule="exact"/>
        </w:trPr>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8,808,784.69</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-8,808,784.69</w:t>
            </w:r>
          </w:p>
        </w:tc>
        <w:tc>
          <w:tcPr>
            <w:tcW w:w="2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7" w:hRule="exact"/>
        </w:trPr>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49,300,469.40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-49,300,469.40</w:t>
            </w:r>
          </w:p>
        </w:tc>
        <w:tc>
          <w:tcPr>
            <w:tcW w:w="2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7" w:hRule="exact"/>
        </w:trPr>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58,109,254.09</w:t>
            </w:r>
          </w:p>
        </w:tc>
        <w:tc>
          <w:tcPr>
            <w:tcW w:w="2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58,109,254.09</w:t>
            </w:r>
          </w:p>
        </w:tc>
      </w:tr>
      <w:tr>
        <w:trPr>
          <w:trHeight w:val="347" w:hRule="exact"/>
        </w:trPr>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29,299.44</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w w:val="95"/>
                <w:sz w:val="18"/>
              </w:rPr>
              <w:t>-29,299.44</w:t>
            </w:r>
            <w:r>
              <w:rPr>
                <w:rFonts w:ascii="Times New Roman"/>
                <w:sz w:val="18"/>
              </w:rPr>
            </w:r>
          </w:p>
        </w:tc>
        <w:tc>
          <w:tcPr>
            <w:tcW w:w="2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8" w:hRule="exact"/>
        </w:trPr>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72,919,640.47</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29,299.44</w:t>
            </w:r>
          </w:p>
        </w:tc>
        <w:tc>
          <w:tcPr>
            <w:tcW w:w="2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72,948,939.91</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6" w:type="dxa"/>
        <w:tblLayout w:type="fixed"/>
        <w:tblCellMar>
          <w:top w:w="0" w:type="dxa"/>
          <w:left w:w="0" w:type="dxa"/>
          <w:bottom w:w="0" w:type="dxa"/>
          <w:right w:w="0" w:type="dxa"/>
        </w:tblCellMar>
        <w:tblLook w:val="01E0"/>
      </w:tblPr>
      <w:tblGrid>
        <w:gridCol w:w="2694"/>
        <w:gridCol w:w="2410"/>
        <w:gridCol w:w="2268"/>
        <w:gridCol w:w="2248"/>
      </w:tblGrid>
      <w:tr>
        <w:trPr>
          <w:trHeight w:val="347" w:hRule="exact"/>
        </w:trPr>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77,654,653.43</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-55,869,895.81</w:t>
            </w:r>
          </w:p>
        </w:tc>
        <w:tc>
          <w:tcPr>
            <w:tcW w:w="2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21,784,757.62</w:t>
            </w:r>
          </w:p>
        </w:tc>
      </w:tr>
      <w:tr>
        <w:trPr>
          <w:trHeight w:val="347" w:hRule="exact"/>
        </w:trPr>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研发支出</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55,869,895.81</w:t>
            </w:r>
          </w:p>
        </w:tc>
        <w:tc>
          <w:tcPr>
            <w:tcW w:w="2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55,869,895.81</w:t>
            </w:r>
          </w:p>
        </w:tc>
      </w:tr>
      <w:tr>
        <w:trPr>
          <w:trHeight w:val="347" w:hRule="exact"/>
        </w:trPr>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18,618,682.22</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83,550.08</w:t>
            </w:r>
          </w:p>
        </w:tc>
        <w:tc>
          <w:tcPr>
            <w:tcW w:w="2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18,702,232.30</w:t>
            </w:r>
          </w:p>
        </w:tc>
      </w:tr>
      <w:tr>
        <w:trPr>
          <w:trHeight w:val="348" w:hRule="exact"/>
        </w:trPr>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865,552.66</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w w:val="95"/>
                <w:sz w:val="18"/>
              </w:rPr>
              <w:t>-83,550.08</w:t>
            </w:r>
            <w:r>
              <w:rPr>
                <w:rFonts w:ascii="Times New Roman"/>
                <w:sz w:val="18"/>
              </w:rPr>
            </w:r>
          </w:p>
        </w:tc>
        <w:tc>
          <w:tcPr>
            <w:tcW w:w="2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782,002.58</w:t>
            </w:r>
          </w:p>
        </w:tc>
      </w:tr>
      <w:tr>
        <w:trPr>
          <w:trHeight w:val="347" w:hRule="exact"/>
        </w:trPr>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6,350,999.99</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848,400.00</w:t>
            </w:r>
          </w:p>
        </w:tc>
        <w:tc>
          <w:tcPr>
            <w:tcW w:w="2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7,199,399.99</w:t>
            </w:r>
          </w:p>
        </w:tc>
      </w:tr>
      <w:tr>
        <w:trPr>
          <w:trHeight w:val="347" w:hRule="exact"/>
        </w:trPr>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1,559,683.50</w:t>
            </w:r>
          </w:p>
        </w:tc>
        <w:tc>
          <w:tcPr>
            <w:tcW w:w="22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w w:val="95"/>
                <w:sz w:val="18"/>
              </w:rPr>
              <w:t>-848,400.00</w:t>
            </w:r>
            <w:r>
              <w:rPr>
                <w:rFonts w:ascii="Times New Roman"/>
                <w:sz w:val="18"/>
              </w:rPr>
            </w:r>
          </w:p>
        </w:tc>
        <w:tc>
          <w:tcPr>
            <w:tcW w:w="2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711,283.50</w:t>
            </w:r>
          </w:p>
        </w:tc>
      </w:tr>
    </w:tbl>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1"/>
          <w:szCs w:val="21"/>
        </w:rPr>
      </w:pPr>
    </w:p>
    <w:p>
      <w:pPr>
        <w:pStyle w:val="Heading2"/>
        <w:spacing w:line="240" w:lineRule="auto" w:before="26"/>
        <w:ind w:right="1134"/>
        <w:jc w:val="left"/>
        <w:rPr>
          <w:b w:val="0"/>
          <w:bCs w:val="0"/>
        </w:rPr>
      </w:pPr>
      <w:bookmarkStart w:name="七、与上年度财务报告相比，合并报表范围发生变化的情况说明" w:id="71"/>
      <w:bookmarkEnd w:id="71"/>
      <w:r>
        <w:rPr>
          <w:b w:val="0"/>
          <w:bCs w:val="0"/>
        </w:rPr>
      </w:r>
      <w:r>
        <w:rPr/>
        <w:t>七、与上年度财务报告相比，合并报表范围发生变化的情况说明</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left="514" w:right="1815" w:hanging="360"/>
        <w:jc w:val="left"/>
        <w:rPr>
          <w:rFonts w:ascii="Times New Roman" w:hAnsi="Times New Roman" w:cs="Times New Roman" w:eastAsia="Times New Roman" w:hint="default"/>
        </w:rPr>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本期纳入合并财务报表范围的主体较上期相比，增加</w:t>
      </w:r>
      <w:r>
        <w:rPr>
          <w:rFonts w:ascii="Times New Roman" w:hAnsi="Times New Roman" w:cs="Times New Roman" w:eastAsia="Times New Roman" w:hint="default"/>
        </w:rPr>
        <w:t>1</w:t>
      </w:r>
      <w:r>
        <w:rPr/>
        <w:t>户：瑞柏泰在香港投资设立全资子公司</w:t>
      </w:r>
      <w:r>
        <w:rPr>
          <w:rFonts w:ascii="Times New Roman" w:hAnsi="Times New Roman" w:cs="Times New Roman" w:eastAsia="Times New Roman" w:hint="default"/>
        </w:rPr>
        <w:t>Easy Go</w:t>
      </w:r>
      <w:r>
        <w:rPr>
          <w:rFonts w:ascii="Times New Roman" w:hAnsi="Times New Roman" w:cs="Times New Roman" w:eastAsia="Times New Roman" w:hint="default"/>
          <w:spacing w:val="-3"/>
        </w:rPr>
        <w:t> </w:t>
      </w:r>
      <w:r>
        <w:rPr>
          <w:rFonts w:ascii="Times New Roman" w:hAnsi="Times New Roman" w:cs="Times New Roman" w:eastAsia="Times New Roman" w:hint="default"/>
        </w:rPr>
        <w:t>Payment</w:t>
      </w:r>
    </w:p>
    <w:p>
      <w:pPr>
        <w:pStyle w:val="BodyText"/>
        <w:spacing w:line="230" w:lineRule="exact"/>
        <w:ind w:right="0"/>
        <w:jc w:val="left"/>
      </w:pPr>
      <w:r>
        <w:rPr>
          <w:rFonts w:ascii="Times New Roman" w:hAnsi="Times New Roman" w:cs="Times New Roman" w:eastAsia="Times New Roman" w:hint="default"/>
          <w:spacing w:val="-1"/>
        </w:rPr>
        <w:t>Technologies</w:t>
      </w:r>
      <w:r>
        <w:rPr>
          <w:rFonts w:ascii="Times New Roman" w:hAnsi="Times New Roman" w:cs="Times New Roman" w:eastAsia="Times New Roman" w:hint="default"/>
          <w:spacing w:val="6"/>
        </w:rPr>
        <w:t> </w:t>
      </w:r>
      <w:r>
        <w:rPr>
          <w:rFonts w:ascii="Times New Roman" w:hAnsi="Times New Roman" w:cs="Times New Roman" w:eastAsia="Times New Roman" w:hint="default"/>
          <w:spacing w:val="-2"/>
        </w:rPr>
        <w:t>Limited</w:t>
      </w:r>
      <w:r>
        <w:rPr>
          <w:spacing w:val="-2"/>
        </w:rPr>
        <w:t>（以下简称</w:t>
      </w:r>
      <w:r>
        <w:rPr>
          <w:rFonts w:ascii="Times New Roman" w:hAnsi="Times New Roman" w:cs="Times New Roman" w:eastAsia="Times New Roman" w:hint="default"/>
          <w:spacing w:val="-2"/>
        </w:rPr>
        <w:t>“</w:t>
      </w:r>
      <w:r>
        <w:rPr>
          <w:spacing w:val="-2"/>
        </w:rPr>
        <w:t>香港乐乐高</w:t>
      </w:r>
      <w:r>
        <w:rPr>
          <w:rFonts w:ascii="Times New Roman" w:hAnsi="Times New Roman" w:cs="Times New Roman" w:eastAsia="Times New Roman" w:hint="default"/>
          <w:spacing w:val="-2"/>
        </w:rPr>
        <w:t>”</w:t>
      </w:r>
      <w:r>
        <w:rPr>
          <w:spacing w:val="-2"/>
        </w:rPr>
        <w:t>），并于</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6</w:t>
      </w:r>
      <w:r>
        <w:rPr>
          <w:spacing w:val="-2"/>
        </w:rPr>
        <w:t>月</w:t>
      </w:r>
      <w:r>
        <w:rPr>
          <w:rFonts w:ascii="Times New Roman" w:hAnsi="Times New Roman" w:cs="Times New Roman" w:eastAsia="Times New Roman" w:hint="default"/>
          <w:spacing w:val="-2"/>
        </w:rPr>
        <w:t>4</w:t>
      </w:r>
      <w:r>
        <w:rPr>
          <w:spacing w:val="-2"/>
        </w:rPr>
        <w:t>日取得香港特别行政区公司注册处签发的公司注册证明书。</w:t>
      </w:r>
    </w:p>
    <w:p>
      <w:pPr>
        <w:pStyle w:val="BodyText"/>
        <w:spacing w:line="309" w:lineRule="auto" w:before="63"/>
        <w:ind w:right="0"/>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w:t>
      </w:r>
      <w:r>
        <w:rPr/>
        <w:t>日，取得深圳市经济贸易和信息化委员会颁发的编号境外投资证第</w:t>
      </w:r>
      <w:r>
        <w:rPr>
          <w:rFonts w:ascii="Times New Roman" w:hAnsi="Times New Roman" w:cs="Times New Roman" w:eastAsia="Times New Roman" w:hint="default"/>
        </w:rPr>
        <w:t>N4403201800410</w:t>
      </w:r>
      <w:r>
        <w:rPr/>
        <w:t>号的企业境外投资证书。公 </w:t>
      </w:r>
      <w:r>
        <w:rPr>
          <w:spacing w:val="-4"/>
        </w:rPr>
        <w:t>司经营范围：金融支付产品设计研发和销售；售后服务；计算机软硬件及其配套设备的设计和技术开发；自助终端产品设计、</w:t>
      </w:r>
      <w:r>
        <w:rPr>
          <w:spacing w:val="-46"/>
        </w:rPr>
        <w:t> </w:t>
      </w:r>
      <w:r>
        <w:rPr>
          <w:spacing w:val="-46"/>
        </w:rPr>
      </w:r>
      <w:r>
        <w:rPr/>
        <w:t>研发和销售。截止至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日，投资款尚未支付。</w:t>
      </w:r>
    </w:p>
    <w:tbl>
      <w:tblPr>
        <w:tblW w:w="0" w:type="auto"/>
        <w:jc w:val="left"/>
        <w:tblInd w:w="146" w:type="dxa"/>
        <w:tblLayout w:type="fixed"/>
        <w:tblCellMar>
          <w:top w:w="0" w:type="dxa"/>
          <w:left w:w="0" w:type="dxa"/>
          <w:bottom w:w="0" w:type="dxa"/>
          <w:right w:w="0" w:type="dxa"/>
        </w:tblCellMar>
        <w:tblLook w:val="01E0"/>
      </w:tblPr>
      <w:tblGrid>
        <w:gridCol w:w="3778"/>
        <w:gridCol w:w="5784"/>
      </w:tblGrid>
      <w:tr>
        <w:trPr>
          <w:trHeight w:val="347" w:hRule="exact"/>
        </w:trPr>
        <w:tc>
          <w:tcPr>
            <w:tcW w:w="377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578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变更原因</w:t>
            </w:r>
          </w:p>
        </w:tc>
      </w:tr>
      <w:tr>
        <w:trPr>
          <w:trHeight w:val="348" w:hRule="exact"/>
        </w:trPr>
        <w:tc>
          <w:tcPr>
            <w:tcW w:w="3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香港乐乐高</w:t>
            </w:r>
          </w:p>
        </w:tc>
        <w:tc>
          <w:tcPr>
            <w:tcW w:w="5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
              <w:ind w:right="0"/>
              <w:jc w:val="center"/>
              <w:rPr>
                <w:rFonts w:ascii="宋体" w:hAnsi="宋体" w:cs="宋体" w:eastAsia="宋体" w:hint="default"/>
                <w:sz w:val="18"/>
                <w:szCs w:val="18"/>
              </w:rPr>
            </w:pPr>
            <w:r>
              <w:rPr>
                <w:rFonts w:ascii="宋体" w:hAnsi="宋体" w:cs="宋体" w:eastAsia="宋体" w:hint="default"/>
                <w:sz w:val="18"/>
                <w:szCs w:val="18"/>
              </w:rPr>
              <w:t>新设</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Heading2"/>
        <w:spacing w:line="240" w:lineRule="auto" w:before="26"/>
        <w:ind w:right="1134"/>
        <w:jc w:val="left"/>
        <w:rPr>
          <w:b w:val="0"/>
          <w:bCs w:val="0"/>
        </w:rPr>
      </w:pPr>
      <w:bookmarkStart w:name="八、聘任、解聘会计师事务所情况" w:id="72"/>
      <w:bookmarkEnd w:id="72"/>
      <w:r>
        <w:rPr>
          <w:b w:val="0"/>
          <w:bCs w:val="0"/>
        </w:rPr>
      </w:r>
      <w:r>
        <w:rPr/>
        <w:t>八、聘任、解聘会计师事务所情况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t>现聘任的会计事务所</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4792"/>
        <w:gridCol w:w="4777"/>
      </w:tblGrid>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大华会计师事务所（特殊普通合伙）</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95</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陈葆华、周灵芝</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3" w:right="0"/>
              <w:jc w:val="left"/>
              <w:rPr>
                <w:rFonts w:ascii="Times New Roman" w:hAnsi="Times New Roman" w:cs="Times New Roman" w:eastAsia="Times New Roman" w:hint="default"/>
                <w:sz w:val="18"/>
                <w:szCs w:val="18"/>
              </w:rPr>
            </w:pPr>
            <w:r>
              <w:rPr>
                <w:rFonts w:ascii="Times New Roman"/>
                <w:sz w:val="18"/>
              </w:rPr>
              <w:t>1</w:t>
            </w:r>
          </w:p>
        </w:tc>
      </w:tr>
    </w:tbl>
    <w:p>
      <w:pPr>
        <w:pStyle w:val="BodyText"/>
        <w:spacing w:line="240" w:lineRule="auto" w:before="51"/>
        <w:ind w:right="1134"/>
        <w:jc w:val="left"/>
      </w:pPr>
      <w:r>
        <w:rPr/>
        <w:t>是否改聘会计师事务所</w:t>
      </w:r>
    </w:p>
    <w:p>
      <w:pPr>
        <w:pStyle w:val="BodyText"/>
        <w:spacing w:line="338" w:lineRule="auto" w:before="117"/>
        <w:ind w:right="625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聘请内部控制审计会计师事务所、财务顾问或保荐人情况</w:t>
      </w:r>
    </w:p>
    <w:p>
      <w:pPr>
        <w:pStyle w:val="BodyText"/>
        <w:spacing w:line="324" w:lineRule="auto" w:before="43"/>
        <w:ind w:right="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w:t>
      </w:r>
      <w:r>
        <w:rPr>
          <w:spacing w:val="-2"/>
        </w:rPr>
        <w:t>公司因重大资产重组事项，经第三届董事会第四次会议审议并通过《关于聘请本次交易相关中介机构的议案》，聘请东兴证</w:t>
      </w:r>
      <w:r>
        <w:rPr>
          <w:spacing w:val="-66"/>
        </w:rPr>
        <w:t> </w:t>
      </w:r>
      <w:r>
        <w:rPr>
          <w:spacing w:val="-66"/>
        </w:rPr>
      </w:r>
      <w:r>
        <w:rPr>
          <w:spacing w:val="-2"/>
        </w:rPr>
        <w:t>券股份有限公司担任公司本次交易独立财务顾问，聘请大华会计师事务所（特殊普通合伙）担任公司本次交易的专项审计机</w:t>
      </w:r>
      <w:r>
        <w:rPr>
          <w:spacing w:val="-66"/>
        </w:rPr>
        <w:t> </w:t>
      </w:r>
      <w:r>
        <w:rPr>
          <w:spacing w:val="-66"/>
        </w:rPr>
      </w:r>
      <w:r>
        <w:rPr>
          <w:spacing w:val="-2"/>
        </w:rPr>
        <w:t>构，聘请北京中企华资产评估有限责任公司担任公司本次交易专项评估机构，聘请北京市中伦（深圳）律师事务所担任公司</w:t>
      </w:r>
      <w:r>
        <w:rPr>
          <w:spacing w:val="-66"/>
        </w:rPr>
        <w:t> </w:t>
      </w:r>
      <w:r>
        <w:rPr>
          <w:spacing w:val="-66"/>
        </w:rPr>
      </w:r>
      <w:r>
        <w:rPr/>
        <w:t>本次交易的专项法律顾问，报告期内公司尚未实际支付相关费用。</w:t>
      </w:r>
    </w:p>
    <w:p>
      <w:pPr>
        <w:spacing w:line="240" w:lineRule="auto" w:before="2"/>
        <w:rPr>
          <w:rFonts w:ascii="宋体" w:hAnsi="宋体" w:cs="宋体" w:eastAsia="宋体" w:hint="default"/>
          <w:sz w:val="20"/>
          <w:szCs w:val="20"/>
        </w:rPr>
      </w:pPr>
    </w:p>
    <w:p>
      <w:pPr>
        <w:pStyle w:val="Heading2"/>
        <w:spacing w:line="240" w:lineRule="auto"/>
        <w:ind w:right="1134"/>
        <w:jc w:val="left"/>
        <w:rPr>
          <w:b w:val="0"/>
          <w:bCs w:val="0"/>
        </w:rPr>
      </w:pPr>
      <w:bookmarkStart w:name="九、年度报告披露后面临暂停上市和终止上市情况" w:id="73"/>
      <w:bookmarkEnd w:id="73"/>
      <w:r>
        <w:rPr>
          <w:b w:val="0"/>
          <w:bCs w:val="0"/>
        </w:rPr>
      </w:r>
      <w:r>
        <w:rPr/>
        <w:t>九、年度报告披露后面临暂停上市和终止上市情况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1134"/>
        <w:jc w:val="left"/>
        <w:rPr>
          <w:b w:val="0"/>
          <w:bCs w:val="0"/>
        </w:rPr>
      </w:pPr>
      <w:bookmarkStart w:name="十、破产重整相关事项" w:id="74"/>
      <w:bookmarkEnd w:id="74"/>
      <w:r>
        <w:rPr>
          <w:b w:val="0"/>
          <w:bCs w:val="0"/>
        </w:rPr>
      </w:r>
      <w:r>
        <w:rPr/>
        <w:t>十、破产重整相关事项</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76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公司报告期未发生破产重整相关事项。</w:t>
      </w:r>
    </w:p>
    <w:p>
      <w:pPr>
        <w:spacing w:line="240" w:lineRule="auto" w:before="6"/>
        <w:rPr>
          <w:rFonts w:ascii="宋体" w:hAnsi="宋体" w:cs="宋体" w:eastAsia="宋体" w:hint="default"/>
          <w:sz w:val="19"/>
          <w:szCs w:val="19"/>
        </w:rPr>
      </w:pPr>
    </w:p>
    <w:p>
      <w:pPr>
        <w:pStyle w:val="Heading2"/>
        <w:spacing w:line="240" w:lineRule="auto"/>
        <w:ind w:right="1134"/>
        <w:jc w:val="left"/>
        <w:rPr>
          <w:b w:val="0"/>
          <w:bCs w:val="0"/>
        </w:rPr>
      </w:pPr>
      <w:bookmarkStart w:name="十一、重大诉讼、仲裁事项" w:id="75"/>
      <w:bookmarkEnd w:id="75"/>
      <w:r>
        <w:rPr>
          <w:b w:val="0"/>
          <w:bCs w:val="0"/>
        </w:rPr>
      </w:r>
      <w:r>
        <w:rPr/>
        <w:t>十一、重大诉讼、仲裁事项</w:t>
      </w:r>
      <w:r>
        <w:rPr>
          <w:b w:val="0"/>
          <w:bCs w:val="0"/>
        </w:rPr>
      </w:r>
    </w:p>
    <w:p>
      <w:pPr>
        <w:spacing w:line="240" w:lineRule="auto" w:before="7"/>
        <w:rPr>
          <w:rFonts w:ascii="宋体" w:hAnsi="宋体" w:cs="宋体" w:eastAsia="宋体" w:hint="default"/>
          <w:b/>
          <w:bCs/>
          <w:sz w:val="26"/>
          <w:szCs w:val="26"/>
        </w:rPr>
      </w:pPr>
    </w:p>
    <w:p>
      <w:pPr>
        <w:pStyle w:val="BodyText"/>
        <w:spacing w:line="328" w:lineRule="auto"/>
        <w:ind w:right="12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本年度公司无重大诉讼、仲裁事项。报告期内，公司未达到重大诉讼披露标准的诉讼情况如下：追讨应收账款涉案总金额 </w:t>
      </w:r>
      <w:r>
        <w:rPr>
          <w:rFonts w:ascii="Times New Roman" w:hAnsi="Times New Roman" w:cs="Times New Roman" w:eastAsia="Times New Roman" w:hint="default"/>
        </w:rPr>
        <w:t>688.76 </w:t>
      </w:r>
      <w:r>
        <w:rPr/>
        <w:t>万元；劳动争议诉讼涉案总金额</w:t>
      </w:r>
      <w:r>
        <w:rPr>
          <w:spacing w:val="-46"/>
        </w:rPr>
        <w:t> </w:t>
      </w:r>
      <w:r>
        <w:rPr>
          <w:rFonts w:ascii="Times New Roman" w:hAnsi="Times New Roman" w:cs="Times New Roman" w:eastAsia="Times New Roman" w:hint="default"/>
        </w:rPr>
        <w:t>10.14</w:t>
      </w:r>
      <w:r>
        <w:rPr>
          <w:rFonts w:ascii="Times New Roman" w:hAnsi="Times New Roman" w:cs="Times New Roman" w:eastAsia="Times New Roman" w:hint="default"/>
          <w:spacing w:val="-1"/>
        </w:rPr>
        <w:t> </w:t>
      </w:r>
      <w:r>
        <w:rPr/>
        <w:t>万元。</w:t>
      </w:r>
    </w:p>
    <w:p>
      <w:pPr>
        <w:spacing w:line="240" w:lineRule="auto" w:before="4"/>
        <w:rPr>
          <w:rFonts w:ascii="宋体" w:hAnsi="宋体" w:cs="宋体" w:eastAsia="宋体" w:hint="default"/>
          <w:sz w:val="18"/>
          <w:szCs w:val="18"/>
        </w:rPr>
      </w:pPr>
    </w:p>
    <w:p>
      <w:pPr>
        <w:pStyle w:val="Heading2"/>
        <w:spacing w:line="240" w:lineRule="auto"/>
        <w:ind w:right="1134"/>
        <w:jc w:val="left"/>
        <w:rPr>
          <w:b w:val="0"/>
          <w:bCs w:val="0"/>
        </w:rPr>
      </w:pPr>
      <w:bookmarkStart w:name="十二、处罚及整改情况" w:id="76"/>
      <w:bookmarkEnd w:id="76"/>
      <w:r>
        <w:rPr>
          <w:b w:val="0"/>
          <w:bCs w:val="0"/>
        </w:rPr>
      </w:r>
      <w:r>
        <w:rPr/>
        <w:t>十二、处罚及整改情况</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787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公司报告期不存在处罚及整改情况。</w:t>
      </w:r>
    </w:p>
    <w:p>
      <w:pPr>
        <w:spacing w:line="240" w:lineRule="auto" w:before="6"/>
        <w:rPr>
          <w:rFonts w:ascii="宋体" w:hAnsi="宋体" w:cs="宋体" w:eastAsia="宋体" w:hint="default"/>
          <w:sz w:val="19"/>
          <w:szCs w:val="19"/>
        </w:rPr>
      </w:pPr>
    </w:p>
    <w:p>
      <w:pPr>
        <w:pStyle w:val="Heading2"/>
        <w:spacing w:line="240" w:lineRule="auto"/>
        <w:ind w:right="1134"/>
        <w:jc w:val="left"/>
        <w:rPr>
          <w:b w:val="0"/>
          <w:bCs w:val="0"/>
        </w:rPr>
      </w:pPr>
      <w:bookmarkStart w:name="十三、公司及其控股股东、实际控制人的诚信状况" w:id="77"/>
      <w:bookmarkEnd w:id="77"/>
      <w:r>
        <w:rPr>
          <w:b w:val="0"/>
          <w:bCs w:val="0"/>
        </w:rPr>
      </w:r>
      <w:r>
        <w:rPr/>
        <w:t>十三、公司及其控股股东、实际控制人的诚信状况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24"/>
          <w:szCs w:val="24"/>
        </w:rPr>
      </w:pPr>
    </w:p>
    <w:p>
      <w:pPr>
        <w:pStyle w:val="Heading2"/>
        <w:spacing w:line="240" w:lineRule="auto"/>
        <w:ind w:right="1134"/>
        <w:jc w:val="left"/>
        <w:rPr>
          <w:b w:val="0"/>
          <w:bCs w:val="0"/>
        </w:rPr>
      </w:pPr>
      <w:bookmarkStart w:name="十四、公司股权激励计划、员工持股计划或其他员工激励措施的实施情况" w:id="78"/>
      <w:bookmarkEnd w:id="78"/>
      <w:r>
        <w:rPr>
          <w:b w:val="0"/>
          <w:bCs w:val="0"/>
        </w:rPr>
      </w:r>
      <w:r>
        <w:rPr/>
        <w:t>十四、公司股权激励计划、员工持股计划或其他员工激励措施的实施情况</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445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公司报告期无股权激励计划、员工持股计划或其他员工激励措施及其实施情况。</w:t>
      </w:r>
    </w:p>
    <w:p>
      <w:pPr>
        <w:spacing w:line="240" w:lineRule="auto" w:before="3"/>
        <w:rPr>
          <w:rFonts w:ascii="宋体" w:hAnsi="宋体" w:cs="宋体" w:eastAsia="宋体" w:hint="default"/>
          <w:sz w:val="19"/>
          <w:szCs w:val="19"/>
        </w:rPr>
      </w:pPr>
    </w:p>
    <w:p>
      <w:pPr>
        <w:pStyle w:val="Heading2"/>
        <w:spacing w:line="240" w:lineRule="auto"/>
        <w:ind w:right="1134"/>
        <w:jc w:val="left"/>
        <w:rPr>
          <w:b w:val="0"/>
          <w:bCs w:val="0"/>
        </w:rPr>
      </w:pPr>
      <w:bookmarkStart w:name="十五、重大关联交易" w:id="79"/>
      <w:bookmarkEnd w:id="79"/>
      <w:r>
        <w:rPr>
          <w:b w:val="0"/>
          <w:bCs w:val="0"/>
        </w:rPr>
      </w:r>
      <w:r>
        <w:rPr/>
        <w:t>十五、重大关联交易</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与日常经营相关的关联交易" w:id="80"/>
      <w:bookmarkEnd w:id="80"/>
      <w:r>
        <w:rPr>
          <w:b w:val="0"/>
          <w:bCs w:val="0"/>
        </w:rPr>
      </w:r>
      <w:r>
        <w:rPr>
          <w:rFonts w:ascii="Times New Roman" w:hAnsi="Times New Roman" w:cs="Times New Roman" w:eastAsia="Times New Roman" w:hint="default"/>
        </w:rPr>
        <w:t>1</w:t>
      </w:r>
      <w:r>
        <w:rPr/>
        <w:t>、与日常经营相关的关联交易</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800"/>
        <w:gridCol w:w="677"/>
        <w:gridCol w:w="677"/>
        <w:gridCol w:w="703"/>
        <w:gridCol w:w="680"/>
        <w:gridCol w:w="674"/>
        <w:gridCol w:w="674"/>
        <w:gridCol w:w="674"/>
        <w:gridCol w:w="673"/>
        <w:gridCol w:w="674"/>
        <w:gridCol w:w="608"/>
        <w:gridCol w:w="740"/>
        <w:gridCol w:w="671"/>
        <w:gridCol w:w="644"/>
      </w:tblGrid>
      <w:tr>
        <w:trPr>
          <w:trHeight w:val="1338" w:hRule="exact"/>
        </w:trPr>
        <w:tc>
          <w:tcPr>
            <w:tcW w:w="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303" w:right="34" w:hanging="270"/>
              <w:jc w:val="left"/>
              <w:rPr>
                <w:rFonts w:ascii="宋体" w:hAnsi="宋体" w:cs="宋体" w:eastAsia="宋体" w:hint="default"/>
                <w:sz w:val="18"/>
                <w:szCs w:val="18"/>
              </w:rPr>
            </w:pPr>
            <w:r>
              <w:rPr>
                <w:rFonts w:ascii="宋体" w:hAnsi="宋体" w:cs="宋体" w:eastAsia="宋体" w:hint="default"/>
                <w:sz w:val="18"/>
                <w:szCs w:val="18"/>
              </w:rPr>
              <w:t>关联交易 方</w:t>
            </w:r>
          </w:p>
        </w:tc>
        <w:tc>
          <w:tcPr>
            <w:tcW w:w="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43" w:right="61" w:hanging="180"/>
              <w:jc w:val="left"/>
              <w:rPr>
                <w:rFonts w:ascii="宋体" w:hAnsi="宋体" w:cs="宋体" w:eastAsia="宋体" w:hint="default"/>
                <w:sz w:val="18"/>
                <w:szCs w:val="18"/>
              </w:rPr>
            </w:pPr>
            <w:r>
              <w:rPr>
                <w:rFonts w:ascii="宋体" w:hAnsi="宋体" w:cs="宋体" w:eastAsia="宋体" w:hint="default"/>
                <w:sz w:val="18"/>
                <w:szCs w:val="18"/>
              </w:rPr>
              <w:t>关联关 系</w:t>
            </w:r>
          </w:p>
        </w:tc>
        <w:tc>
          <w:tcPr>
            <w:tcW w:w="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63" w:right="61"/>
              <w:jc w:val="left"/>
              <w:rPr>
                <w:rFonts w:ascii="宋体" w:hAnsi="宋体" w:cs="宋体" w:eastAsia="宋体" w:hint="default"/>
                <w:sz w:val="18"/>
                <w:szCs w:val="18"/>
              </w:rPr>
            </w:pPr>
            <w:r>
              <w:rPr>
                <w:rFonts w:ascii="宋体" w:hAnsi="宋体" w:cs="宋体" w:eastAsia="宋体" w:hint="default"/>
                <w:sz w:val="18"/>
                <w:szCs w:val="18"/>
              </w:rPr>
              <w:t>关联交 易类型</w:t>
            </w:r>
          </w:p>
        </w:tc>
        <w:tc>
          <w:tcPr>
            <w:tcW w:w="7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75" w:right="77"/>
              <w:jc w:val="left"/>
              <w:rPr>
                <w:rFonts w:ascii="宋体" w:hAnsi="宋体" w:cs="宋体" w:eastAsia="宋体" w:hint="default"/>
                <w:sz w:val="18"/>
                <w:szCs w:val="18"/>
              </w:rPr>
            </w:pPr>
            <w:r>
              <w:rPr>
                <w:rFonts w:ascii="宋体" w:hAnsi="宋体" w:cs="宋体" w:eastAsia="宋体" w:hint="default"/>
                <w:sz w:val="18"/>
                <w:szCs w:val="18"/>
              </w:rPr>
              <w:t>关联交 易内容</w:t>
            </w:r>
          </w:p>
        </w:tc>
        <w:tc>
          <w:tcPr>
            <w:tcW w:w="6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64" w:right="65"/>
              <w:jc w:val="both"/>
              <w:rPr>
                <w:rFonts w:ascii="宋体" w:hAnsi="宋体" w:cs="宋体" w:eastAsia="宋体" w:hint="default"/>
                <w:sz w:val="18"/>
                <w:szCs w:val="18"/>
              </w:rPr>
            </w:pPr>
            <w:r>
              <w:rPr>
                <w:rFonts w:ascii="宋体" w:hAnsi="宋体" w:cs="宋体" w:eastAsia="宋体" w:hint="default"/>
                <w:sz w:val="18"/>
                <w:szCs w:val="18"/>
              </w:rPr>
              <w:t>关联交 易定价 原则</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61" w:right="60"/>
              <w:jc w:val="left"/>
              <w:rPr>
                <w:rFonts w:ascii="宋体" w:hAnsi="宋体" w:cs="宋体" w:eastAsia="宋体" w:hint="default"/>
                <w:sz w:val="18"/>
                <w:szCs w:val="18"/>
              </w:rPr>
            </w:pPr>
            <w:r>
              <w:rPr>
                <w:rFonts w:ascii="宋体" w:hAnsi="宋体" w:cs="宋体" w:eastAsia="宋体" w:hint="default"/>
                <w:sz w:val="18"/>
                <w:szCs w:val="18"/>
              </w:rPr>
              <w:t>关联交 易价格</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2" w:right="60"/>
              <w:jc w:val="left"/>
              <w:rPr>
                <w:rFonts w:ascii="宋体" w:hAnsi="宋体" w:cs="宋体" w:eastAsia="宋体" w:hint="default"/>
                <w:sz w:val="18"/>
                <w:szCs w:val="18"/>
              </w:rPr>
            </w:pPr>
            <w:r>
              <w:rPr>
                <w:rFonts w:ascii="宋体" w:hAnsi="宋体" w:cs="宋体" w:eastAsia="宋体" w:hint="default"/>
                <w:sz w:val="18"/>
                <w:szCs w:val="18"/>
              </w:rPr>
              <w:t>关联交 易金额</w:t>
            </w:r>
          </w:p>
          <w:p>
            <w:pPr>
              <w:pStyle w:val="TableParagraph"/>
              <w:spacing w:line="319" w:lineRule="auto" w:before="19"/>
              <w:ind w:left="152" w:right="150"/>
              <w:jc w:val="left"/>
              <w:rPr>
                <w:rFonts w:ascii="宋体" w:hAnsi="宋体" w:cs="宋体" w:eastAsia="宋体" w:hint="default"/>
                <w:sz w:val="18"/>
                <w:szCs w:val="18"/>
              </w:rPr>
            </w:pPr>
            <w:r>
              <w:rPr>
                <w:rFonts w:ascii="宋体" w:hAnsi="宋体" w:cs="宋体" w:eastAsia="宋体" w:hint="default"/>
                <w:sz w:val="18"/>
                <w:szCs w:val="18"/>
              </w:rPr>
              <w:t>（万 元）</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1" w:right="61"/>
              <w:jc w:val="center"/>
              <w:rPr>
                <w:rFonts w:ascii="宋体" w:hAnsi="宋体" w:cs="宋体" w:eastAsia="宋体" w:hint="default"/>
                <w:sz w:val="18"/>
                <w:szCs w:val="18"/>
              </w:rPr>
            </w:pPr>
            <w:r>
              <w:rPr>
                <w:rFonts w:ascii="宋体" w:hAnsi="宋体" w:cs="宋体" w:eastAsia="宋体" w:hint="default"/>
                <w:sz w:val="18"/>
                <w:szCs w:val="18"/>
              </w:rPr>
              <w:t>占同类 交易金 额的比 例</w:t>
            </w:r>
          </w:p>
        </w:tc>
        <w:tc>
          <w:tcPr>
            <w:tcW w:w="67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61" w:right="60"/>
              <w:jc w:val="both"/>
              <w:rPr>
                <w:rFonts w:ascii="宋体" w:hAnsi="宋体" w:cs="宋体" w:eastAsia="宋体" w:hint="default"/>
                <w:sz w:val="18"/>
                <w:szCs w:val="18"/>
              </w:rPr>
            </w:pPr>
            <w:r>
              <w:rPr>
                <w:rFonts w:ascii="宋体" w:hAnsi="宋体" w:cs="宋体" w:eastAsia="宋体" w:hint="default"/>
                <w:sz w:val="18"/>
                <w:szCs w:val="18"/>
              </w:rPr>
              <w:t>获批的 交易额 度（万 元）</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62" w:right="60"/>
              <w:jc w:val="both"/>
              <w:rPr>
                <w:rFonts w:ascii="宋体" w:hAnsi="宋体" w:cs="宋体" w:eastAsia="宋体" w:hint="default"/>
                <w:sz w:val="18"/>
                <w:szCs w:val="18"/>
              </w:rPr>
            </w:pPr>
            <w:r>
              <w:rPr>
                <w:rFonts w:ascii="宋体" w:hAnsi="宋体" w:cs="宋体" w:eastAsia="宋体" w:hint="default"/>
                <w:sz w:val="18"/>
                <w:szCs w:val="18"/>
              </w:rPr>
              <w:t>是否超 过获批 额度</w:t>
            </w:r>
          </w:p>
        </w:tc>
        <w:tc>
          <w:tcPr>
            <w:tcW w:w="6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7" w:right="28"/>
              <w:jc w:val="both"/>
              <w:rPr>
                <w:rFonts w:ascii="宋体" w:hAnsi="宋体" w:cs="宋体" w:eastAsia="宋体" w:hint="default"/>
                <w:sz w:val="18"/>
                <w:szCs w:val="18"/>
              </w:rPr>
            </w:pPr>
            <w:r>
              <w:rPr>
                <w:rFonts w:ascii="宋体" w:hAnsi="宋体" w:cs="宋体" w:eastAsia="宋体" w:hint="default"/>
                <w:sz w:val="18"/>
                <w:szCs w:val="18"/>
              </w:rPr>
              <w:t>关联交 易结算 方式</w:t>
            </w:r>
          </w:p>
        </w:tc>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94" w:right="95"/>
              <w:jc w:val="center"/>
              <w:rPr>
                <w:rFonts w:ascii="宋体" w:hAnsi="宋体" w:cs="宋体" w:eastAsia="宋体" w:hint="default"/>
                <w:sz w:val="18"/>
                <w:szCs w:val="18"/>
              </w:rPr>
            </w:pPr>
            <w:r>
              <w:rPr>
                <w:rFonts w:ascii="宋体" w:hAnsi="宋体" w:cs="宋体" w:eastAsia="宋体" w:hint="default"/>
                <w:sz w:val="18"/>
                <w:szCs w:val="18"/>
              </w:rPr>
              <w:t>可获得 的同类 交易市 价</w:t>
            </w:r>
          </w:p>
        </w:tc>
        <w:tc>
          <w:tcPr>
            <w:tcW w:w="6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41" w:right="59" w:hanging="180"/>
              <w:jc w:val="left"/>
              <w:rPr>
                <w:rFonts w:ascii="宋体" w:hAnsi="宋体" w:cs="宋体" w:eastAsia="宋体" w:hint="default"/>
                <w:sz w:val="18"/>
                <w:szCs w:val="18"/>
              </w:rPr>
            </w:pPr>
            <w:r>
              <w:rPr>
                <w:rFonts w:ascii="宋体" w:hAnsi="宋体" w:cs="宋体" w:eastAsia="宋体" w:hint="default"/>
                <w:sz w:val="18"/>
                <w:szCs w:val="18"/>
              </w:rPr>
              <w:t>披露日 期</w:t>
            </w:r>
          </w:p>
        </w:tc>
        <w:tc>
          <w:tcPr>
            <w:tcW w:w="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26" w:right="47" w:hanging="180"/>
              <w:jc w:val="left"/>
              <w:rPr>
                <w:rFonts w:ascii="宋体" w:hAnsi="宋体" w:cs="宋体" w:eastAsia="宋体" w:hint="default"/>
                <w:sz w:val="18"/>
                <w:szCs w:val="18"/>
              </w:rPr>
            </w:pPr>
            <w:r>
              <w:rPr>
                <w:rFonts w:ascii="宋体" w:hAnsi="宋体" w:cs="宋体" w:eastAsia="宋体" w:hint="default"/>
                <w:sz w:val="18"/>
                <w:szCs w:val="18"/>
              </w:rPr>
              <w:t>披露索 引</w:t>
            </w:r>
          </w:p>
        </w:tc>
      </w:tr>
      <w:tr>
        <w:trPr>
          <w:trHeight w:val="2586" w:hRule="exact"/>
        </w:trPr>
        <w:tc>
          <w:tcPr>
            <w:tcW w:w="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326" w:lineRule="auto"/>
              <w:ind w:left="22" w:right="6"/>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GUO</w:t>
            </w:r>
            <w:r>
              <w:rPr>
                <w:rFonts w:ascii="Times New Roman" w:hAnsi="Times New Roman" w:cs="Times New Roman" w:eastAsia="Times New Roman" w:hint="default"/>
                <w:spacing w:val="-1"/>
                <w:w w:val="99"/>
                <w:sz w:val="18"/>
                <w:szCs w:val="18"/>
              </w:rPr>
              <w:t> </w:t>
            </w:r>
            <w:r>
              <w:rPr>
                <w:rFonts w:ascii="Times New Roman" w:hAnsi="Times New Roman" w:cs="Times New Roman" w:eastAsia="Times New Roman" w:hint="default"/>
                <w:sz w:val="18"/>
                <w:szCs w:val="18"/>
              </w:rPr>
              <w:t>SONG</w:t>
            </w:r>
            <w:r>
              <w:rPr>
                <w:rFonts w:ascii="宋体" w:hAnsi="宋体" w:cs="宋体" w:eastAsia="宋体" w:hint="default"/>
                <w:sz w:val="18"/>
                <w:szCs w:val="18"/>
              </w:rPr>
              <w:t>、 </w:t>
            </w:r>
            <w:r>
              <w:rPr>
                <w:rFonts w:ascii="Times New Roman" w:hAnsi="Times New Roman" w:cs="Times New Roman" w:eastAsia="Times New Roman" w:hint="default"/>
                <w:sz w:val="18"/>
                <w:szCs w:val="18"/>
              </w:rPr>
              <w:t>CHEN</w:t>
            </w:r>
            <w:r>
              <w:rPr>
                <w:rFonts w:ascii="Times New Roman" w:hAnsi="Times New Roman" w:cs="Times New Roman" w:eastAsia="Times New Roman" w:hint="default"/>
                <w:w w:val="99"/>
                <w:sz w:val="18"/>
                <w:szCs w:val="18"/>
              </w:rPr>
              <w:t> </w:t>
            </w:r>
            <w:r>
              <w:rPr>
                <w:rFonts w:ascii="Times New Roman" w:hAnsi="Times New Roman" w:cs="Times New Roman" w:eastAsia="Times New Roman" w:hint="default"/>
                <w:sz w:val="18"/>
                <w:szCs w:val="18"/>
              </w:rPr>
              <w:t>YIHAN</w:t>
            </w:r>
            <w:r>
              <w:rPr>
                <w:rFonts w:ascii="宋体" w:hAnsi="宋体" w:cs="宋体" w:eastAsia="宋体" w:hint="default"/>
                <w:sz w:val="18"/>
                <w:szCs w:val="18"/>
              </w:rPr>
              <w:t>、 </w:t>
            </w:r>
            <w:r>
              <w:rPr>
                <w:rFonts w:ascii="Times New Roman" w:hAnsi="Times New Roman" w:cs="Times New Roman" w:eastAsia="Times New Roman" w:hint="default"/>
                <w:sz w:val="18"/>
                <w:szCs w:val="18"/>
              </w:rPr>
              <w:t>LIU</w:t>
            </w:r>
            <w:r>
              <w:rPr>
                <w:rFonts w:ascii="Times New Roman" w:hAnsi="Times New Roman" w:cs="Times New Roman" w:eastAsia="Times New Roman" w:hint="default"/>
                <w:spacing w:val="-2"/>
                <w:sz w:val="18"/>
                <w:szCs w:val="18"/>
              </w:rPr>
              <w:t> </w:t>
            </w:r>
            <w:r>
              <w:rPr>
                <w:rFonts w:ascii="Times New Roman" w:hAnsi="Times New Roman" w:cs="Times New Roman" w:eastAsia="Times New Roman" w:hint="default"/>
                <w:sz w:val="18"/>
                <w:szCs w:val="18"/>
              </w:rPr>
              <w:t>DAN</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316" w:lineRule="auto"/>
              <w:ind w:left="22" w:right="102"/>
              <w:jc w:val="left"/>
              <w:rPr>
                <w:rFonts w:ascii="宋体" w:hAnsi="宋体" w:cs="宋体" w:eastAsia="宋体" w:hint="default"/>
                <w:sz w:val="18"/>
                <w:szCs w:val="18"/>
              </w:rPr>
            </w:pPr>
            <w:r>
              <w:rPr>
                <w:rFonts w:ascii="宋体" w:hAnsi="宋体" w:cs="宋体" w:eastAsia="宋体" w:hint="default"/>
                <w:sz w:val="18"/>
                <w:szCs w:val="18"/>
              </w:rPr>
              <w:t>实际控 制人</w:t>
            </w:r>
          </w:p>
        </w:tc>
        <w:tc>
          <w:tcPr>
            <w:tcW w:w="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9" w:lineRule="auto"/>
              <w:ind w:left="22" w:right="102"/>
              <w:jc w:val="both"/>
              <w:rPr>
                <w:rFonts w:ascii="宋体" w:hAnsi="宋体" w:cs="宋体" w:eastAsia="宋体" w:hint="default"/>
                <w:sz w:val="18"/>
                <w:szCs w:val="18"/>
              </w:rPr>
            </w:pPr>
            <w:r>
              <w:rPr>
                <w:rFonts w:ascii="宋体" w:hAnsi="宋体" w:cs="宋体" w:eastAsia="宋体" w:hint="default"/>
                <w:sz w:val="18"/>
                <w:szCs w:val="18"/>
              </w:rPr>
              <w:t>为公司 及子公 司提供 担保</w:t>
            </w:r>
          </w:p>
        </w:tc>
        <w:tc>
          <w:tcPr>
            <w:tcW w:w="70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28"/>
              <w:jc w:val="both"/>
              <w:rPr>
                <w:rFonts w:ascii="宋体" w:hAnsi="宋体" w:cs="宋体" w:eastAsia="宋体" w:hint="default"/>
                <w:sz w:val="18"/>
                <w:szCs w:val="18"/>
              </w:rPr>
            </w:pPr>
            <w:r>
              <w:rPr>
                <w:rFonts w:ascii="宋体" w:hAnsi="宋体" w:cs="宋体" w:eastAsia="宋体" w:hint="default"/>
                <w:sz w:val="18"/>
                <w:szCs w:val="18"/>
              </w:rPr>
              <w:t>为公司 及子公 司向银 行申请 授信提 供个人 信用免 费担保</w:t>
            </w:r>
          </w:p>
        </w:tc>
        <w:tc>
          <w:tcPr>
            <w:tcW w:w="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87"/>
              <w:jc w:val="right"/>
              <w:rPr>
                <w:rFonts w:ascii="宋体" w:hAnsi="宋体" w:cs="宋体" w:eastAsia="宋体" w:hint="default"/>
                <w:sz w:val="18"/>
                <w:szCs w:val="18"/>
              </w:rPr>
            </w:pPr>
            <w:r>
              <w:rPr>
                <w:rFonts w:ascii="宋体" w:hAnsi="宋体" w:cs="宋体" w:eastAsia="宋体" w:hint="default"/>
                <w:sz w:val="18"/>
                <w:szCs w:val="18"/>
              </w:rPr>
              <w:t>无偿</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279"/>
              <w:jc w:val="right"/>
              <w:rPr>
                <w:rFonts w:ascii="宋体" w:hAnsi="宋体" w:cs="宋体" w:eastAsia="宋体" w:hint="default"/>
                <w:sz w:val="18"/>
                <w:szCs w:val="18"/>
              </w:rPr>
            </w:pPr>
            <w:r>
              <w:rPr>
                <w:rFonts w:ascii="宋体" w:hAnsi="宋体" w:cs="宋体" w:eastAsia="宋体" w:hint="default"/>
                <w:sz w:val="18"/>
                <w:szCs w:val="18"/>
              </w:rPr>
              <w:t>无偿</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113,000</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34" w:right="0"/>
              <w:jc w:val="center"/>
              <w:rPr>
                <w:rFonts w:ascii="Times New Roman" w:hAnsi="Times New Roman" w:cs="Times New Roman" w:eastAsia="Times New Roman" w:hint="default"/>
                <w:sz w:val="18"/>
                <w:szCs w:val="18"/>
              </w:rPr>
            </w:pPr>
            <w:r>
              <w:rPr>
                <w:rFonts w:ascii="Times New Roman"/>
                <w:sz w:val="18"/>
              </w:rPr>
              <w:t>150,000</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6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right="10"/>
              <w:jc w:val="center"/>
              <w:rPr>
                <w:rFonts w:ascii="宋体" w:hAnsi="宋体" w:cs="宋体" w:eastAsia="宋体" w:hint="default"/>
                <w:sz w:val="18"/>
                <w:szCs w:val="18"/>
              </w:rPr>
            </w:pPr>
            <w:r>
              <w:rPr>
                <w:rFonts w:ascii="宋体" w:hAnsi="宋体" w:cs="宋体" w:eastAsia="宋体" w:hint="default"/>
                <w:sz w:val="18"/>
                <w:szCs w:val="18"/>
              </w:rPr>
              <w:t>不适用</w:t>
            </w:r>
          </w:p>
        </w:tc>
        <w:tc>
          <w:tcPr>
            <w:tcW w:w="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不适用</w:t>
            </w:r>
          </w:p>
        </w:tc>
        <w:tc>
          <w:tcPr>
            <w:tcW w:w="6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1"/>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25</w:t>
            </w:r>
          </w:p>
          <w:p>
            <w:pPr>
              <w:pStyle w:val="TableParagraph"/>
              <w:spacing w:line="240" w:lineRule="auto" w:before="64"/>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2" w:right="71"/>
              <w:jc w:val="both"/>
              <w:rPr>
                <w:rFonts w:ascii="宋体" w:hAnsi="宋体" w:cs="宋体" w:eastAsia="宋体" w:hint="default"/>
                <w:sz w:val="18"/>
                <w:szCs w:val="18"/>
              </w:rPr>
            </w:pPr>
            <w:r>
              <w:rPr>
                <w:rFonts w:ascii="宋体" w:hAnsi="宋体" w:cs="宋体" w:eastAsia="宋体" w:hint="default"/>
                <w:sz w:val="18"/>
                <w:szCs w:val="18"/>
              </w:rPr>
              <w:t>巨潮资 讯网， 公告编 号：</w:t>
            </w:r>
          </w:p>
          <w:p>
            <w:pPr>
              <w:pStyle w:val="TableParagraph"/>
              <w:spacing w:line="240" w:lineRule="auto" w:before="59"/>
              <w:ind w:left="22" w:right="0"/>
              <w:jc w:val="both"/>
              <w:rPr>
                <w:rFonts w:ascii="Times New Roman" w:hAnsi="Times New Roman" w:cs="Times New Roman" w:eastAsia="Times New Roman" w:hint="default"/>
                <w:sz w:val="18"/>
                <w:szCs w:val="18"/>
              </w:rPr>
            </w:pPr>
            <w:r>
              <w:rPr>
                <w:rFonts w:ascii="Times New Roman"/>
                <w:sz w:val="18"/>
              </w:rPr>
              <w:t>2018-0</w:t>
            </w:r>
          </w:p>
          <w:p>
            <w:pPr>
              <w:pStyle w:val="TableParagraph"/>
              <w:spacing w:line="240" w:lineRule="auto" w:before="106"/>
              <w:ind w:left="22" w:right="0"/>
              <w:jc w:val="both"/>
              <w:rPr>
                <w:rFonts w:ascii="Times New Roman" w:hAnsi="Times New Roman" w:cs="Times New Roman" w:eastAsia="Times New Roman" w:hint="default"/>
                <w:sz w:val="18"/>
                <w:szCs w:val="18"/>
              </w:rPr>
            </w:pPr>
            <w:r>
              <w:rPr>
                <w:rFonts w:ascii="Times New Roman"/>
                <w:sz w:val="18"/>
              </w:rPr>
              <w:t>31</w:t>
            </w:r>
          </w:p>
        </w:tc>
      </w:tr>
      <w:tr>
        <w:trPr>
          <w:trHeight w:val="403" w:hRule="exact"/>
        </w:trPr>
        <w:tc>
          <w:tcPr>
            <w:tcW w:w="2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6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275"/>
              <w:jc w:val="right"/>
              <w:rPr>
                <w:rFonts w:ascii="Times New Roman" w:hAnsi="Times New Roman" w:cs="Times New Roman" w:eastAsia="Times New Roman" w:hint="default"/>
                <w:sz w:val="18"/>
                <w:szCs w:val="18"/>
              </w:rPr>
            </w:pPr>
            <w:r>
              <w:rPr>
                <w:rFonts w:ascii="Times New Roman"/>
                <w:sz w:val="18"/>
              </w:rPr>
              <w:t>--</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270"/>
              <w:jc w:val="right"/>
              <w:rPr>
                <w:rFonts w:ascii="Times New Roman" w:hAnsi="Times New Roman" w:cs="Times New Roman" w:eastAsia="Times New Roman" w:hint="default"/>
                <w:sz w:val="18"/>
                <w:szCs w:val="18"/>
              </w:rPr>
            </w:pPr>
            <w:r>
              <w:rPr>
                <w:rFonts w:ascii="Times New Roman"/>
                <w:sz w:val="18"/>
              </w:rPr>
              <w:t>--</w:t>
            </w:r>
          </w:p>
        </w:tc>
        <w:tc>
          <w:tcPr>
            <w:tcW w:w="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2"/>
                <w:sz w:val="18"/>
              </w:rPr>
              <w:t>113,000</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67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left="22" w:right="0"/>
              <w:jc w:val="center"/>
              <w:rPr>
                <w:rFonts w:ascii="Times New Roman" w:hAnsi="Times New Roman" w:cs="Times New Roman" w:eastAsia="Times New Roman" w:hint="default"/>
                <w:sz w:val="18"/>
                <w:szCs w:val="18"/>
              </w:rPr>
            </w:pPr>
            <w:r>
              <w:rPr>
                <w:rFonts w:ascii="Times New Roman"/>
                <w:sz w:val="18"/>
              </w:rPr>
              <w:t>150,000</w:t>
            </w:r>
          </w:p>
        </w:tc>
        <w:tc>
          <w:tcPr>
            <w:tcW w:w="6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6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6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w:t>
            </w:r>
          </w:p>
        </w:tc>
        <w:tc>
          <w:tcPr>
            <w:tcW w:w="6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7502"/>
        <w:gridCol w:w="2068"/>
      </w:tblGrid>
      <w:tr>
        <w:trPr>
          <w:trHeight w:val="402" w:hRule="exact"/>
        </w:trPr>
        <w:tc>
          <w:tcPr>
            <w:tcW w:w="75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大额销货退回的详细情况</w:t>
            </w:r>
          </w:p>
        </w:tc>
        <w:tc>
          <w:tcPr>
            <w:tcW w:w="206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left="27"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75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按类别对本期将发生的日常关联交易进行总金额预计的，在报告期内的实际履行情况（如有）</w:t>
            </w:r>
          </w:p>
        </w:tc>
        <w:tc>
          <w:tcPr>
            <w:tcW w:w="206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left="27"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75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交易价格与市场参考价格差异较大的原因（如适用）</w:t>
            </w:r>
          </w:p>
        </w:tc>
        <w:tc>
          <w:tcPr>
            <w:tcW w:w="206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51"/>
              <w:ind w:left="27" w:right="0"/>
              <w:jc w:val="left"/>
              <w:rPr>
                <w:rFonts w:ascii="宋体" w:hAnsi="宋体" w:cs="宋体" w:eastAsia="宋体" w:hint="default"/>
                <w:sz w:val="18"/>
                <w:szCs w:val="18"/>
              </w:rPr>
            </w:pPr>
            <w:r>
              <w:rPr>
                <w:rFonts w:ascii="宋体" w:hAnsi="宋体" w:cs="宋体" w:eastAsia="宋体" w:hint="default"/>
                <w:sz w:val="18"/>
                <w:szCs w:val="18"/>
              </w:rPr>
              <w:t>不适用</w:t>
            </w:r>
          </w:p>
        </w:tc>
      </w:tr>
    </w:tbl>
    <w:p>
      <w:pPr>
        <w:spacing w:line="240" w:lineRule="auto" w:before="3"/>
        <w:rPr>
          <w:rFonts w:ascii="宋体" w:hAnsi="宋体" w:cs="宋体" w:eastAsia="宋体" w:hint="default"/>
          <w:sz w:val="19"/>
          <w:szCs w:val="19"/>
        </w:rPr>
      </w:pPr>
    </w:p>
    <w:p>
      <w:pPr>
        <w:pStyle w:val="Heading3"/>
        <w:spacing w:line="240" w:lineRule="auto" w:before="35"/>
        <w:ind w:right="0"/>
        <w:jc w:val="both"/>
        <w:rPr>
          <w:b w:val="0"/>
          <w:bCs w:val="0"/>
        </w:rPr>
      </w:pPr>
      <w:bookmarkStart w:name="2、资产或股权收购、出售发生的关联交易" w:id="81"/>
      <w:bookmarkEnd w:id="81"/>
      <w:r>
        <w:rPr>
          <w:b w:val="0"/>
          <w:bCs w:val="0"/>
        </w:rPr>
      </w:r>
      <w:r>
        <w:rPr>
          <w:rFonts w:ascii="Times New Roman" w:hAnsi="Times New Roman" w:cs="Times New Roman" w:eastAsia="Times New Roman" w:hint="default"/>
        </w:rPr>
        <w:t>2</w:t>
      </w:r>
      <w:r>
        <w:rPr/>
        <w:t>、资产或股权收购、出售发生的关联交易</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64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公司报告期未发生资产或股权收购、出售的关联交易。</w:t>
      </w:r>
    </w:p>
    <w:p>
      <w:pPr>
        <w:spacing w:line="240" w:lineRule="auto" w:before="12"/>
        <w:rPr>
          <w:rFonts w:ascii="宋体" w:hAnsi="宋体" w:cs="宋体" w:eastAsia="宋体" w:hint="default"/>
          <w:sz w:val="20"/>
          <w:szCs w:val="20"/>
        </w:rPr>
      </w:pPr>
    </w:p>
    <w:p>
      <w:pPr>
        <w:pStyle w:val="Heading3"/>
        <w:spacing w:line="240" w:lineRule="auto"/>
        <w:ind w:right="0"/>
        <w:jc w:val="both"/>
        <w:rPr>
          <w:b w:val="0"/>
          <w:bCs w:val="0"/>
        </w:rPr>
      </w:pPr>
      <w:bookmarkStart w:name="3、共同对外投资的关联交易" w:id="82"/>
      <w:bookmarkEnd w:id="82"/>
      <w:r>
        <w:rPr>
          <w:b w:val="0"/>
          <w:bCs w:val="0"/>
        </w:rPr>
      </w:r>
      <w:r>
        <w:rPr>
          <w:rFonts w:ascii="Times New Roman" w:hAnsi="Times New Roman" w:cs="Times New Roman" w:eastAsia="Times New Roman" w:hint="default"/>
        </w:rPr>
        <w:t>3</w:t>
      </w:r>
      <w:r>
        <w:rPr/>
        <w:t>、共同对外投资的关联交易</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715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公司报告期未发生共同对外投资的关联交易。</w:t>
      </w:r>
    </w:p>
    <w:p>
      <w:pPr>
        <w:spacing w:line="240" w:lineRule="auto" w:before="1"/>
        <w:rPr>
          <w:rFonts w:ascii="宋体" w:hAnsi="宋体" w:cs="宋体" w:eastAsia="宋体" w:hint="default"/>
          <w:sz w:val="21"/>
          <w:szCs w:val="21"/>
        </w:rPr>
      </w:pPr>
    </w:p>
    <w:p>
      <w:pPr>
        <w:pStyle w:val="Heading3"/>
        <w:spacing w:line="240" w:lineRule="auto"/>
        <w:ind w:right="0"/>
        <w:jc w:val="both"/>
        <w:rPr>
          <w:b w:val="0"/>
          <w:bCs w:val="0"/>
        </w:rPr>
      </w:pPr>
      <w:bookmarkStart w:name="4、关联债权债务往来" w:id="83"/>
      <w:bookmarkEnd w:id="83"/>
      <w:r>
        <w:rPr>
          <w:b w:val="0"/>
          <w:bCs w:val="0"/>
        </w:rPr>
      </w:r>
      <w:r>
        <w:rPr>
          <w:rFonts w:ascii="Times New Roman" w:hAnsi="Times New Roman" w:cs="Times New Roman" w:eastAsia="Times New Roman" w:hint="default"/>
        </w:rPr>
        <w:t>4</w:t>
      </w:r>
      <w:r>
        <w:rPr/>
        <w:t>、关联债权债务往来</w:t>
      </w:r>
      <w:r>
        <w:rPr>
          <w:b w:val="0"/>
          <w:bCs w:val="0"/>
        </w:rPr>
      </w:r>
    </w:p>
    <w:p>
      <w:pPr>
        <w:spacing w:line="240" w:lineRule="auto" w:before="9"/>
        <w:rPr>
          <w:rFonts w:ascii="宋体" w:hAnsi="宋体" w:cs="宋体" w:eastAsia="宋体" w:hint="default"/>
          <w:b/>
          <w:bCs/>
          <w:sz w:val="26"/>
          <w:szCs w:val="26"/>
        </w:rPr>
      </w:pPr>
    </w:p>
    <w:p>
      <w:pPr>
        <w:pStyle w:val="BodyText"/>
        <w:spacing w:line="340" w:lineRule="auto"/>
        <w:ind w:right="76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公司报告期不存在关联债权债务往来。</w:t>
      </w:r>
    </w:p>
    <w:p>
      <w:pPr>
        <w:spacing w:line="240" w:lineRule="auto" w:before="12"/>
        <w:rPr>
          <w:rFonts w:ascii="宋体" w:hAnsi="宋体" w:cs="宋体" w:eastAsia="宋体" w:hint="default"/>
          <w:sz w:val="20"/>
          <w:szCs w:val="20"/>
        </w:rPr>
      </w:pPr>
    </w:p>
    <w:p>
      <w:pPr>
        <w:pStyle w:val="Heading3"/>
        <w:spacing w:line="240" w:lineRule="auto"/>
        <w:ind w:right="0"/>
        <w:jc w:val="both"/>
        <w:rPr>
          <w:b w:val="0"/>
          <w:bCs w:val="0"/>
        </w:rPr>
      </w:pPr>
      <w:bookmarkStart w:name="5、其他重大关联交易" w:id="84"/>
      <w:bookmarkEnd w:id="84"/>
      <w:r>
        <w:rPr>
          <w:b w:val="0"/>
          <w:bCs w:val="0"/>
        </w:rPr>
      </w:r>
      <w:r>
        <w:rPr>
          <w:rFonts w:ascii="Times New Roman" w:hAnsi="Times New Roman" w:cs="Times New Roman" w:eastAsia="Times New Roman" w:hint="default"/>
        </w:rPr>
        <w:t>5</w:t>
      </w:r>
      <w:r>
        <w:rPr/>
        <w:t>、其他重大关联交易</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left="514" w:right="1118" w:hanging="3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w:t>
      </w:r>
      <w:r>
        <w:rPr>
          <w:spacing w:val="-2"/>
        </w:rPr>
        <w:t>为加快在国内外行业智能移动应用、人工智能、物联网、大数据、自动识别等领域的布局，优博讯拟与上海清科创业投</w:t>
      </w:r>
    </w:p>
    <w:p>
      <w:pPr>
        <w:pStyle w:val="BodyText"/>
        <w:spacing w:line="300" w:lineRule="auto" w:before="2"/>
        <w:ind w:right="1130"/>
        <w:jc w:val="both"/>
      </w:pPr>
      <w:r>
        <w:rPr>
          <w:spacing w:val="-1"/>
        </w:rPr>
        <w:t>资管理有限公司（以下简称</w:t>
      </w:r>
      <w:r>
        <w:rPr>
          <w:rFonts w:ascii="Times New Roman" w:hAnsi="Times New Roman" w:cs="Times New Roman" w:eastAsia="Times New Roman" w:hint="default"/>
          <w:spacing w:val="-1"/>
        </w:rPr>
        <w:t>“</w:t>
      </w:r>
      <w:r>
        <w:rPr>
          <w:spacing w:val="-1"/>
        </w:rPr>
        <w:t>上海清科</w:t>
      </w:r>
      <w:r>
        <w:rPr>
          <w:rFonts w:ascii="Times New Roman" w:hAnsi="Times New Roman" w:cs="Times New Roman" w:eastAsia="Times New Roman" w:hint="default"/>
          <w:spacing w:val="-1"/>
        </w:rPr>
        <w:t>”</w:t>
      </w:r>
      <w:r>
        <w:rPr>
          <w:spacing w:val="-1"/>
        </w:rPr>
        <w:t>）、深圳市博通思创咨询有限公司（以下简称</w:t>
      </w:r>
      <w:r>
        <w:rPr>
          <w:rFonts w:ascii="Times New Roman" w:hAnsi="Times New Roman" w:cs="Times New Roman" w:eastAsia="Times New Roman" w:hint="default"/>
          <w:spacing w:val="-1"/>
        </w:rPr>
        <w:t>“</w:t>
      </w:r>
      <w:r>
        <w:rPr>
          <w:spacing w:val="-1"/>
        </w:rPr>
        <w:t>博通思创</w:t>
      </w:r>
      <w:r>
        <w:rPr>
          <w:rFonts w:ascii="Times New Roman" w:hAnsi="Times New Roman" w:cs="Times New Roman" w:eastAsia="Times New Roman" w:hint="default"/>
          <w:spacing w:val="-1"/>
        </w:rPr>
        <w:t>”</w:t>
      </w:r>
      <w:r>
        <w:rPr>
          <w:spacing w:val="-1"/>
        </w:rPr>
        <w:t>）签署《杭州清科优博讯投</w:t>
      </w:r>
      <w:r>
        <w:rPr>
          <w:spacing w:val="-82"/>
        </w:rPr>
        <w:t> </w:t>
      </w:r>
      <w:r>
        <w:rPr>
          <w:spacing w:val="-82"/>
        </w:rPr>
      </w:r>
      <w:r>
        <w:rPr/>
        <w:t>资管理合伙企业（有限合伙）合伙协议》，共同投资设立杭州清科优博讯投资管理合伙企业（有限合伙）（以下简称</w:t>
      </w:r>
      <w:r>
        <w:rPr>
          <w:rFonts w:ascii="Times New Roman" w:hAnsi="Times New Roman" w:cs="Times New Roman" w:eastAsia="Times New Roman" w:hint="default"/>
        </w:rPr>
        <w:t>“</w:t>
      </w:r>
      <w:r>
        <w:rPr/>
        <w:t>产业 基金</w:t>
      </w:r>
      <w:r>
        <w:rPr>
          <w:rFonts w:ascii="Times New Roman" w:hAnsi="Times New Roman" w:cs="Times New Roman" w:eastAsia="Times New Roman" w:hint="default"/>
        </w:rPr>
        <w:t>”</w:t>
      </w:r>
      <w:r>
        <w:rPr/>
        <w:t>）。产业基金的目标总认缴出资额为人民币</w:t>
      </w:r>
      <w:r>
        <w:rPr>
          <w:rFonts w:ascii="Times New Roman" w:hAnsi="Times New Roman" w:cs="Times New Roman" w:eastAsia="Times New Roman" w:hint="default"/>
        </w:rPr>
        <w:t>2.05</w:t>
      </w:r>
      <w:r>
        <w:rPr/>
        <w:t>亿元，其中优博讯作为有限合伙人以自有资金认缴出资</w:t>
      </w:r>
      <w:r>
        <w:rPr>
          <w:rFonts w:ascii="Times New Roman" w:hAnsi="Times New Roman" w:cs="Times New Roman" w:eastAsia="Times New Roman" w:hint="default"/>
        </w:rPr>
        <w:t>6,000</w:t>
      </w:r>
      <w:r>
        <w:rPr/>
        <w:t>万元，关 </w:t>
      </w:r>
      <w:r>
        <w:rPr>
          <w:spacing w:val="-1"/>
        </w:rPr>
        <w:t>联方博通思创作为有限合伙人认缴出资</w:t>
      </w:r>
      <w:r>
        <w:rPr>
          <w:rFonts w:ascii="Times New Roman" w:hAnsi="Times New Roman" w:cs="Times New Roman" w:eastAsia="Times New Roman" w:hint="default"/>
          <w:spacing w:val="-1"/>
        </w:rPr>
        <w:t>1.4</w:t>
      </w:r>
      <w:r>
        <w:rPr>
          <w:spacing w:val="-1"/>
        </w:rPr>
        <w:t>亿元，上海清科作为普通合伙人认缴出资</w:t>
      </w:r>
      <w:r>
        <w:rPr>
          <w:rFonts w:ascii="Times New Roman" w:hAnsi="Times New Roman" w:cs="Times New Roman" w:eastAsia="Times New Roman" w:hint="default"/>
          <w:spacing w:val="-1"/>
        </w:rPr>
        <w:t>500</w:t>
      </w:r>
      <w:r>
        <w:rPr>
          <w:spacing w:val="-1"/>
        </w:rPr>
        <w:t>万元。该事项已通过公司第二届董事</w:t>
      </w:r>
      <w:r>
        <w:rPr>
          <w:spacing w:val="-70"/>
        </w:rPr>
        <w:t> </w:t>
      </w:r>
      <w:r>
        <w:rPr>
          <w:spacing w:val="-70"/>
        </w:rPr>
      </w:r>
      <w:r>
        <w:rPr/>
        <w:t>会第二十次会议、第二届监事会第十五次会议、</w:t>
      </w:r>
      <w:r>
        <w:rPr>
          <w:rFonts w:ascii="Times New Roman" w:hAnsi="Times New Roman" w:cs="Times New Roman" w:eastAsia="Times New Roman" w:hint="default"/>
        </w:rPr>
        <w:t>2018</w:t>
      </w:r>
      <w:r>
        <w:rPr/>
        <w:t>年第一次临时股东大会审议。截止目前，公司尚未实际出资。</w:t>
      </w:r>
    </w:p>
    <w:p>
      <w:pPr>
        <w:pStyle w:val="BodyText"/>
        <w:spacing w:line="240" w:lineRule="auto" w:before="53"/>
        <w:ind w:right="0"/>
        <w:jc w:val="both"/>
      </w:pPr>
      <w:r>
        <w:rPr/>
        <w:t>重大关联交易临时报告披露网站相关查询</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687"/>
        <w:gridCol w:w="2423"/>
        <w:gridCol w:w="3459"/>
      </w:tblGrid>
      <w:tr>
        <w:trPr>
          <w:trHeight w:val="402" w:hRule="exact"/>
        </w:trPr>
        <w:tc>
          <w:tcPr>
            <w:tcW w:w="36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临时公告名称</w:t>
            </w:r>
          </w:p>
        </w:tc>
        <w:tc>
          <w:tcPr>
            <w:tcW w:w="24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86" w:right="0"/>
              <w:jc w:val="left"/>
              <w:rPr>
                <w:rFonts w:ascii="宋体" w:hAnsi="宋体" w:cs="宋体" w:eastAsia="宋体" w:hint="default"/>
                <w:sz w:val="18"/>
                <w:szCs w:val="18"/>
              </w:rPr>
            </w:pPr>
            <w:r>
              <w:rPr>
                <w:rFonts w:ascii="宋体" w:hAnsi="宋体" w:cs="宋体" w:eastAsia="宋体" w:hint="default"/>
                <w:sz w:val="18"/>
                <w:szCs w:val="18"/>
              </w:rPr>
              <w:t>临时公告披露日期</w:t>
            </w:r>
          </w:p>
        </w:tc>
        <w:tc>
          <w:tcPr>
            <w:tcW w:w="34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4" w:right="0"/>
              <w:jc w:val="left"/>
              <w:rPr>
                <w:rFonts w:ascii="宋体" w:hAnsi="宋体" w:cs="宋体" w:eastAsia="宋体" w:hint="default"/>
                <w:sz w:val="18"/>
                <w:szCs w:val="18"/>
              </w:rPr>
            </w:pPr>
            <w:r>
              <w:rPr>
                <w:rFonts w:ascii="宋体" w:hAnsi="宋体" w:cs="宋体" w:eastAsia="宋体" w:hint="default"/>
                <w:sz w:val="18"/>
                <w:szCs w:val="18"/>
              </w:rPr>
              <w:t>临时公告披露网站名称</w:t>
            </w:r>
          </w:p>
        </w:tc>
      </w:tr>
      <w:tr>
        <w:trPr>
          <w:trHeight w:val="402"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关于拟参与设立产业基金暨关联交易的公告</w:t>
            </w:r>
          </w:p>
        </w:tc>
        <w:tc>
          <w:tcPr>
            <w:tcW w:w="2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2018-048</w:t>
            </w:r>
          </w:p>
        </w:tc>
      </w:tr>
      <w:tr>
        <w:trPr>
          <w:trHeight w:val="402"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第二届董事会第二十次会议决议公告</w:t>
            </w:r>
          </w:p>
        </w:tc>
        <w:tc>
          <w:tcPr>
            <w:tcW w:w="2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2018-046</w:t>
            </w:r>
          </w:p>
        </w:tc>
      </w:tr>
      <w:tr>
        <w:trPr>
          <w:trHeight w:val="402"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第二届监事会第十五次会议决议公告</w:t>
            </w:r>
          </w:p>
        </w:tc>
        <w:tc>
          <w:tcPr>
            <w:tcW w:w="2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2018-047</w:t>
            </w:r>
          </w:p>
        </w:tc>
      </w:tr>
      <w:tr>
        <w:trPr>
          <w:trHeight w:val="402" w:hRule="exact"/>
        </w:trPr>
        <w:tc>
          <w:tcPr>
            <w:tcW w:w="3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年第一次临时股东大会决议公告</w:t>
            </w:r>
          </w:p>
        </w:tc>
        <w:tc>
          <w:tcPr>
            <w:tcW w:w="2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2018-053</w:t>
            </w:r>
          </w:p>
        </w:tc>
      </w:tr>
    </w:tbl>
    <w:p>
      <w:pPr>
        <w:spacing w:line="240" w:lineRule="auto" w:before="2"/>
        <w:rPr>
          <w:rFonts w:ascii="宋体" w:hAnsi="宋体" w:cs="宋体" w:eastAsia="宋体" w:hint="default"/>
          <w:sz w:val="18"/>
          <w:szCs w:val="18"/>
        </w:rPr>
      </w:pPr>
    </w:p>
    <w:p>
      <w:pPr>
        <w:pStyle w:val="Heading2"/>
        <w:spacing w:line="240" w:lineRule="auto" w:before="26"/>
        <w:ind w:right="1134"/>
        <w:jc w:val="left"/>
        <w:rPr>
          <w:b w:val="0"/>
          <w:bCs w:val="0"/>
        </w:rPr>
      </w:pPr>
      <w:bookmarkStart w:name="十六、重大合同及其履行情况" w:id="85"/>
      <w:bookmarkEnd w:id="85"/>
      <w:r>
        <w:rPr>
          <w:b w:val="0"/>
          <w:bCs w:val="0"/>
        </w:rPr>
      </w:r>
      <w:r>
        <w:rPr/>
        <w:t>十六、重大合同及其履行情况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托管、承包、租赁事项情况" w:id="86"/>
      <w:bookmarkEnd w:id="86"/>
      <w:r>
        <w:rPr>
          <w:b w:val="0"/>
          <w:bCs w:val="0"/>
        </w:rPr>
      </w:r>
      <w:r>
        <w:rPr>
          <w:rFonts w:ascii="Times New Roman" w:hAnsi="Times New Roman" w:cs="Times New Roman" w:eastAsia="Times New Roman" w:hint="default"/>
        </w:rPr>
        <w:t>1</w:t>
      </w:r>
      <w:r>
        <w:rPr/>
        <w:t>、托管、承包、租赁事项情况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托管情况" w:id="87"/>
      <w:bookmarkEnd w:id="87"/>
      <w:r>
        <w:rPr>
          <w:b w:val="0"/>
          <w:bCs w:val="0"/>
        </w:rPr>
      </w:r>
      <w:r>
        <w:rPr/>
        <w:t>（</w:t>
      </w:r>
      <w:r>
        <w:rPr>
          <w:rFonts w:ascii="Times New Roman" w:hAnsi="Times New Roman" w:cs="Times New Roman" w:eastAsia="Times New Roman" w:hint="default"/>
        </w:rPr>
        <w:t>1</w:t>
      </w:r>
      <w:r>
        <w:rPr/>
        <w:t>）托管情况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1134"/>
        <w:jc w:val="left"/>
      </w:pPr>
      <w:r>
        <w:rPr/>
        <w:t>公司报告期不存在托管情况。</w:t>
      </w:r>
    </w:p>
    <w:p>
      <w:pPr>
        <w:spacing w:line="240" w:lineRule="auto" w:before="10"/>
        <w:rPr>
          <w:rFonts w:ascii="宋体" w:hAnsi="宋体" w:cs="宋体" w:eastAsia="宋体" w:hint="default"/>
          <w:sz w:val="26"/>
          <w:szCs w:val="26"/>
        </w:rPr>
      </w:pPr>
    </w:p>
    <w:p>
      <w:pPr>
        <w:pStyle w:val="Heading3"/>
        <w:spacing w:line="240" w:lineRule="auto"/>
        <w:ind w:right="1134"/>
        <w:jc w:val="left"/>
        <w:rPr>
          <w:b w:val="0"/>
          <w:bCs w:val="0"/>
        </w:rPr>
      </w:pPr>
      <w:bookmarkStart w:name="（2）承包情况" w:id="88"/>
      <w:bookmarkEnd w:id="88"/>
      <w:r>
        <w:rPr>
          <w:b w:val="0"/>
          <w:bCs w:val="0"/>
        </w:rPr>
      </w:r>
      <w:r>
        <w:rPr/>
        <w:t>（</w:t>
      </w:r>
      <w:r>
        <w:rPr>
          <w:rFonts w:ascii="Times New Roman" w:hAnsi="Times New Roman" w:cs="Times New Roman" w:eastAsia="Times New Roman" w:hint="default"/>
        </w:rPr>
        <w:t>2</w:t>
      </w:r>
      <w:r>
        <w:rPr/>
        <w:t>）承包情况</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84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公司报告期不存在承包情况。</w:t>
      </w:r>
    </w:p>
    <w:p>
      <w:pPr>
        <w:spacing w:line="240" w:lineRule="auto" w:before="2"/>
        <w:rPr>
          <w:rFonts w:ascii="宋体" w:hAnsi="宋体" w:cs="宋体" w:eastAsia="宋体" w:hint="default"/>
          <w:sz w:val="21"/>
          <w:szCs w:val="21"/>
        </w:rPr>
      </w:pPr>
    </w:p>
    <w:p>
      <w:pPr>
        <w:pStyle w:val="Heading3"/>
        <w:spacing w:line="240" w:lineRule="auto"/>
        <w:ind w:right="1134"/>
        <w:jc w:val="left"/>
        <w:rPr>
          <w:b w:val="0"/>
          <w:bCs w:val="0"/>
        </w:rPr>
      </w:pPr>
      <w:bookmarkStart w:name="（3）租赁情况" w:id="89"/>
      <w:bookmarkEnd w:id="89"/>
      <w:r>
        <w:rPr>
          <w:b w:val="0"/>
          <w:bCs w:val="0"/>
        </w:rPr>
      </w:r>
      <w:r>
        <w:rPr/>
        <w:t>（</w:t>
      </w:r>
      <w:r>
        <w:rPr>
          <w:rFonts w:ascii="Times New Roman" w:hAnsi="Times New Roman" w:cs="Times New Roman" w:eastAsia="Times New Roman" w:hint="default"/>
        </w:rPr>
        <w:t>3</w:t>
      </w:r>
      <w:r>
        <w:rPr/>
        <w:t>）租赁情况</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91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租赁情况说明</w:t>
      </w:r>
    </w:p>
    <w:p>
      <w:pPr>
        <w:spacing w:line="240" w:lineRule="auto" w:before="3"/>
        <w:rPr>
          <w:rFonts w:ascii="宋体" w:hAnsi="宋体" w:cs="宋体" w:eastAsia="宋体" w:hint="default"/>
          <w:sz w:val="2"/>
          <w:szCs w:val="2"/>
        </w:rPr>
      </w:pPr>
    </w:p>
    <w:tbl>
      <w:tblPr>
        <w:tblW w:w="0" w:type="auto"/>
        <w:jc w:val="left"/>
        <w:tblInd w:w="146" w:type="dxa"/>
        <w:tblLayout w:type="fixed"/>
        <w:tblCellMar>
          <w:top w:w="0" w:type="dxa"/>
          <w:left w:w="0" w:type="dxa"/>
          <w:bottom w:w="0" w:type="dxa"/>
          <w:right w:w="0" w:type="dxa"/>
        </w:tblCellMar>
        <w:tblLook w:val="01E0"/>
      </w:tblPr>
      <w:tblGrid>
        <w:gridCol w:w="851"/>
        <w:gridCol w:w="1843"/>
        <w:gridCol w:w="3970"/>
        <w:gridCol w:w="850"/>
        <w:gridCol w:w="1985"/>
      </w:tblGrid>
      <w:tr>
        <w:trPr>
          <w:trHeight w:val="658" w:hRule="exact"/>
        </w:trPr>
        <w:tc>
          <w:tcPr>
            <w:tcW w:w="85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147" w:right="0"/>
              <w:jc w:val="left"/>
              <w:rPr>
                <w:rFonts w:ascii="宋体" w:hAnsi="宋体" w:cs="宋体" w:eastAsia="宋体" w:hint="default"/>
                <w:sz w:val="18"/>
                <w:szCs w:val="18"/>
              </w:rPr>
            </w:pPr>
            <w:r>
              <w:rPr>
                <w:rFonts w:ascii="宋体" w:hAnsi="宋体" w:cs="宋体" w:eastAsia="宋体" w:hint="default"/>
                <w:sz w:val="18"/>
                <w:szCs w:val="18"/>
              </w:rPr>
              <w:t>承租方</w:t>
            </w:r>
          </w:p>
        </w:tc>
        <w:tc>
          <w:tcPr>
            <w:tcW w:w="18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出租方</w:t>
            </w:r>
          </w:p>
        </w:tc>
        <w:tc>
          <w:tcPr>
            <w:tcW w:w="397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租赁地点</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57" w:right="0"/>
              <w:jc w:val="left"/>
              <w:rPr>
                <w:rFonts w:ascii="宋体" w:hAnsi="宋体" w:cs="宋体" w:eastAsia="宋体" w:hint="default"/>
                <w:sz w:val="18"/>
                <w:szCs w:val="18"/>
              </w:rPr>
            </w:pPr>
            <w:r>
              <w:rPr>
                <w:rFonts w:ascii="宋体" w:hAnsi="宋体" w:cs="宋体" w:eastAsia="宋体" w:hint="default"/>
                <w:sz w:val="18"/>
                <w:szCs w:val="18"/>
              </w:rPr>
              <w:t>租赁面积</w:t>
            </w:r>
          </w:p>
          <w:p>
            <w:pPr>
              <w:pStyle w:val="TableParagraph"/>
              <w:spacing w:line="240" w:lineRule="auto" w:before="76"/>
              <w:ind w:left="2" w:right="0"/>
              <w:jc w:val="left"/>
              <w:rPr>
                <w:rFonts w:ascii="宋体" w:hAnsi="宋体" w:cs="宋体" w:eastAsia="宋体" w:hint="default"/>
                <w:sz w:val="18"/>
                <w:szCs w:val="18"/>
              </w:rPr>
            </w:pPr>
            <w:r>
              <w:rPr>
                <w:rFonts w:ascii="宋体" w:hAnsi="宋体" w:cs="宋体" w:eastAsia="宋体" w:hint="default"/>
                <w:sz w:val="18"/>
                <w:szCs w:val="18"/>
              </w:rPr>
              <w:t>（平方米</w:t>
            </w:r>
          </w:p>
        </w:tc>
        <w:tc>
          <w:tcPr>
            <w:tcW w:w="19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7"/>
              <w:ind w:right="0"/>
              <w:jc w:val="left"/>
              <w:rPr>
                <w:rFonts w:ascii="宋体" w:hAnsi="宋体" w:cs="宋体" w:eastAsia="宋体" w:hint="default"/>
                <w:sz w:val="13"/>
                <w:szCs w:val="13"/>
              </w:rPr>
            </w:pPr>
          </w:p>
          <w:p>
            <w:pPr>
              <w:pStyle w:val="TableParagraph"/>
              <w:spacing w:line="196" w:lineRule="exact"/>
              <w:ind w:left="625" w:right="0"/>
              <w:jc w:val="left"/>
              <w:rPr>
                <w:rFonts w:ascii="宋体" w:hAnsi="宋体" w:cs="宋体" w:eastAsia="宋体" w:hint="default"/>
                <w:sz w:val="18"/>
                <w:szCs w:val="18"/>
              </w:rPr>
            </w:pPr>
            <w:r>
              <w:rPr>
                <w:rFonts w:ascii="宋体" w:hAnsi="宋体" w:cs="宋体" w:eastAsia="宋体" w:hint="default"/>
                <w:sz w:val="18"/>
                <w:szCs w:val="18"/>
              </w:rPr>
              <w:t>租赁期限</w:t>
            </w:r>
          </w:p>
          <w:p>
            <w:pPr>
              <w:pStyle w:val="TableParagraph"/>
              <w:spacing w:line="196" w:lineRule="exact"/>
              <w:ind w:left="-128"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659" w:hRule="exact"/>
        </w:trPr>
        <w:tc>
          <w:tcPr>
            <w:tcW w:w="851"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147" w:right="0"/>
              <w:jc w:val="left"/>
              <w:rPr>
                <w:rFonts w:ascii="宋体" w:hAnsi="宋体" w:cs="宋体" w:eastAsia="宋体" w:hint="default"/>
                <w:sz w:val="18"/>
                <w:szCs w:val="18"/>
              </w:rPr>
            </w:pPr>
            <w:r>
              <w:rPr>
                <w:rFonts w:ascii="宋体" w:hAnsi="宋体" w:cs="宋体" w:eastAsia="宋体" w:hint="default"/>
                <w:sz w:val="18"/>
                <w:szCs w:val="18"/>
              </w:rPr>
              <w:t>优博讯</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
              <w:jc w:val="left"/>
              <w:rPr>
                <w:rFonts w:ascii="宋体" w:hAnsi="宋体" w:cs="宋体" w:eastAsia="宋体" w:hint="default"/>
                <w:sz w:val="18"/>
                <w:szCs w:val="18"/>
              </w:rPr>
            </w:pPr>
            <w:r>
              <w:rPr>
                <w:rFonts w:ascii="宋体" w:hAnsi="宋体" w:cs="宋体" w:eastAsia="宋体" w:hint="default"/>
                <w:sz w:val="18"/>
                <w:szCs w:val="18"/>
              </w:rPr>
              <w:t>深圳市科技评审管理中</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心</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2"/>
              <w:jc w:val="left"/>
              <w:rPr>
                <w:rFonts w:ascii="宋体" w:hAnsi="宋体" w:cs="宋体" w:eastAsia="宋体" w:hint="default"/>
                <w:sz w:val="18"/>
                <w:szCs w:val="18"/>
              </w:rPr>
            </w:pPr>
            <w:r>
              <w:rPr>
                <w:rFonts w:ascii="宋体" w:hAnsi="宋体" w:cs="宋体" w:eastAsia="宋体" w:hint="default"/>
                <w:spacing w:val="6"/>
                <w:sz w:val="18"/>
                <w:szCs w:val="18"/>
              </w:rPr>
              <w:t>深圳市南山区学府路</w:t>
            </w:r>
            <w:r>
              <w:rPr>
                <w:rFonts w:ascii="Times New Roman" w:hAnsi="Times New Roman" w:cs="Times New Roman" w:eastAsia="Times New Roman" w:hint="default"/>
                <w:spacing w:val="6"/>
                <w:sz w:val="18"/>
                <w:szCs w:val="18"/>
              </w:rPr>
              <w:t>63</w:t>
            </w:r>
            <w:r>
              <w:rPr>
                <w:rFonts w:ascii="宋体" w:hAnsi="宋体" w:cs="宋体" w:eastAsia="宋体" w:hint="default"/>
                <w:spacing w:val="6"/>
                <w:sz w:val="18"/>
                <w:szCs w:val="18"/>
              </w:rPr>
              <w:t>号高新区联合总部大厦</w:t>
            </w:r>
            <w:r>
              <w:rPr>
                <w:rFonts w:ascii="Times New Roman" w:hAnsi="Times New Roman" w:cs="Times New Roman" w:eastAsia="Times New Roman" w:hint="default"/>
                <w:spacing w:val="6"/>
                <w:sz w:val="18"/>
                <w:szCs w:val="18"/>
              </w:rPr>
              <w:t>36</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楼</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2,101.14</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2018-2-1</w:t>
            </w:r>
            <w:r>
              <w:rPr>
                <w:rFonts w:ascii="宋体" w:hAnsi="宋体" w:cs="宋体" w:eastAsia="宋体" w:hint="default"/>
                <w:sz w:val="18"/>
                <w:szCs w:val="18"/>
              </w:rPr>
              <w:t>至</w:t>
            </w:r>
            <w:r>
              <w:rPr>
                <w:rFonts w:ascii="Times New Roman" w:hAnsi="Times New Roman" w:cs="Times New Roman" w:eastAsia="Times New Roman" w:hint="default"/>
                <w:sz w:val="18"/>
                <w:szCs w:val="18"/>
              </w:rPr>
              <w:t>2023-1-31</w:t>
            </w:r>
          </w:p>
        </w:tc>
      </w:tr>
      <w:tr>
        <w:trPr>
          <w:trHeight w:val="660"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
              <w:jc w:val="left"/>
              <w:rPr>
                <w:rFonts w:ascii="宋体" w:hAnsi="宋体" w:cs="宋体" w:eastAsia="宋体" w:hint="default"/>
                <w:sz w:val="18"/>
                <w:szCs w:val="18"/>
              </w:rPr>
            </w:pPr>
            <w:r>
              <w:rPr>
                <w:rFonts w:ascii="宋体" w:hAnsi="宋体" w:cs="宋体" w:eastAsia="宋体" w:hint="default"/>
                <w:sz w:val="18"/>
                <w:szCs w:val="18"/>
              </w:rPr>
              <w:t>深圳市恒昌荣投资有限</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公司</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4"/>
              <w:jc w:val="left"/>
              <w:rPr>
                <w:rFonts w:ascii="宋体" w:hAnsi="宋体" w:cs="宋体" w:eastAsia="宋体" w:hint="default"/>
                <w:sz w:val="18"/>
                <w:szCs w:val="18"/>
              </w:rPr>
            </w:pPr>
            <w:r>
              <w:rPr>
                <w:rFonts w:ascii="宋体" w:hAnsi="宋体" w:cs="宋体" w:eastAsia="宋体" w:hint="default"/>
                <w:spacing w:val="8"/>
                <w:sz w:val="18"/>
                <w:szCs w:val="18"/>
              </w:rPr>
              <w:t>深圳市宝安区西乡街道黄田恒昌荣高新产业工业 </w:t>
            </w:r>
            <w:r>
              <w:rPr>
                <w:rFonts w:ascii="宋体" w:hAnsi="宋体" w:cs="宋体" w:eastAsia="宋体" w:hint="default"/>
                <w:sz w:val="18"/>
                <w:szCs w:val="18"/>
              </w:rPr>
              <w:t>园第</w:t>
            </w:r>
            <w:r>
              <w:rPr>
                <w:rFonts w:ascii="Times New Roman" w:hAnsi="Times New Roman" w:cs="Times New Roman" w:eastAsia="Times New Roman" w:hint="default"/>
                <w:sz w:val="18"/>
                <w:szCs w:val="18"/>
              </w:rPr>
              <w:t>11</w:t>
            </w:r>
            <w:r>
              <w:rPr>
                <w:rFonts w:ascii="宋体" w:hAnsi="宋体" w:cs="宋体" w:eastAsia="宋体" w:hint="default"/>
                <w:sz w:val="18"/>
                <w:szCs w:val="18"/>
              </w:rPr>
              <w:t>栋第</w:t>
            </w:r>
            <w:r>
              <w:rPr>
                <w:rFonts w:ascii="Times New Roman" w:hAnsi="Times New Roman" w:cs="Times New Roman" w:eastAsia="Times New Roman" w:hint="default"/>
                <w:sz w:val="18"/>
                <w:szCs w:val="18"/>
              </w:rPr>
              <w:t>1</w:t>
            </w:r>
            <w:r>
              <w:rPr>
                <w:rFonts w:ascii="宋体" w:hAnsi="宋体" w:cs="宋体" w:eastAsia="宋体" w:hint="default"/>
                <w:sz w:val="18"/>
                <w:szCs w:val="18"/>
              </w:rPr>
              <w:t>层</w:t>
            </w:r>
            <w:r>
              <w:rPr>
                <w:rFonts w:ascii="Times New Roman" w:hAnsi="Times New Roman" w:cs="Times New Roman" w:eastAsia="Times New Roman" w:hint="default"/>
                <w:sz w:val="18"/>
                <w:szCs w:val="18"/>
              </w:rPr>
              <w:t>A</w:t>
            </w:r>
            <w:r>
              <w:rPr>
                <w:rFonts w:ascii="宋体" w:hAnsi="宋体" w:cs="宋体" w:eastAsia="宋体" w:hint="default"/>
                <w:sz w:val="18"/>
                <w:szCs w:val="18"/>
              </w:rPr>
              <w:t>区</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1,600</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2018-6-1</w:t>
            </w:r>
            <w:r>
              <w:rPr>
                <w:rFonts w:ascii="宋体" w:hAnsi="宋体" w:cs="宋体" w:eastAsia="宋体" w:hint="default"/>
                <w:sz w:val="18"/>
                <w:szCs w:val="18"/>
              </w:rPr>
              <w:t>至</w:t>
            </w:r>
            <w:r>
              <w:rPr>
                <w:rFonts w:ascii="Times New Roman" w:hAnsi="Times New Roman" w:cs="Times New Roman" w:eastAsia="Times New Roman" w:hint="default"/>
                <w:sz w:val="18"/>
                <w:szCs w:val="18"/>
              </w:rPr>
              <w:t>2020-9-26</w:t>
            </w:r>
          </w:p>
        </w:tc>
      </w:tr>
      <w:tr>
        <w:trPr>
          <w:trHeight w:val="659"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3" w:right="2"/>
              <w:jc w:val="left"/>
              <w:rPr>
                <w:rFonts w:ascii="宋体" w:hAnsi="宋体" w:cs="宋体" w:eastAsia="宋体" w:hint="default"/>
                <w:sz w:val="18"/>
                <w:szCs w:val="18"/>
              </w:rPr>
            </w:pPr>
            <w:r>
              <w:rPr>
                <w:rFonts w:ascii="宋体" w:hAnsi="宋体" w:cs="宋体" w:eastAsia="宋体" w:hint="default"/>
                <w:sz w:val="18"/>
                <w:szCs w:val="18"/>
              </w:rPr>
              <w:t>深圳市恒昌荣投资有限</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公司</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2" w:right="-4"/>
              <w:jc w:val="left"/>
              <w:rPr>
                <w:rFonts w:ascii="宋体" w:hAnsi="宋体" w:cs="宋体" w:eastAsia="宋体" w:hint="default"/>
                <w:sz w:val="18"/>
                <w:szCs w:val="18"/>
              </w:rPr>
            </w:pPr>
            <w:r>
              <w:rPr>
                <w:rFonts w:ascii="宋体" w:hAnsi="宋体" w:cs="宋体" w:eastAsia="宋体" w:hint="default"/>
                <w:spacing w:val="8"/>
                <w:sz w:val="18"/>
                <w:szCs w:val="18"/>
              </w:rPr>
              <w:t>深圳市宝安区西乡街道黄田恒昌荣高新产业工业 </w:t>
            </w:r>
            <w:r>
              <w:rPr>
                <w:rFonts w:ascii="宋体" w:hAnsi="宋体" w:cs="宋体" w:eastAsia="宋体" w:hint="default"/>
                <w:sz w:val="18"/>
                <w:szCs w:val="18"/>
              </w:rPr>
              <w:t>园第</w:t>
            </w:r>
            <w:r>
              <w:rPr>
                <w:rFonts w:ascii="Times New Roman" w:hAnsi="Times New Roman" w:cs="Times New Roman" w:eastAsia="Times New Roman" w:hint="default"/>
                <w:sz w:val="18"/>
                <w:szCs w:val="18"/>
              </w:rPr>
              <w:t>11</w:t>
            </w:r>
            <w:r>
              <w:rPr>
                <w:rFonts w:ascii="宋体" w:hAnsi="宋体" w:cs="宋体" w:eastAsia="宋体" w:hint="default"/>
                <w:sz w:val="18"/>
                <w:szCs w:val="18"/>
              </w:rPr>
              <w:t>栋第</w:t>
            </w:r>
            <w:r>
              <w:rPr>
                <w:rFonts w:ascii="Times New Roman" w:hAnsi="Times New Roman" w:cs="Times New Roman" w:eastAsia="Times New Roman" w:hint="default"/>
                <w:sz w:val="18"/>
                <w:szCs w:val="18"/>
              </w:rPr>
              <w:t>2</w:t>
            </w:r>
            <w:r>
              <w:rPr>
                <w:rFonts w:ascii="宋体" w:hAnsi="宋体" w:cs="宋体" w:eastAsia="宋体" w:hint="default"/>
                <w:sz w:val="18"/>
                <w:szCs w:val="18"/>
              </w:rPr>
              <w:t>层</w:t>
            </w:r>
            <w:r>
              <w:rPr>
                <w:rFonts w:ascii="Times New Roman" w:hAnsi="Times New Roman" w:cs="Times New Roman" w:eastAsia="Times New Roman" w:hint="default"/>
                <w:sz w:val="18"/>
                <w:szCs w:val="18"/>
              </w:rPr>
              <w:t>A</w:t>
            </w:r>
            <w:r>
              <w:rPr>
                <w:rFonts w:ascii="宋体" w:hAnsi="宋体" w:cs="宋体" w:eastAsia="宋体" w:hint="default"/>
                <w:sz w:val="18"/>
                <w:szCs w:val="18"/>
              </w:rPr>
              <w:t>区</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1,530</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2018-9-27</w:t>
            </w:r>
            <w:r>
              <w:rPr>
                <w:rFonts w:ascii="宋体" w:hAnsi="宋体" w:cs="宋体" w:eastAsia="宋体" w:hint="default"/>
                <w:sz w:val="18"/>
                <w:szCs w:val="18"/>
              </w:rPr>
              <w:t>至</w:t>
            </w:r>
            <w:r>
              <w:rPr>
                <w:rFonts w:ascii="Times New Roman" w:hAnsi="Times New Roman" w:cs="Times New Roman" w:eastAsia="Times New Roman" w:hint="default"/>
                <w:sz w:val="18"/>
                <w:szCs w:val="18"/>
              </w:rPr>
              <w:t>2020-9-26</w:t>
            </w:r>
          </w:p>
        </w:tc>
      </w:tr>
      <w:tr>
        <w:trPr>
          <w:trHeight w:val="659"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
              <w:jc w:val="left"/>
              <w:rPr>
                <w:rFonts w:ascii="宋体" w:hAnsi="宋体" w:cs="宋体" w:eastAsia="宋体" w:hint="default"/>
                <w:sz w:val="18"/>
                <w:szCs w:val="18"/>
              </w:rPr>
            </w:pPr>
            <w:r>
              <w:rPr>
                <w:rFonts w:ascii="宋体" w:hAnsi="宋体" w:cs="宋体" w:eastAsia="宋体" w:hint="default"/>
                <w:sz w:val="18"/>
                <w:szCs w:val="18"/>
              </w:rPr>
              <w:t>深圳市恒昌荣投资有限</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公司</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4"/>
              <w:jc w:val="left"/>
              <w:rPr>
                <w:rFonts w:ascii="宋体" w:hAnsi="宋体" w:cs="宋体" w:eastAsia="宋体" w:hint="default"/>
                <w:sz w:val="18"/>
                <w:szCs w:val="18"/>
              </w:rPr>
            </w:pPr>
            <w:r>
              <w:rPr>
                <w:rFonts w:ascii="宋体" w:hAnsi="宋体" w:cs="宋体" w:eastAsia="宋体" w:hint="default"/>
                <w:spacing w:val="8"/>
                <w:sz w:val="18"/>
                <w:szCs w:val="18"/>
              </w:rPr>
              <w:t>深圳市宝安区西乡街道黄田恒昌荣高新产业工业 </w:t>
            </w:r>
            <w:r>
              <w:rPr>
                <w:rFonts w:ascii="宋体" w:hAnsi="宋体" w:cs="宋体" w:eastAsia="宋体" w:hint="default"/>
                <w:sz w:val="18"/>
                <w:szCs w:val="18"/>
              </w:rPr>
              <w:t>园第</w:t>
            </w:r>
            <w:r>
              <w:rPr>
                <w:rFonts w:ascii="Times New Roman" w:hAnsi="Times New Roman" w:cs="Times New Roman" w:eastAsia="Times New Roman" w:hint="default"/>
                <w:sz w:val="18"/>
                <w:szCs w:val="18"/>
              </w:rPr>
              <w:t>11</w:t>
            </w:r>
            <w:r>
              <w:rPr>
                <w:rFonts w:ascii="宋体" w:hAnsi="宋体" w:cs="宋体" w:eastAsia="宋体" w:hint="default"/>
                <w:sz w:val="18"/>
                <w:szCs w:val="18"/>
              </w:rPr>
              <w:t>栋第</w:t>
            </w:r>
            <w:r>
              <w:rPr>
                <w:rFonts w:ascii="Times New Roman" w:hAnsi="Times New Roman" w:cs="Times New Roman" w:eastAsia="Times New Roman" w:hint="default"/>
                <w:sz w:val="18"/>
                <w:szCs w:val="18"/>
              </w:rPr>
              <w:t>3</w:t>
            </w:r>
            <w:r>
              <w:rPr>
                <w:rFonts w:ascii="宋体" w:hAnsi="宋体" w:cs="宋体" w:eastAsia="宋体" w:hint="default"/>
                <w:sz w:val="18"/>
                <w:szCs w:val="18"/>
              </w:rPr>
              <w:t>层</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3,060</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2018-7-1</w:t>
            </w:r>
            <w:r>
              <w:rPr>
                <w:rFonts w:ascii="宋体" w:hAnsi="宋体" w:cs="宋体" w:eastAsia="宋体" w:hint="default"/>
                <w:sz w:val="18"/>
                <w:szCs w:val="18"/>
              </w:rPr>
              <w:t>至</w:t>
            </w:r>
            <w:r>
              <w:rPr>
                <w:rFonts w:ascii="Times New Roman" w:hAnsi="Times New Roman" w:cs="Times New Roman" w:eastAsia="Times New Roman" w:hint="default"/>
                <w:sz w:val="18"/>
                <w:szCs w:val="18"/>
              </w:rPr>
              <w:t>2020-9-26</w:t>
            </w:r>
          </w:p>
        </w:tc>
      </w:tr>
      <w:tr>
        <w:trPr>
          <w:trHeight w:val="659"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
              <w:jc w:val="left"/>
              <w:rPr>
                <w:rFonts w:ascii="宋体" w:hAnsi="宋体" w:cs="宋体" w:eastAsia="宋体" w:hint="default"/>
                <w:sz w:val="18"/>
                <w:szCs w:val="18"/>
              </w:rPr>
            </w:pPr>
            <w:r>
              <w:rPr>
                <w:rFonts w:ascii="宋体" w:hAnsi="宋体" w:cs="宋体" w:eastAsia="宋体" w:hint="default"/>
                <w:sz w:val="18"/>
                <w:szCs w:val="18"/>
              </w:rPr>
              <w:t>深圳市南山区住房和建</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设局</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2"/>
              <w:jc w:val="left"/>
              <w:rPr>
                <w:rFonts w:ascii="宋体" w:hAnsi="宋体" w:cs="宋体" w:eastAsia="宋体" w:hint="default"/>
                <w:sz w:val="18"/>
                <w:szCs w:val="18"/>
              </w:rPr>
            </w:pPr>
            <w:r>
              <w:rPr>
                <w:rFonts w:ascii="宋体" w:hAnsi="宋体" w:cs="宋体" w:eastAsia="宋体" w:hint="default"/>
                <w:sz w:val="18"/>
                <w:szCs w:val="18"/>
              </w:rPr>
              <w:t>深圳市南山区冠铭雅苑（住宅小区）</w:t>
            </w:r>
            <w:r>
              <w:rPr>
                <w:rFonts w:ascii="Times New Roman" w:hAnsi="Times New Roman" w:cs="Times New Roman" w:eastAsia="Times New Roman" w:hint="default"/>
                <w:sz w:val="18"/>
                <w:szCs w:val="18"/>
              </w:rPr>
              <w:t>3</w:t>
            </w:r>
            <w:r>
              <w:rPr>
                <w:rFonts w:ascii="宋体" w:hAnsi="宋体" w:cs="宋体" w:eastAsia="宋体" w:hint="default"/>
                <w:sz w:val="18"/>
                <w:szCs w:val="18"/>
              </w:rPr>
              <w:t>栋</w:t>
            </w:r>
            <w:r>
              <w:rPr>
                <w:rFonts w:ascii="Times New Roman" w:hAnsi="Times New Roman" w:cs="Times New Roman" w:eastAsia="Times New Roman" w:hint="default"/>
                <w:sz w:val="18"/>
                <w:szCs w:val="18"/>
              </w:rPr>
              <w:t>1112</w:t>
            </w:r>
            <w:r>
              <w:rPr>
                <w:rFonts w:ascii="宋体" w:hAnsi="宋体" w:cs="宋体" w:eastAsia="宋体" w:hint="default"/>
                <w:sz w:val="18"/>
                <w:szCs w:val="18"/>
              </w:rPr>
              <w:t>号与</w:t>
            </w:r>
            <w:r>
              <w:rPr>
                <w:rFonts w:ascii="Times New Roman" w:hAnsi="Times New Roman" w:cs="Times New Roman" w:eastAsia="Times New Roman" w:hint="default"/>
                <w:sz w:val="18"/>
                <w:szCs w:val="18"/>
              </w:rPr>
              <w:t>3 </w:t>
            </w:r>
            <w:r>
              <w:rPr>
                <w:rFonts w:ascii="宋体" w:hAnsi="宋体" w:cs="宋体" w:eastAsia="宋体" w:hint="default"/>
                <w:sz w:val="18"/>
                <w:szCs w:val="18"/>
              </w:rPr>
              <w:t>栋</w:t>
            </w:r>
            <w:r>
              <w:rPr>
                <w:rFonts w:ascii="Times New Roman" w:hAnsi="Times New Roman" w:cs="Times New Roman" w:eastAsia="Times New Roman" w:hint="default"/>
                <w:sz w:val="18"/>
                <w:szCs w:val="18"/>
              </w:rPr>
              <w:t>1301</w:t>
            </w:r>
            <w:r>
              <w:rPr>
                <w:rFonts w:ascii="宋体" w:hAnsi="宋体" w:cs="宋体" w:eastAsia="宋体" w:hint="default"/>
                <w:sz w:val="18"/>
                <w:szCs w:val="18"/>
              </w:rPr>
              <w:t>号</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152.42</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2017-3-10</w:t>
            </w:r>
            <w:r>
              <w:rPr>
                <w:rFonts w:ascii="宋体" w:hAnsi="宋体" w:cs="宋体" w:eastAsia="宋体" w:hint="default"/>
                <w:sz w:val="18"/>
                <w:szCs w:val="18"/>
              </w:rPr>
              <w:t>至</w:t>
            </w:r>
            <w:r>
              <w:rPr>
                <w:rFonts w:ascii="Times New Roman" w:hAnsi="Times New Roman" w:cs="Times New Roman" w:eastAsia="Times New Roman" w:hint="default"/>
                <w:sz w:val="18"/>
                <w:szCs w:val="18"/>
              </w:rPr>
              <w:t>2020-3-9</w:t>
            </w:r>
          </w:p>
        </w:tc>
      </w:tr>
      <w:tr>
        <w:trPr>
          <w:trHeight w:val="659"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
              <w:jc w:val="left"/>
              <w:rPr>
                <w:rFonts w:ascii="宋体" w:hAnsi="宋体" w:cs="宋体" w:eastAsia="宋体" w:hint="default"/>
                <w:sz w:val="18"/>
                <w:szCs w:val="18"/>
              </w:rPr>
            </w:pPr>
            <w:r>
              <w:rPr>
                <w:rFonts w:ascii="宋体" w:hAnsi="宋体" w:cs="宋体" w:eastAsia="宋体" w:hint="default"/>
                <w:sz w:val="18"/>
                <w:szCs w:val="18"/>
              </w:rPr>
              <w:t>深圳市南山区住房和建</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设局</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深圳市南山区崇文花园（住宅小区）</w:t>
            </w:r>
            <w:r>
              <w:rPr>
                <w:rFonts w:ascii="Times New Roman" w:hAnsi="Times New Roman" w:cs="Times New Roman" w:eastAsia="Times New Roman" w:hint="default"/>
                <w:sz w:val="18"/>
                <w:szCs w:val="18"/>
              </w:rPr>
              <w:t>13</w:t>
            </w:r>
            <w:r>
              <w:rPr>
                <w:rFonts w:ascii="宋体" w:hAnsi="宋体" w:cs="宋体" w:eastAsia="宋体" w:hint="default"/>
                <w:sz w:val="18"/>
                <w:szCs w:val="18"/>
              </w:rPr>
              <w:t>栋</w:t>
            </w:r>
            <w:r>
              <w:rPr>
                <w:rFonts w:ascii="Times New Roman" w:hAnsi="Times New Roman" w:cs="Times New Roman" w:eastAsia="Times New Roman" w:hint="default"/>
                <w:sz w:val="18"/>
                <w:szCs w:val="18"/>
              </w:rPr>
              <w:t>1105</w:t>
            </w:r>
            <w:r>
              <w:rPr>
                <w:rFonts w:ascii="宋体" w:hAnsi="宋体" w:cs="宋体" w:eastAsia="宋体" w:hint="default"/>
                <w:sz w:val="18"/>
                <w:szCs w:val="18"/>
              </w:rPr>
              <w:t>号与</w:t>
            </w:r>
          </w:p>
          <w:p>
            <w:pPr>
              <w:pStyle w:val="TableParagraph"/>
              <w:spacing w:line="240" w:lineRule="auto" w:before="63"/>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w:t>
            </w:r>
            <w:r>
              <w:rPr>
                <w:rFonts w:ascii="宋体" w:hAnsi="宋体" w:cs="宋体" w:eastAsia="宋体" w:hint="default"/>
                <w:sz w:val="18"/>
                <w:szCs w:val="18"/>
              </w:rPr>
              <w:t>栋</w:t>
            </w:r>
            <w:r>
              <w:rPr>
                <w:rFonts w:ascii="Times New Roman" w:hAnsi="Times New Roman" w:cs="Times New Roman" w:eastAsia="Times New Roman" w:hint="default"/>
                <w:sz w:val="18"/>
                <w:szCs w:val="18"/>
              </w:rPr>
              <w:t>1111</w:t>
            </w:r>
            <w:r>
              <w:rPr>
                <w:rFonts w:ascii="宋体" w:hAnsi="宋体" w:cs="宋体" w:eastAsia="宋体" w:hint="default"/>
                <w:sz w:val="18"/>
                <w:szCs w:val="18"/>
              </w:rPr>
              <w:t>号</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97.03</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2017-3-10</w:t>
            </w:r>
            <w:r>
              <w:rPr>
                <w:rFonts w:ascii="宋体" w:hAnsi="宋体" w:cs="宋体" w:eastAsia="宋体" w:hint="default"/>
                <w:sz w:val="18"/>
                <w:szCs w:val="18"/>
              </w:rPr>
              <w:t>至</w:t>
            </w:r>
            <w:r>
              <w:rPr>
                <w:rFonts w:ascii="Times New Roman" w:hAnsi="Times New Roman" w:cs="Times New Roman" w:eastAsia="Times New Roman" w:hint="default"/>
                <w:sz w:val="18"/>
                <w:szCs w:val="18"/>
              </w:rPr>
              <w:t>2020-3-9</w:t>
            </w:r>
          </w:p>
        </w:tc>
      </w:tr>
      <w:tr>
        <w:trPr>
          <w:trHeight w:val="659"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
              <w:jc w:val="left"/>
              <w:rPr>
                <w:rFonts w:ascii="宋体" w:hAnsi="宋体" w:cs="宋体" w:eastAsia="宋体" w:hint="default"/>
                <w:sz w:val="18"/>
                <w:szCs w:val="18"/>
              </w:rPr>
            </w:pPr>
            <w:r>
              <w:rPr>
                <w:rFonts w:ascii="宋体" w:hAnsi="宋体" w:cs="宋体" w:eastAsia="宋体" w:hint="default"/>
                <w:sz w:val="18"/>
                <w:szCs w:val="18"/>
              </w:rPr>
              <w:t>深圳市南山区住宅发展</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事务中心</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1"/>
              <w:jc w:val="left"/>
              <w:rPr>
                <w:rFonts w:ascii="宋体" w:hAnsi="宋体" w:cs="宋体" w:eastAsia="宋体" w:hint="default"/>
                <w:sz w:val="18"/>
                <w:szCs w:val="18"/>
              </w:rPr>
            </w:pPr>
            <w:r>
              <w:rPr>
                <w:rFonts w:ascii="宋体" w:hAnsi="宋体" w:cs="宋体" w:eastAsia="宋体" w:hint="default"/>
                <w:spacing w:val="-5"/>
                <w:sz w:val="18"/>
                <w:szCs w:val="18"/>
              </w:rPr>
              <w:t>深圳市南山区荔山集悦城内的（住宅小区）</w:t>
            </w:r>
            <w:r>
              <w:rPr>
                <w:rFonts w:ascii="Times New Roman" w:hAnsi="Times New Roman" w:cs="Times New Roman" w:eastAsia="Times New Roman" w:hint="default"/>
                <w:spacing w:val="-5"/>
                <w:sz w:val="18"/>
                <w:szCs w:val="18"/>
              </w:rPr>
              <w:t>8</w:t>
            </w:r>
            <w:r>
              <w:rPr>
                <w:rFonts w:ascii="宋体" w:hAnsi="宋体" w:cs="宋体" w:eastAsia="宋体" w:hint="default"/>
                <w:spacing w:val="-5"/>
                <w:sz w:val="18"/>
                <w:szCs w:val="18"/>
              </w:rPr>
              <w:t>栋</w:t>
            </w:r>
            <w:r>
              <w:rPr>
                <w:rFonts w:ascii="Times New Roman" w:hAnsi="Times New Roman" w:cs="Times New Roman" w:eastAsia="Times New Roman" w:hint="default"/>
                <w:spacing w:val="-5"/>
                <w:sz w:val="18"/>
                <w:szCs w:val="18"/>
              </w:rPr>
              <w:t>0519</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号</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21.88</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2017-10-1</w:t>
            </w:r>
            <w:r>
              <w:rPr>
                <w:rFonts w:ascii="宋体" w:hAnsi="宋体" w:cs="宋体" w:eastAsia="宋体" w:hint="default"/>
                <w:sz w:val="18"/>
                <w:szCs w:val="18"/>
              </w:rPr>
              <w:t>至</w:t>
            </w:r>
            <w:r>
              <w:rPr>
                <w:rFonts w:ascii="Times New Roman" w:hAnsi="Times New Roman" w:cs="Times New Roman" w:eastAsia="Times New Roman" w:hint="default"/>
                <w:sz w:val="18"/>
                <w:szCs w:val="18"/>
              </w:rPr>
              <w:t>2020-4-30</w:t>
            </w:r>
          </w:p>
        </w:tc>
      </w:tr>
      <w:tr>
        <w:trPr>
          <w:trHeight w:val="660"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
              <w:jc w:val="left"/>
              <w:rPr>
                <w:rFonts w:ascii="宋体" w:hAnsi="宋体" w:cs="宋体" w:eastAsia="宋体" w:hint="default"/>
                <w:sz w:val="18"/>
                <w:szCs w:val="18"/>
              </w:rPr>
            </w:pPr>
            <w:r>
              <w:rPr>
                <w:rFonts w:ascii="宋体" w:hAnsi="宋体" w:cs="宋体" w:eastAsia="宋体" w:hint="default"/>
                <w:sz w:val="18"/>
                <w:szCs w:val="18"/>
              </w:rPr>
              <w:t>深圳市南山区住房和建</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设局</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1"/>
              <w:jc w:val="left"/>
              <w:rPr>
                <w:rFonts w:ascii="宋体" w:hAnsi="宋体" w:cs="宋体" w:eastAsia="宋体" w:hint="default"/>
                <w:sz w:val="18"/>
                <w:szCs w:val="18"/>
              </w:rPr>
            </w:pPr>
            <w:r>
              <w:rPr>
                <w:rFonts w:ascii="宋体" w:hAnsi="宋体" w:cs="宋体" w:eastAsia="宋体" w:hint="default"/>
                <w:spacing w:val="3"/>
                <w:sz w:val="18"/>
                <w:szCs w:val="18"/>
              </w:rPr>
              <w:t>深圳市南山区众悦家园（住宅小区）</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栋</w:t>
            </w:r>
            <w:r>
              <w:rPr>
                <w:rFonts w:ascii="Times New Roman" w:hAnsi="Times New Roman" w:cs="Times New Roman" w:eastAsia="Times New Roman" w:hint="default"/>
                <w:spacing w:val="3"/>
                <w:sz w:val="18"/>
                <w:szCs w:val="18"/>
              </w:rPr>
              <w:t>0906</w:t>
            </w:r>
            <w:r>
              <w:rPr>
                <w:rFonts w:ascii="宋体" w:hAnsi="宋体" w:cs="宋体" w:eastAsia="宋体" w:hint="default"/>
                <w:spacing w:val="3"/>
                <w:sz w:val="18"/>
                <w:szCs w:val="18"/>
              </w:rPr>
              <w:t>号和</w:t>
            </w:r>
            <w:r>
              <w:rPr>
                <w:rFonts w:ascii="宋体" w:hAnsi="宋体" w:cs="宋体" w:eastAsia="宋体" w:hint="default"/>
                <w:sz w:val="18"/>
                <w:szCs w:val="18"/>
              </w:rPr>
            </w:r>
          </w:p>
          <w:p>
            <w:pPr>
              <w:pStyle w:val="TableParagraph"/>
              <w:spacing w:line="240" w:lineRule="auto" w:before="63"/>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0907</w:t>
            </w:r>
            <w:r>
              <w:rPr>
                <w:rFonts w:ascii="宋体" w:hAnsi="宋体" w:cs="宋体" w:eastAsia="宋体" w:hint="default"/>
                <w:sz w:val="18"/>
                <w:szCs w:val="18"/>
              </w:rPr>
              <w:t>号</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135.81</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2018-1-15</w:t>
            </w:r>
            <w:r>
              <w:rPr>
                <w:rFonts w:ascii="宋体" w:hAnsi="宋体" w:cs="宋体" w:eastAsia="宋体" w:hint="default"/>
                <w:sz w:val="18"/>
                <w:szCs w:val="18"/>
              </w:rPr>
              <w:t>至</w:t>
            </w:r>
            <w:r>
              <w:rPr>
                <w:rFonts w:ascii="Times New Roman" w:hAnsi="Times New Roman" w:cs="Times New Roman" w:eastAsia="Times New Roman" w:hint="default"/>
                <w:sz w:val="18"/>
                <w:szCs w:val="18"/>
              </w:rPr>
              <w:t>2021-1-14</w:t>
            </w:r>
          </w:p>
        </w:tc>
      </w:tr>
      <w:tr>
        <w:trPr>
          <w:trHeight w:val="347"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 w:right="0"/>
              <w:jc w:val="left"/>
              <w:rPr>
                <w:rFonts w:ascii="宋体" w:hAnsi="宋体" w:cs="宋体" w:eastAsia="宋体" w:hint="default"/>
                <w:sz w:val="18"/>
                <w:szCs w:val="18"/>
              </w:rPr>
            </w:pPr>
            <w:r>
              <w:rPr>
                <w:rFonts w:ascii="宋体" w:hAnsi="宋体" w:cs="宋体" w:eastAsia="宋体" w:hint="default"/>
                <w:sz w:val="18"/>
                <w:szCs w:val="18"/>
              </w:rPr>
              <w:t>成都蔡伦纸业有限公司</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成都市武侯区科华北路</w:t>
            </w:r>
            <w:r>
              <w:rPr>
                <w:rFonts w:ascii="Times New Roman" w:hAnsi="Times New Roman" w:cs="Times New Roman" w:eastAsia="Times New Roman" w:hint="default"/>
                <w:sz w:val="18"/>
                <w:szCs w:val="18"/>
              </w:rPr>
              <w:t>62</w:t>
            </w:r>
            <w:r>
              <w:rPr>
                <w:rFonts w:ascii="宋体" w:hAnsi="宋体" w:cs="宋体" w:eastAsia="宋体" w:hint="default"/>
                <w:sz w:val="18"/>
                <w:szCs w:val="18"/>
              </w:rPr>
              <w:t>号力宝大厦</w:t>
            </w:r>
            <w:r>
              <w:rPr>
                <w:rFonts w:ascii="Times New Roman" w:hAnsi="Times New Roman" w:cs="Times New Roman" w:eastAsia="Times New Roman" w:hint="default"/>
                <w:sz w:val="18"/>
                <w:szCs w:val="18"/>
              </w:rPr>
              <w:t>1</w:t>
            </w:r>
            <w:r>
              <w:rPr>
                <w:rFonts w:ascii="宋体" w:hAnsi="宋体" w:cs="宋体" w:eastAsia="宋体" w:hint="default"/>
                <w:sz w:val="18"/>
                <w:szCs w:val="18"/>
              </w:rPr>
              <w:t>栋</w:t>
            </w:r>
            <w:r>
              <w:rPr>
                <w:rFonts w:ascii="Times New Roman" w:hAnsi="Times New Roman" w:cs="Times New Roman" w:eastAsia="Times New Roman" w:hint="default"/>
                <w:sz w:val="18"/>
                <w:szCs w:val="18"/>
              </w:rPr>
              <w:t>11</w:t>
            </w:r>
            <w:r>
              <w:rPr>
                <w:rFonts w:ascii="宋体" w:hAnsi="宋体" w:cs="宋体" w:eastAsia="宋体" w:hint="default"/>
                <w:sz w:val="18"/>
                <w:szCs w:val="18"/>
              </w:rPr>
              <w:t>层</w:t>
            </w:r>
            <w:r>
              <w:rPr>
                <w:rFonts w:ascii="Times New Roman" w:hAnsi="Times New Roman" w:cs="Times New Roman" w:eastAsia="Times New Roman" w:hint="default"/>
                <w:sz w:val="18"/>
                <w:szCs w:val="18"/>
              </w:rPr>
              <w:t>16</w:t>
            </w:r>
            <w:r>
              <w:rPr>
                <w:rFonts w:ascii="宋体" w:hAnsi="宋体" w:cs="宋体" w:eastAsia="宋体" w:hint="default"/>
                <w:sz w:val="18"/>
                <w:szCs w:val="18"/>
              </w:rPr>
              <w:t>号</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203.36</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2017-5-1</w:t>
            </w:r>
            <w:r>
              <w:rPr>
                <w:rFonts w:ascii="宋体" w:hAnsi="宋体" w:cs="宋体" w:eastAsia="宋体" w:hint="default"/>
                <w:sz w:val="18"/>
                <w:szCs w:val="18"/>
              </w:rPr>
              <w:t>至</w:t>
            </w:r>
            <w:r>
              <w:rPr>
                <w:rFonts w:ascii="Times New Roman" w:hAnsi="Times New Roman" w:cs="Times New Roman" w:eastAsia="Times New Roman" w:hint="default"/>
                <w:sz w:val="18"/>
                <w:szCs w:val="18"/>
              </w:rPr>
              <w:t>2020-4-30</w:t>
            </w:r>
          </w:p>
        </w:tc>
      </w:tr>
      <w:tr>
        <w:trPr>
          <w:trHeight w:val="347"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 w:right="0"/>
              <w:jc w:val="left"/>
              <w:rPr>
                <w:rFonts w:ascii="宋体" w:hAnsi="宋体" w:cs="宋体" w:eastAsia="宋体" w:hint="default"/>
                <w:sz w:val="18"/>
                <w:szCs w:val="18"/>
              </w:rPr>
            </w:pPr>
            <w:r>
              <w:rPr>
                <w:rFonts w:ascii="宋体" w:hAnsi="宋体" w:cs="宋体" w:eastAsia="宋体" w:hint="default"/>
                <w:sz w:val="18"/>
                <w:szCs w:val="18"/>
              </w:rPr>
              <w:t>王洪莉</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北京西城区西直门外大街</w:t>
            </w:r>
            <w:r>
              <w:rPr>
                <w:rFonts w:ascii="Times New Roman" w:hAnsi="Times New Roman" w:cs="Times New Roman" w:eastAsia="Times New Roman" w:hint="default"/>
                <w:sz w:val="18"/>
                <w:szCs w:val="18"/>
              </w:rPr>
              <w:t>1</w:t>
            </w:r>
            <w:r>
              <w:rPr>
                <w:rFonts w:ascii="宋体" w:hAnsi="宋体" w:cs="宋体" w:eastAsia="宋体" w:hint="default"/>
                <w:sz w:val="18"/>
                <w:szCs w:val="18"/>
              </w:rPr>
              <w:t>号嘉茂大厦</w:t>
            </w:r>
            <w:r>
              <w:rPr>
                <w:rFonts w:ascii="Times New Roman" w:hAnsi="Times New Roman" w:cs="Times New Roman" w:eastAsia="Times New Roman" w:hint="default"/>
                <w:sz w:val="18"/>
                <w:szCs w:val="18"/>
              </w:rPr>
              <w:t>16</w:t>
            </w:r>
            <w:r>
              <w:rPr>
                <w:rFonts w:ascii="宋体" w:hAnsi="宋体" w:cs="宋体" w:eastAsia="宋体" w:hint="default"/>
                <w:sz w:val="18"/>
                <w:szCs w:val="18"/>
              </w:rPr>
              <w:t>层</w:t>
            </w:r>
            <w:r>
              <w:rPr>
                <w:rFonts w:ascii="Times New Roman" w:hAnsi="Times New Roman" w:cs="Times New Roman" w:eastAsia="Times New Roman" w:hint="default"/>
                <w:sz w:val="18"/>
                <w:szCs w:val="18"/>
              </w:rPr>
              <w:t>C9</w:t>
            </w:r>
            <w:r>
              <w:rPr>
                <w:rFonts w:ascii="宋体" w:hAnsi="宋体" w:cs="宋体" w:eastAsia="宋体" w:hint="default"/>
                <w:sz w:val="18"/>
                <w:szCs w:val="18"/>
              </w:rPr>
              <w:t>室</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137.33</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2018-3-1</w:t>
            </w:r>
            <w:r>
              <w:rPr>
                <w:rFonts w:ascii="宋体" w:hAnsi="宋体" w:cs="宋体" w:eastAsia="宋体" w:hint="default"/>
                <w:sz w:val="18"/>
                <w:szCs w:val="18"/>
              </w:rPr>
              <w:t>至</w:t>
            </w:r>
            <w:r>
              <w:rPr>
                <w:rFonts w:ascii="Times New Roman" w:hAnsi="Times New Roman" w:cs="Times New Roman" w:eastAsia="Times New Roman" w:hint="default"/>
                <w:sz w:val="18"/>
                <w:szCs w:val="18"/>
              </w:rPr>
              <w:t>2019-2-28</w:t>
            </w:r>
          </w:p>
        </w:tc>
      </w:tr>
      <w:tr>
        <w:trPr>
          <w:trHeight w:val="347"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 w:right="0"/>
              <w:jc w:val="left"/>
              <w:rPr>
                <w:rFonts w:ascii="宋体" w:hAnsi="宋体" w:cs="宋体" w:eastAsia="宋体" w:hint="default"/>
                <w:sz w:val="18"/>
                <w:szCs w:val="18"/>
              </w:rPr>
            </w:pPr>
            <w:r>
              <w:rPr>
                <w:rFonts w:ascii="宋体" w:hAnsi="宋体" w:cs="宋体" w:eastAsia="宋体" w:hint="default"/>
                <w:sz w:val="18"/>
                <w:szCs w:val="18"/>
              </w:rPr>
              <w:t>李顺增</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北京市海淀区田村小区</w:t>
            </w:r>
            <w:r>
              <w:rPr>
                <w:rFonts w:ascii="Times New Roman" w:hAnsi="Times New Roman" w:cs="Times New Roman" w:eastAsia="Times New Roman" w:hint="default"/>
                <w:sz w:val="18"/>
                <w:szCs w:val="18"/>
              </w:rPr>
              <w:t>1</w:t>
            </w:r>
            <w:r>
              <w:rPr>
                <w:rFonts w:ascii="宋体" w:hAnsi="宋体" w:cs="宋体" w:eastAsia="宋体" w:hint="default"/>
                <w:sz w:val="18"/>
                <w:szCs w:val="18"/>
              </w:rPr>
              <w:t>号楼</w:t>
            </w:r>
            <w:r>
              <w:rPr>
                <w:rFonts w:ascii="Times New Roman" w:hAnsi="Times New Roman" w:cs="Times New Roman" w:eastAsia="Times New Roman" w:hint="default"/>
                <w:sz w:val="18"/>
                <w:szCs w:val="18"/>
              </w:rPr>
              <w:t>2</w:t>
            </w:r>
            <w:r>
              <w:rPr>
                <w:rFonts w:ascii="宋体" w:hAnsi="宋体" w:cs="宋体" w:eastAsia="宋体" w:hint="default"/>
                <w:sz w:val="18"/>
                <w:szCs w:val="18"/>
              </w:rPr>
              <w:t>门</w:t>
            </w:r>
            <w:r>
              <w:rPr>
                <w:rFonts w:ascii="Times New Roman" w:hAnsi="Times New Roman" w:cs="Times New Roman" w:eastAsia="Times New Roman" w:hint="default"/>
                <w:sz w:val="18"/>
                <w:szCs w:val="18"/>
              </w:rPr>
              <w:t>102</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80.5</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2017-4-25</w:t>
            </w:r>
            <w:r>
              <w:rPr>
                <w:rFonts w:ascii="宋体" w:hAnsi="宋体" w:cs="宋体" w:eastAsia="宋体" w:hint="default"/>
                <w:sz w:val="18"/>
                <w:szCs w:val="18"/>
              </w:rPr>
              <w:t>至</w:t>
            </w:r>
            <w:r>
              <w:rPr>
                <w:rFonts w:ascii="Times New Roman" w:hAnsi="Times New Roman" w:cs="Times New Roman" w:eastAsia="Times New Roman" w:hint="default"/>
                <w:sz w:val="18"/>
                <w:szCs w:val="18"/>
              </w:rPr>
              <w:t>2019-4-24</w:t>
            </w:r>
          </w:p>
        </w:tc>
      </w:tr>
      <w:tr>
        <w:trPr>
          <w:trHeight w:val="659"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3" w:right="0"/>
              <w:jc w:val="left"/>
              <w:rPr>
                <w:rFonts w:ascii="宋体" w:hAnsi="宋体" w:cs="宋体" w:eastAsia="宋体" w:hint="default"/>
                <w:sz w:val="18"/>
                <w:szCs w:val="18"/>
              </w:rPr>
            </w:pPr>
            <w:r>
              <w:rPr>
                <w:rFonts w:ascii="宋体" w:hAnsi="宋体" w:cs="宋体" w:eastAsia="宋体" w:hint="default"/>
                <w:sz w:val="18"/>
                <w:szCs w:val="18"/>
              </w:rPr>
              <w:t>雷琴</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5"/>
              <w:jc w:val="left"/>
              <w:rPr>
                <w:rFonts w:ascii="宋体" w:hAnsi="宋体" w:cs="宋体" w:eastAsia="宋体" w:hint="default"/>
                <w:sz w:val="18"/>
                <w:szCs w:val="18"/>
              </w:rPr>
            </w:pPr>
            <w:r>
              <w:rPr>
                <w:rFonts w:ascii="宋体" w:hAnsi="宋体" w:cs="宋体" w:eastAsia="宋体" w:hint="default"/>
                <w:spacing w:val="7"/>
                <w:sz w:val="18"/>
                <w:szCs w:val="18"/>
              </w:rPr>
              <w:t>北京市海淀区田村半壁店南永景园小区</w:t>
            </w:r>
            <w:r>
              <w:rPr>
                <w:rFonts w:ascii="Times New Roman" w:hAnsi="Times New Roman" w:cs="Times New Roman" w:eastAsia="Times New Roman" w:hint="default"/>
                <w:spacing w:val="7"/>
                <w:sz w:val="18"/>
                <w:szCs w:val="18"/>
              </w:rPr>
              <w:t>5</w:t>
            </w:r>
            <w:r>
              <w:rPr>
                <w:rFonts w:ascii="宋体" w:hAnsi="宋体" w:cs="宋体" w:eastAsia="宋体" w:hint="default"/>
                <w:spacing w:val="7"/>
                <w:sz w:val="18"/>
                <w:szCs w:val="18"/>
              </w:rPr>
              <w:t>栋</w:t>
            </w:r>
            <w:r>
              <w:rPr>
                <w:rFonts w:ascii="Times New Roman" w:hAnsi="Times New Roman" w:cs="Times New Roman" w:eastAsia="Times New Roman" w:hint="default"/>
                <w:spacing w:val="7"/>
                <w:sz w:val="18"/>
                <w:szCs w:val="18"/>
              </w:rPr>
              <w:t>5</w:t>
            </w:r>
            <w:r>
              <w:rPr>
                <w:rFonts w:ascii="宋体" w:hAnsi="宋体" w:cs="宋体" w:eastAsia="宋体" w:hint="default"/>
                <w:spacing w:val="7"/>
                <w:sz w:val="18"/>
                <w:szCs w:val="18"/>
              </w:rPr>
              <w:t>单元</w:t>
            </w:r>
            <w:r>
              <w:rPr>
                <w:rFonts w:ascii="宋体" w:hAnsi="宋体" w:cs="宋体" w:eastAsia="宋体" w:hint="default"/>
                <w:sz w:val="18"/>
                <w:szCs w:val="18"/>
              </w:rPr>
            </w:r>
          </w:p>
          <w:p>
            <w:pPr>
              <w:pStyle w:val="TableParagraph"/>
              <w:spacing w:line="240" w:lineRule="auto" w:before="63"/>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501</w:t>
            </w:r>
            <w:r>
              <w:rPr>
                <w:rFonts w:ascii="宋体" w:hAnsi="宋体" w:cs="宋体" w:eastAsia="宋体" w:hint="default"/>
                <w:sz w:val="18"/>
                <w:szCs w:val="18"/>
              </w:rPr>
              <w:t>室</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96.76</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2018-8-9</w:t>
            </w:r>
            <w:r>
              <w:rPr>
                <w:rFonts w:ascii="宋体" w:hAnsi="宋体" w:cs="宋体" w:eastAsia="宋体" w:hint="default"/>
                <w:sz w:val="18"/>
                <w:szCs w:val="18"/>
              </w:rPr>
              <w:t>至</w:t>
            </w:r>
            <w:r>
              <w:rPr>
                <w:rFonts w:ascii="Times New Roman" w:hAnsi="Times New Roman" w:cs="Times New Roman" w:eastAsia="Times New Roman" w:hint="default"/>
                <w:sz w:val="18"/>
                <w:szCs w:val="18"/>
              </w:rPr>
              <w:t>2019-8-9</w:t>
            </w:r>
          </w:p>
        </w:tc>
      </w:tr>
      <w:tr>
        <w:trPr>
          <w:trHeight w:val="347"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 w:right="0"/>
              <w:jc w:val="left"/>
              <w:rPr>
                <w:rFonts w:ascii="宋体" w:hAnsi="宋体" w:cs="宋体" w:eastAsia="宋体" w:hint="default"/>
                <w:sz w:val="18"/>
                <w:szCs w:val="18"/>
              </w:rPr>
            </w:pPr>
            <w:r>
              <w:rPr>
                <w:rFonts w:ascii="宋体" w:hAnsi="宋体" w:cs="宋体" w:eastAsia="宋体" w:hint="default"/>
                <w:sz w:val="18"/>
                <w:szCs w:val="18"/>
              </w:rPr>
              <w:t>旷英华</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北京市通州区新海南里</w:t>
            </w:r>
            <w:r>
              <w:rPr>
                <w:rFonts w:ascii="Times New Roman" w:hAnsi="Times New Roman" w:cs="Times New Roman" w:eastAsia="Times New Roman" w:hint="default"/>
                <w:sz w:val="18"/>
                <w:szCs w:val="18"/>
              </w:rPr>
              <w:t>276</w:t>
            </w:r>
            <w:r>
              <w:rPr>
                <w:rFonts w:ascii="宋体" w:hAnsi="宋体" w:cs="宋体" w:eastAsia="宋体" w:hint="default"/>
                <w:sz w:val="18"/>
                <w:szCs w:val="18"/>
              </w:rPr>
              <w:t>号楼</w:t>
            </w:r>
            <w:r>
              <w:rPr>
                <w:rFonts w:ascii="Times New Roman" w:hAnsi="Times New Roman" w:cs="Times New Roman" w:eastAsia="Times New Roman" w:hint="default"/>
                <w:sz w:val="18"/>
                <w:szCs w:val="18"/>
              </w:rPr>
              <w:t>9</w:t>
            </w:r>
            <w:r>
              <w:rPr>
                <w:rFonts w:ascii="宋体" w:hAnsi="宋体" w:cs="宋体" w:eastAsia="宋体" w:hint="default"/>
                <w:sz w:val="18"/>
                <w:szCs w:val="18"/>
              </w:rPr>
              <w:t>层</w:t>
            </w:r>
            <w:r>
              <w:rPr>
                <w:rFonts w:ascii="Times New Roman" w:hAnsi="Times New Roman" w:cs="Times New Roman" w:eastAsia="Times New Roman" w:hint="default"/>
                <w:sz w:val="18"/>
                <w:szCs w:val="18"/>
              </w:rPr>
              <w:t>2</w:t>
            </w:r>
            <w:r>
              <w:rPr>
                <w:rFonts w:ascii="宋体" w:hAnsi="宋体" w:cs="宋体" w:eastAsia="宋体" w:hint="default"/>
                <w:sz w:val="18"/>
                <w:szCs w:val="18"/>
              </w:rPr>
              <w:t>单元</w:t>
            </w:r>
            <w:r>
              <w:rPr>
                <w:rFonts w:ascii="Times New Roman" w:hAnsi="Times New Roman" w:cs="Times New Roman" w:eastAsia="Times New Roman" w:hint="default"/>
                <w:sz w:val="18"/>
                <w:szCs w:val="18"/>
              </w:rPr>
              <w:t>904</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90.59</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2018-6-5</w:t>
            </w:r>
            <w:r>
              <w:rPr>
                <w:rFonts w:ascii="宋体" w:hAnsi="宋体" w:cs="宋体" w:eastAsia="宋体" w:hint="default"/>
                <w:sz w:val="18"/>
                <w:szCs w:val="18"/>
              </w:rPr>
              <w:t>至</w:t>
            </w:r>
            <w:r>
              <w:rPr>
                <w:rFonts w:ascii="Times New Roman" w:hAnsi="Times New Roman" w:cs="Times New Roman" w:eastAsia="Times New Roman" w:hint="default"/>
                <w:sz w:val="18"/>
                <w:szCs w:val="18"/>
              </w:rPr>
              <w:t>2019-6-5</w:t>
            </w:r>
          </w:p>
        </w:tc>
      </w:tr>
      <w:tr>
        <w:trPr>
          <w:trHeight w:val="348"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 w:right="0"/>
              <w:jc w:val="left"/>
              <w:rPr>
                <w:rFonts w:ascii="宋体" w:hAnsi="宋体" w:cs="宋体" w:eastAsia="宋体" w:hint="default"/>
                <w:sz w:val="18"/>
                <w:szCs w:val="18"/>
              </w:rPr>
            </w:pPr>
            <w:r>
              <w:rPr>
                <w:rFonts w:ascii="宋体" w:hAnsi="宋体" w:cs="宋体" w:eastAsia="宋体" w:hint="default"/>
                <w:sz w:val="18"/>
                <w:szCs w:val="18"/>
              </w:rPr>
              <w:t>尹秋莲</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上海市浦东新区孙耀路</w:t>
            </w:r>
            <w:r>
              <w:rPr>
                <w:rFonts w:ascii="Times New Roman" w:hAnsi="Times New Roman" w:cs="Times New Roman" w:eastAsia="Times New Roman" w:hint="default"/>
                <w:sz w:val="18"/>
                <w:szCs w:val="18"/>
              </w:rPr>
              <w:t>111</w:t>
            </w:r>
            <w:r>
              <w:rPr>
                <w:rFonts w:ascii="宋体" w:hAnsi="宋体" w:cs="宋体" w:eastAsia="宋体" w:hint="default"/>
                <w:sz w:val="18"/>
                <w:szCs w:val="18"/>
              </w:rPr>
              <w:t>弄</w:t>
            </w:r>
            <w:r>
              <w:rPr>
                <w:rFonts w:ascii="Times New Roman" w:hAnsi="Times New Roman" w:cs="Times New Roman" w:eastAsia="Times New Roman" w:hint="default"/>
                <w:sz w:val="18"/>
                <w:szCs w:val="18"/>
              </w:rPr>
              <w:t>74</w:t>
            </w:r>
            <w:r>
              <w:rPr>
                <w:rFonts w:ascii="宋体" w:hAnsi="宋体" w:cs="宋体" w:eastAsia="宋体" w:hint="default"/>
                <w:sz w:val="18"/>
                <w:szCs w:val="18"/>
              </w:rPr>
              <w:t>号</w:t>
            </w:r>
            <w:r>
              <w:rPr>
                <w:rFonts w:ascii="Times New Roman" w:hAnsi="Times New Roman" w:cs="Times New Roman" w:eastAsia="Times New Roman" w:hint="default"/>
                <w:sz w:val="18"/>
                <w:szCs w:val="18"/>
              </w:rPr>
              <w:t>302</w:t>
            </w:r>
            <w:r>
              <w:rPr>
                <w:rFonts w:ascii="宋体" w:hAnsi="宋体" w:cs="宋体" w:eastAsia="宋体" w:hint="default"/>
                <w:sz w:val="18"/>
                <w:szCs w:val="18"/>
              </w:rPr>
              <w:t>室</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86</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2018-9-15</w:t>
            </w:r>
            <w:r>
              <w:rPr>
                <w:rFonts w:ascii="宋体" w:hAnsi="宋体" w:cs="宋体" w:eastAsia="宋体" w:hint="default"/>
                <w:sz w:val="18"/>
                <w:szCs w:val="18"/>
              </w:rPr>
              <w:t>至</w:t>
            </w:r>
            <w:r>
              <w:rPr>
                <w:rFonts w:ascii="Times New Roman" w:hAnsi="Times New Roman" w:cs="Times New Roman" w:eastAsia="Times New Roman" w:hint="default"/>
                <w:sz w:val="18"/>
                <w:szCs w:val="18"/>
              </w:rPr>
              <w:t>2019-9-14</w:t>
            </w:r>
          </w:p>
        </w:tc>
      </w:tr>
      <w:tr>
        <w:trPr>
          <w:trHeight w:val="347"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 w:right="0"/>
              <w:jc w:val="left"/>
              <w:rPr>
                <w:rFonts w:ascii="宋体" w:hAnsi="宋体" w:cs="宋体" w:eastAsia="宋体" w:hint="default"/>
                <w:sz w:val="18"/>
                <w:szCs w:val="18"/>
              </w:rPr>
            </w:pPr>
            <w:r>
              <w:rPr>
                <w:rFonts w:ascii="宋体" w:hAnsi="宋体" w:cs="宋体" w:eastAsia="宋体" w:hint="default"/>
                <w:sz w:val="18"/>
                <w:szCs w:val="18"/>
              </w:rPr>
              <w:t>俞英</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上海市浦东新区香楠小区</w:t>
            </w:r>
            <w:r>
              <w:rPr>
                <w:rFonts w:ascii="Times New Roman" w:hAnsi="Times New Roman" w:cs="Times New Roman" w:eastAsia="Times New Roman" w:hint="default"/>
                <w:sz w:val="18"/>
                <w:szCs w:val="18"/>
              </w:rPr>
              <w:t>65</w:t>
            </w:r>
            <w:r>
              <w:rPr>
                <w:rFonts w:ascii="宋体" w:hAnsi="宋体" w:cs="宋体" w:eastAsia="宋体" w:hint="default"/>
                <w:sz w:val="18"/>
                <w:szCs w:val="18"/>
              </w:rPr>
              <w:t>弄</w:t>
            </w:r>
            <w:r>
              <w:rPr>
                <w:rFonts w:ascii="Times New Roman" w:hAnsi="Times New Roman" w:cs="Times New Roman" w:eastAsia="Times New Roman" w:hint="default"/>
                <w:sz w:val="18"/>
                <w:szCs w:val="18"/>
              </w:rPr>
              <w:t>7</w:t>
            </w:r>
            <w:r>
              <w:rPr>
                <w:rFonts w:ascii="宋体" w:hAnsi="宋体" w:cs="宋体" w:eastAsia="宋体" w:hint="default"/>
                <w:sz w:val="18"/>
                <w:szCs w:val="18"/>
              </w:rPr>
              <w:t>号</w:t>
            </w:r>
            <w:r>
              <w:rPr>
                <w:rFonts w:ascii="Times New Roman" w:hAnsi="Times New Roman" w:cs="Times New Roman" w:eastAsia="Times New Roman" w:hint="default"/>
                <w:sz w:val="18"/>
                <w:szCs w:val="18"/>
              </w:rPr>
              <w:t>501</w:t>
            </w:r>
            <w:r>
              <w:rPr>
                <w:rFonts w:ascii="宋体" w:hAnsi="宋体" w:cs="宋体" w:eastAsia="宋体" w:hint="default"/>
                <w:sz w:val="18"/>
                <w:szCs w:val="18"/>
              </w:rPr>
              <w:t>室</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90</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2018-1-7</w:t>
            </w:r>
            <w:r>
              <w:rPr>
                <w:rFonts w:ascii="宋体" w:hAnsi="宋体" w:cs="宋体" w:eastAsia="宋体" w:hint="default"/>
                <w:sz w:val="18"/>
                <w:szCs w:val="18"/>
              </w:rPr>
              <w:t>至</w:t>
            </w:r>
            <w:r>
              <w:rPr>
                <w:rFonts w:ascii="Times New Roman" w:hAnsi="Times New Roman" w:cs="Times New Roman" w:eastAsia="Times New Roman" w:hint="default"/>
                <w:sz w:val="18"/>
                <w:szCs w:val="18"/>
              </w:rPr>
              <w:t>2019-1-6</w:t>
            </w:r>
          </w:p>
        </w:tc>
      </w:tr>
      <w:tr>
        <w:trPr>
          <w:trHeight w:val="347"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 w:right="0"/>
              <w:jc w:val="left"/>
              <w:rPr>
                <w:rFonts w:ascii="宋体" w:hAnsi="宋体" w:cs="宋体" w:eastAsia="宋体" w:hint="default"/>
                <w:sz w:val="18"/>
                <w:szCs w:val="18"/>
              </w:rPr>
            </w:pPr>
            <w:r>
              <w:rPr>
                <w:rFonts w:ascii="宋体" w:hAnsi="宋体" w:cs="宋体" w:eastAsia="宋体" w:hint="default"/>
                <w:sz w:val="18"/>
                <w:szCs w:val="18"/>
              </w:rPr>
              <w:t>孔国旗</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上海市青浦区崧润路</w:t>
            </w:r>
            <w:r>
              <w:rPr>
                <w:rFonts w:ascii="Times New Roman" w:hAnsi="Times New Roman" w:cs="Times New Roman" w:eastAsia="Times New Roman" w:hint="default"/>
                <w:sz w:val="18"/>
                <w:szCs w:val="18"/>
              </w:rPr>
              <w:t>1029</w:t>
            </w:r>
            <w:r>
              <w:rPr>
                <w:rFonts w:ascii="宋体" w:hAnsi="宋体" w:cs="宋体" w:eastAsia="宋体" w:hint="default"/>
                <w:sz w:val="18"/>
                <w:szCs w:val="18"/>
              </w:rPr>
              <w:t>弄</w:t>
            </w:r>
            <w:r>
              <w:rPr>
                <w:rFonts w:ascii="Times New Roman" w:hAnsi="Times New Roman" w:cs="Times New Roman" w:eastAsia="Times New Roman" w:hint="default"/>
                <w:sz w:val="18"/>
                <w:szCs w:val="18"/>
              </w:rPr>
              <w:t>3</w:t>
            </w:r>
            <w:r>
              <w:rPr>
                <w:rFonts w:ascii="宋体" w:hAnsi="宋体" w:cs="宋体" w:eastAsia="宋体" w:hint="default"/>
                <w:sz w:val="18"/>
                <w:szCs w:val="18"/>
              </w:rPr>
              <w:t>号</w:t>
            </w:r>
            <w:r>
              <w:rPr>
                <w:rFonts w:ascii="Times New Roman" w:hAnsi="Times New Roman" w:cs="Times New Roman" w:eastAsia="Times New Roman" w:hint="default"/>
                <w:sz w:val="18"/>
                <w:szCs w:val="18"/>
              </w:rPr>
              <w:t>101</w:t>
            </w:r>
            <w:r>
              <w:rPr>
                <w:rFonts w:ascii="宋体" w:hAnsi="宋体" w:cs="宋体" w:eastAsia="宋体" w:hint="default"/>
                <w:sz w:val="18"/>
                <w:szCs w:val="18"/>
              </w:rPr>
              <w:t>室</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92</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2018-3-23</w:t>
            </w:r>
            <w:r>
              <w:rPr>
                <w:rFonts w:ascii="宋体" w:hAnsi="宋体" w:cs="宋体" w:eastAsia="宋体" w:hint="default"/>
                <w:sz w:val="18"/>
                <w:szCs w:val="18"/>
              </w:rPr>
              <w:t>至</w:t>
            </w:r>
            <w:r>
              <w:rPr>
                <w:rFonts w:ascii="Times New Roman" w:hAnsi="Times New Roman" w:cs="Times New Roman" w:eastAsia="Times New Roman" w:hint="default"/>
                <w:sz w:val="18"/>
                <w:szCs w:val="18"/>
              </w:rPr>
              <w:t>2019-3-22</w:t>
            </w:r>
          </w:p>
        </w:tc>
      </w:tr>
      <w:tr>
        <w:trPr>
          <w:trHeight w:val="347"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 w:right="0"/>
              <w:jc w:val="left"/>
              <w:rPr>
                <w:rFonts w:ascii="宋体" w:hAnsi="宋体" w:cs="宋体" w:eastAsia="宋体" w:hint="default"/>
                <w:sz w:val="18"/>
                <w:szCs w:val="18"/>
              </w:rPr>
            </w:pPr>
            <w:r>
              <w:rPr>
                <w:rFonts w:ascii="宋体" w:hAnsi="宋体" w:cs="宋体" w:eastAsia="宋体" w:hint="default"/>
                <w:sz w:val="18"/>
                <w:szCs w:val="18"/>
              </w:rPr>
              <w:t>胡宗华</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上海市松江区泗陈公路</w:t>
            </w:r>
            <w:r>
              <w:rPr>
                <w:rFonts w:ascii="Times New Roman" w:hAnsi="Times New Roman" w:cs="Times New Roman" w:eastAsia="Times New Roman" w:hint="default"/>
                <w:sz w:val="18"/>
                <w:szCs w:val="18"/>
              </w:rPr>
              <w:t>1888</w:t>
            </w:r>
            <w:r>
              <w:rPr>
                <w:rFonts w:ascii="宋体" w:hAnsi="宋体" w:cs="宋体" w:eastAsia="宋体" w:hint="default"/>
                <w:sz w:val="18"/>
                <w:szCs w:val="18"/>
              </w:rPr>
              <w:t>弄</w:t>
            </w:r>
            <w:r>
              <w:rPr>
                <w:rFonts w:ascii="Times New Roman" w:hAnsi="Times New Roman" w:cs="Times New Roman" w:eastAsia="Times New Roman" w:hint="default"/>
                <w:sz w:val="18"/>
                <w:szCs w:val="18"/>
              </w:rPr>
              <w:t>187</w:t>
            </w:r>
            <w:r>
              <w:rPr>
                <w:rFonts w:ascii="宋体" w:hAnsi="宋体" w:cs="宋体" w:eastAsia="宋体" w:hint="default"/>
                <w:sz w:val="18"/>
                <w:szCs w:val="18"/>
              </w:rPr>
              <w:t>号</w:t>
            </w:r>
            <w:r>
              <w:rPr>
                <w:rFonts w:ascii="Times New Roman" w:hAnsi="Times New Roman" w:cs="Times New Roman" w:eastAsia="Times New Roman" w:hint="default"/>
                <w:sz w:val="18"/>
                <w:szCs w:val="18"/>
              </w:rPr>
              <w:t>201</w:t>
            </w:r>
            <w:r>
              <w:rPr>
                <w:rFonts w:ascii="宋体" w:hAnsi="宋体" w:cs="宋体" w:eastAsia="宋体" w:hint="default"/>
                <w:sz w:val="18"/>
                <w:szCs w:val="18"/>
              </w:rPr>
              <w:t>室</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36</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2018-4-10</w:t>
            </w:r>
            <w:r>
              <w:rPr>
                <w:rFonts w:ascii="宋体" w:hAnsi="宋体" w:cs="宋体" w:eastAsia="宋体" w:hint="default"/>
                <w:sz w:val="18"/>
                <w:szCs w:val="18"/>
              </w:rPr>
              <w:t>至</w:t>
            </w:r>
            <w:r>
              <w:rPr>
                <w:rFonts w:ascii="Times New Roman" w:hAnsi="Times New Roman" w:cs="Times New Roman" w:eastAsia="Times New Roman" w:hint="default"/>
                <w:sz w:val="18"/>
                <w:szCs w:val="18"/>
              </w:rPr>
              <w:t>2019-4-9</w:t>
            </w:r>
          </w:p>
        </w:tc>
      </w:tr>
      <w:tr>
        <w:trPr>
          <w:trHeight w:val="347"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 w:right="0"/>
              <w:jc w:val="left"/>
              <w:rPr>
                <w:rFonts w:ascii="宋体" w:hAnsi="宋体" w:cs="宋体" w:eastAsia="宋体" w:hint="default"/>
                <w:sz w:val="18"/>
                <w:szCs w:val="18"/>
              </w:rPr>
            </w:pPr>
            <w:r>
              <w:rPr>
                <w:rFonts w:ascii="宋体" w:hAnsi="宋体" w:cs="宋体" w:eastAsia="宋体" w:hint="default"/>
                <w:sz w:val="18"/>
                <w:szCs w:val="18"/>
              </w:rPr>
              <w:t>戴秀峰</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上海市长宁区泉口路</w:t>
            </w:r>
            <w:r>
              <w:rPr>
                <w:rFonts w:ascii="Times New Roman" w:hAnsi="Times New Roman" w:cs="Times New Roman" w:eastAsia="Times New Roman" w:hint="default"/>
                <w:sz w:val="18"/>
                <w:szCs w:val="18"/>
              </w:rPr>
              <w:t>109</w:t>
            </w:r>
            <w:r>
              <w:rPr>
                <w:rFonts w:ascii="宋体" w:hAnsi="宋体" w:cs="宋体" w:eastAsia="宋体" w:hint="default"/>
                <w:sz w:val="18"/>
                <w:szCs w:val="18"/>
              </w:rPr>
              <w:t>弄</w:t>
            </w:r>
            <w:r>
              <w:rPr>
                <w:rFonts w:ascii="Times New Roman" w:hAnsi="Times New Roman" w:cs="Times New Roman" w:eastAsia="Times New Roman" w:hint="default"/>
                <w:sz w:val="18"/>
                <w:szCs w:val="18"/>
              </w:rPr>
              <w:t>135</w:t>
            </w:r>
            <w:r>
              <w:rPr>
                <w:rFonts w:ascii="宋体" w:hAnsi="宋体" w:cs="宋体" w:eastAsia="宋体" w:hint="default"/>
                <w:sz w:val="18"/>
                <w:szCs w:val="18"/>
              </w:rPr>
              <w:t>号</w:t>
            </w:r>
            <w:r>
              <w:rPr>
                <w:rFonts w:ascii="Times New Roman" w:hAnsi="Times New Roman" w:cs="Times New Roman" w:eastAsia="Times New Roman" w:hint="default"/>
                <w:sz w:val="18"/>
                <w:szCs w:val="18"/>
              </w:rPr>
              <w:t>302</w:t>
            </w:r>
            <w:r>
              <w:rPr>
                <w:rFonts w:ascii="宋体" w:hAnsi="宋体" w:cs="宋体" w:eastAsia="宋体" w:hint="default"/>
                <w:sz w:val="18"/>
                <w:szCs w:val="18"/>
              </w:rPr>
              <w:t>室</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55</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2018-7-1</w:t>
            </w:r>
            <w:r>
              <w:rPr>
                <w:rFonts w:ascii="宋体" w:hAnsi="宋体" w:cs="宋体" w:eastAsia="宋体" w:hint="default"/>
                <w:sz w:val="18"/>
                <w:szCs w:val="18"/>
              </w:rPr>
              <w:t>至</w:t>
            </w:r>
            <w:r>
              <w:rPr>
                <w:rFonts w:ascii="Times New Roman" w:hAnsi="Times New Roman" w:cs="Times New Roman" w:eastAsia="Times New Roman" w:hint="default"/>
                <w:sz w:val="18"/>
                <w:szCs w:val="18"/>
              </w:rPr>
              <w:t>2019-6-30</w:t>
            </w:r>
          </w:p>
        </w:tc>
      </w:tr>
      <w:tr>
        <w:trPr>
          <w:trHeight w:val="347"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 w:right="0"/>
              <w:jc w:val="left"/>
              <w:rPr>
                <w:rFonts w:ascii="宋体" w:hAnsi="宋体" w:cs="宋体" w:eastAsia="宋体" w:hint="default"/>
                <w:sz w:val="18"/>
                <w:szCs w:val="18"/>
              </w:rPr>
            </w:pPr>
            <w:r>
              <w:rPr>
                <w:rFonts w:ascii="宋体" w:hAnsi="宋体" w:cs="宋体" w:eastAsia="宋体" w:hint="default"/>
                <w:sz w:val="18"/>
                <w:szCs w:val="18"/>
              </w:rPr>
              <w:t>黄瑾</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上海市松江区横港路</w:t>
            </w:r>
            <w:r>
              <w:rPr>
                <w:rFonts w:ascii="Times New Roman" w:hAnsi="Times New Roman" w:cs="Times New Roman" w:eastAsia="Times New Roman" w:hint="default"/>
                <w:sz w:val="18"/>
                <w:szCs w:val="18"/>
              </w:rPr>
              <w:t>49</w:t>
            </w:r>
            <w:r>
              <w:rPr>
                <w:rFonts w:ascii="宋体" w:hAnsi="宋体" w:cs="宋体" w:eastAsia="宋体" w:hint="default"/>
                <w:sz w:val="18"/>
                <w:szCs w:val="18"/>
              </w:rPr>
              <w:t>弄</w:t>
            </w:r>
            <w:r>
              <w:rPr>
                <w:rFonts w:ascii="Times New Roman" w:hAnsi="Times New Roman" w:cs="Times New Roman" w:eastAsia="Times New Roman" w:hint="default"/>
                <w:sz w:val="18"/>
                <w:szCs w:val="18"/>
              </w:rPr>
              <w:t>59</w:t>
            </w:r>
            <w:r>
              <w:rPr>
                <w:rFonts w:ascii="宋体" w:hAnsi="宋体" w:cs="宋体" w:eastAsia="宋体" w:hint="default"/>
                <w:sz w:val="18"/>
                <w:szCs w:val="18"/>
              </w:rPr>
              <w:t>号</w:t>
            </w:r>
            <w:r>
              <w:rPr>
                <w:rFonts w:ascii="Times New Roman" w:hAnsi="Times New Roman" w:cs="Times New Roman" w:eastAsia="Times New Roman" w:hint="default"/>
                <w:sz w:val="18"/>
                <w:szCs w:val="18"/>
              </w:rPr>
              <w:t>101</w:t>
            </w:r>
            <w:r>
              <w:rPr>
                <w:rFonts w:ascii="宋体" w:hAnsi="宋体" w:cs="宋体" w:eastAsia="宋体" w:hint="default"/>
                <w:sz w:val="18"/>
                <w:szCs w:val="18"/>
              </w:rPr>
              <w:t>室</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100.81</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2018-6-15</w:t>
            </w:r>
            <w:r>
              <w:rPr>
                <w:rFonts w:ascii="宋体" w:hAnsi="宋体" w:cs="宋体" w:eastAsia="宋体" w:hint="default"/>
                <w:sz w:val="18"/>
                <w:szCs w:val="18"/>
              </w:rPr>
              <w:t>至</w:t>
            </w:r>
            <w:r>
              <w:rPr>
                <w:rFonts w:ascii="Times New Roman" w:hAnsi="Times New Roman" w:cs="Times New Roman" w:eastAsia="Times New Roman" w:hint="default"/>
                <w:sz w:val="18"/>
                <w:szCs w:val="18"/>
              </w:rPr>
              <w:t>2019-6-14</w:t>
            </w:r>
          </w:p>
        </w:tc>
      </w:tr>
      <w:tr>
        <w:trPr>
          <w:trHeight w:val="348" w:hRule="exact"/>
        </w:trPr>
        <w:tc>
          <w:tcPr>
            <w:tcW w:w="851" w:type="dxa"/>
            <w:vMerge/>
            <w:tcBorders>
              <w:left w:val="single" w:sz="6" w:space="0" w:color="000000"/>
              <w:bottom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 w:right="0"/>
              <w:jc w:val="left"/>
              <w:rPr>
                <w:rFonts w:ascii="宋体" w:hAnsi="宋体" w:cs="宋体" w:eastAsia="宋体" w:hint="default"/>
                <w:sz w:val="18"/>
                <w:szCs w:val="18"/>
              </w:rPr>
            </w:pPr>
            <w:r>
              <w:rPr>
                <w:rFonts w:ascii="宋体" w:hAnsi="宋体" w:cs="宋体" w:eastAsia="宋体" w:hint="default"/>
                <w:sz w:val="18"/>
                <w:szCs w:val="18"/>
              </w:rPr>
              <w:t>林晓玲</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上海市松江区涞坊路</w:t>
            </w:r>
            <w:r>
              <w:rPr>
                <w:rFonts w:ascii="Times New Roman" w:hAnsi="Times New Roman" w:cs="Times New Roman" w:eastAsia="Times New Roman" w:hint="default"/>
                <w:sz w:val="18"/>
                <w:szCs w:val="18"/>
              </w:rPr>
              <w:t>333</w:t>
            </w:r>
            <w:r>
              <w:rPr>
                <w:rFonts w:ascii="宋体" w:hAnsi="宋体" w:cs="宋体" w:eastAsia="宋体" w:hint="default"/>
                <w:sz w:val="18"/>
                <w:szCs w:val="18"/>
              </w:rPr>
              <w:t>弄</w:t>
            </w:r>
            <w:r>
              <w:rPr>
                <w:rFonts w:ascii="Times New Roman" w:hAnsi="Times New Roman" w:cs="Times New Roman" w:eastAsia="Times New Roman" w:hint="default"/>
                <w:sz w:val="18"/>
                <w:szCs w:val="18"/>
              </w:rPr>
              <w:t>9</w:t>
            </w:r>
            <w:r>
              <w:rPr>
                <w:rFonts w:ascii="宋体" w:hAnsi="宋体" w:cs="宋体" w:eastAsia="宋体" w:hint="default"/>
                <w:sz w:val="18"/>
                <w:szCs w:val="18"/>
              </w:rPr>
              <w:t>号</w:t>
            </w:r>
            <w:r>
              <w:rPr>
                <w:rFonts w:ascii="Times New Roman" w:hAnsi="Times New Roman" w:cs="Times New Roman" w:eastAsia="Times New Roman" w:hint="default"/>
                <w:sz w:val="18"/>
                <w:szCs w:val="18"/>
              </w:rPr>
              <w:t>602</w:t>
            </w:r>
            <w:r>
              <w:rPr>
                <w:rFonts w:ascii="宋体" w:hAnsi="宋体" w:cs="宋体" w:eastAsia="宋体" w:hint="default"/>
                <w:sz w:val="18"/>
                <w:szCs w:val="18"/>
              </w:rPr>
              <w:t>室</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107.34</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2018-7-10</w:t>
            </w:r>
            <w:r>
              <w:rPr>
                <w:rFonts w:ascii="宋体" w:hAnsi="宋体" w:cs="宋体" w:eastAsia="宋体" w:hint="default"/>
                <w:sz w:val="18"/>
                <w:szCs w:val="18"/>
              </w:rPr>
              <w:t>至</w:t>
            </w:r>
            <w:r>
              <w:rPr>
                <w:rFonts w:ascii="Times New Roman" w:hAnsi="Times New Roman" w:cs="Times New Roman" w:eastAsia="Times New Roman" w:hint="default"/>
                <w:sz w:val="18"/>
                <w:szCs w:val="18"/>
              </w:rPr>
              <w:t>2019-7-9</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6" w:type="dxa"/>
        <w:tblLayout w:type="fixed"/>
        <w:tblCellMar>
          <w:top w:w="0" w:type="dxa"/>
          <w:left w:w="0" w:type="dxa"/>
          <w:bottom w:w="0" w:type="dxa"/>
          <w:right w:w="0" w:type="dxa"/>
        </w:tblCellMar>
        <w:tblLook w:val="01E0"/>
      </w:tblPr>
      <w:tblGrid>
        <w:gridCol w:w="851"/>
        <w:gridCol w:w="1843"/>
        <w:gridCol w:w="3970"/>
        <w:gridCol w:w="850"/>
        <w:gridCol w:w="1985"/>
      </w:tblGrid>
      <w:tr>
        <w:trPr>
          <w:trHeight w:val="347" w:hRule="exact"/>
        </w:trPr>
        <w:tc>
          <w:tcPr>
            <w:tcW w:w="851" w:type="dxa"/>
            <w:vMerge w:val="restart"/>
            <w:tcBorders>
              <w:top w:val="single" w:sz="6" w:space="0" w:color="000000"/>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3" w:right="0"/>
              <w:jc w:val="left"/>
              <w:rPr>
                <w:rFonts w:ascii="宋体" w:hAnsi="宋体" w:cs="宋体" w:eastAsia="宋体" w:hint="default"/>
                <w:sz w:val="18"/>
                <w:szCs w:val="18"/>
              </w:rPr>
            </w:pPr>
            <w:r>
              <w:rPr>
                <w:rFonts w:ascii="宋体" w:hAnsi="宋体" w:cs="宋体" w:eastAsia="宋体" w:hint="default"/>
                <w:sz w:val="18"/>
                <w:szCs w:val="18"/>
              </w:rPr>
              <w:t>王彦洪</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上海市松江区九亭镇涞坊路</w:t>
            </w:r>
            <w:r>
              <w:rPr>
                <w:rFonts w:ascii="Times New Roman" w:hAnsi="Times New Roman" w:cs="Times New Roman" w:eastAsia="Times New Roman" w:hint="default"/>
                <w:sz w:val="18"/>
                <w:szCs w:val="18"/>
              </w:rPr>
              <w:t>333</w:t>
            </w:r>
            <w:r>
              <w:rPr>
                <w:rFonts w:ascii="宋体" w:hAnsi="宋体" w:cs="宋体" w:eastAsia="宋体" w:hint="default"/>
                <w:sz w:val="18"/>
                <w:szCs w:val="18"/>
              </w:rPr>
              <w:t>弄</w:t>
            </w:r>
            <w:r>
              <w:rPr>
                <w:rFonts w:ascii="Times New Roman" w:hAnsi="Times New Roman" w:cs="Times New Roman" w:eastAsia="Times New Roman" w:hint="default"/>
                <w:sz w:val="18"/>
                <w:szCs w:val="18"/>
              </w:rPr>
              <w:t>3</w:t>
            </w:r>
            <w:r>
              <w:rPr>
                <w:rFonts w:ascii="宋体" w:hAnsi="宋体" w:cs="宋体" w:eastAsia="宋体" w:hint="default"/>
                <w:sz w:val="18"/>
                <w:szCs w:val="18"/>
              </w:rPr>
              <w:t>号</w:t>
            </w:r>
            <w:r>
              <w:rPr>
                <w:rFonts w:ascii="Times New Roman" w:hAnsi="Times New Roman" w:cs="Times New Roman" w:eastAsia="Times New Roman" w:hint="default"/>
                <w:sz w:val="18"/>
                <w:szCs w:val="18"/>
              </w:rPr>
              <w:t>202</w:t>
            </w:r>
            <w:r>
              <w:rPr>
                <w:rFonts w:ascii="宋体" w:hAnsi="宋体" w:cs="宋体" w:eastAsia="宋体" w:hint="default"/>
                <w:sz w:val="18"/>
                <w:szCs w:val="18"/>
              </w:rPr>
              <w:t>室</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92.84</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2018-10-27</w:t>
            </w:r>
            <w:r>
              <w:rPr>
                <w:rFonts w:ascii="宋体" w:hAnsi="宋体" w:cs="宋体" w:eastAsia="宋体" w:hint="default"/>
                <w:sz w:val="18"/>
                <w:szCs w:val="18"/>
              </w:rPr>
              <w:t>至</w:t>
            </w:r>
            <w:r>
              <w:rPr>
                <w:rFonts w:ascii="Times New Roman" w:hAnsi="Times New Roman" w:cs="Times New Roman" w:eastAsia="Times New Roman" w:hint="default"/>
                <w:sz w:val="18"/>
                <w:szCs w:val="18"/>
              </w:rPr>
              <w:t>2019-10-26</w:t>
            </w:r>
          </w:p>
        </w:tc>
      </w:tr>
      <w:tr>
        <w:trPr>
          <w:trHeight w:val="659"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3" w:right="0"/>
              <w:jc w:val="left"/>
              <w:rPr>
                <w:rFonts w:ascii="宋体" w:hAnsi="宋体" w:cs="宋体" w:eastAsia="宋体" w:hint="default"/>
                <w:sz w:val="18"/>
                <w:szCs w:val="18"/>
              </w:rPr>
            </w:pPr>
            <w:r>
              <w:rPr>
                <w:rFonts w:ascii="宋体" w:hAnsi="宋体" w:cs="宋体" w:eastAsia="宋体" w:hint="default"/>
                <w:sz w:val="18"/>
                <w:szCs w:val="18"/>
              </w:rPr>
              <w:t>梁庆丹</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1"/>
              <w:jc w:val="left"/>
              <w:rPr>
                <w:rFonts w:ascii="宋体" w:hAnsi="宋体" w:cs="宋体" w:eastAsia="宋体" w:hint="default"/>
                <w:sz w:val="18"/>
                <w:szCs w:val="18"/>
              </w:rPr>
            </w:pPr>
            <w:r>
              <w:rPr>
                <w:rFonts w:ascii="宋体" w:hAnsi="宋体" w:cs="宋体" w:eastAsia="宋体" w:hint="default"/>
                <w:spacing w:val="2"/>
                <w:sz w:val="18"/>
                <w:szCs w:val="18"/>
              </w:rPr>
              <w:t>广东省广州市黄埔区大沙地东</w:t>
            </w:r>
            <w:r>
              <w:rPr>
                <w:rFonts w:ascii="Times New Roman" w:hAnsi="Times New Roman" w:cs="Times New Roman" w:eastAsia="Times New Roman" w:hint="default"/>
                <w:spacing w:val="2"/>
                <w:sz w:val="18"/>
                <w:szCs w:val="18"/>
              </w:rPr>
              <w:t>599</w:t>
            </w:r>
            <w:r>
              <w:rPr>
                <w:rFonts w:ascii="宋体" w:hAnsi="宋体" w:cs="宋体" w:eastAsia="宋体" w:hint="default"/>
                <w:spacing w:val="2"/>
                <w:sz w:val="18"/>
                <w:szCs w:val="18"/>
              </w:rPr>
              <w:t>号大院</w:t>
            </w:r>
            <w:r>
              <w:rPr>
                <w:rFonts w:ascii="Times New Roman" w:hAnsi="Times New Roman" w:cs="Times New Roman" w:eastAsia="Times New Roman" w:hint="default"/>
                <w:spacing w:val="2"/>
                <w:sz w:val="18"/>
                <w:szCs w:val="18"/>
              </w:rPr>
              <w:t>36</w:t>
            </w:r>
            <w:r>
              <w:rPr>
                <w:rFonts w:ascii="宋体" w:hAnsi="宋体" w:cs="宋体" w:eastAsia="宋体" w:hint="default"/>
                <w:spacing w:val="2"/>
                <w:sz w:val="18"/>
                <w:szCs w:val="18"/>
              </w:rPr>
              <w:t>号</w:t>
            </w:r>
            <w:r>
              <w:rPr>
                <w:rFonts w:ascii="Times New Roman" w:hAnsi="Times New Roman" w:cs="Times New Roman" w:eastAsia="Times New Roman" w:hint="default"/>
                <w:spacing w:val="2"/>
                <w:sz w:val="18"/>
                <w:szCs w:val="18"/>
              </w:rPr>
              <w:t>1202</w:t>
            </w:r>
            <w:r>
              <w:rPr>
                <w:rFonts w:ascii="Times New Roman" w:hAnsi="Times New Roman" w:cs="Times New Roman" w:eastAsia="Times New Roman" w:hint="default"/>
                <w:spacing w:val="-30"/>
                <w:sz w:val="18"/>
                <w:szCs w:val="18"/>
              </w:rPr>
              <w:t> </w:t>
            </w:r>
            <w:r>
              <w:rPr>
                <w:rFonts w:ascii="宋体" w:hAnsi="宋体" w:cs="宋体" w:eastAsia="宋体" w:hint="default"/>
                <w:sz w:val="18"/>
                <w:szCs w:val="18"/>
              </w:rPr>
              <w:t>房</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89.44</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2018-7-13</w:t>
            </w:r>
            <w:r>
              <w:rPr>
                <w:rFonts w:ascii="宋体" w:hAnsi="宋体" w:cs="宋体" w:eastAsia="宋体" w:hint="default"/>
                <w:sz w:val="18"/>
                <w:szCs w:val="18"/>
              </w:rPr>
              <w:t>至</w:t>
            </w:r>
            <w:r>
              <w:rPr>
                <w:rFonts w:ascii="Times New Roman" w:hAnsi="Times New Roman" w:cs="Times New Roman" w:eastAsia="Times New Roman" w:hint="default"/>
                <w:sz w:val="18"/>
                <w:szCs w:val="18"/>
              </w:rPr>
              <w:t>2019-7-12</w:t>
            </w:r>
          </w:p>
        </w:tc>
      </w:tr>
      <w:tr>
        <w:trPr>
          <w:trHeight w:val="659"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3" w:right="0"/>
              <w:jc w:val="left"/>
              <w:rPr>
                <w:rFonts w:ascii="宋体" w:hAnsi="宋体" w:cs="宋体" w:eastAsia="宋体" w:hint="default"/>
                <w:sz w:val="18"/>
                <w:szCs w:val="18"/>
              </w:rPr>
            </w:pPr>
            <w:r>
              <w:rPr>
                <w:rFonts w:ascii="宋体" w:hAnsi="宋体" w:cs="宋体" w:eastAsia="宋体" w:hint="default"/>
                <w:sz w:val="18"/>
                <w:szCs w:val="18"/>
              </w:rPr>
              <w:t>邹清玲</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2"/>
              <w:jc w:val="left"/>
              <w:rPr>
                <w:rFonts w:ascii="宋体" w:hAnsi="宋体" w:cs="宋体" w:eastAsia="宋体" w:hint="default"/>
                <w:sz w:val="18"/>
                <w:szCs w:val="18"/>
              </w:rPr>
            </w:pPr>
            <w:r>
              <w:rPr>
                <w:rFonts w:ascii="宋体" w:hAnsi="宋体" w:cs="宋体" w:eastAsia="宋体" w:hint="default"/>
                <w:spacing w:val="7"/>
                <w:sz w:val="18"/>
                <w:szCs w:val="18"/>
              </w:rPr>
              <w:t>广东省广州市天河区东圃城市假日园假日北街</w:t>
            </w:r>
            <w:r>
              <w:rPr>
                <w:rFonts w:ascii="Times New Roman" w:hAnsi="Times New Roman" w:cs="Times New Roman" w:eastAsia="Times New Roman" w:hint="default"/>
                <w:spacing w:val="7"/>
                <w:sz w:val="18"/>
                <w:szCs w:val="18"/>
              </w:rPr>
              <w:t>13</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w:t>
            </w:r>
            <w:r>
              <w:rPr>
                <w:rFonts w:ascii="Times New Roman" w:hAnsi="Times New Roman" w:cs="Times New Roman" w:eastAsia="Times New Roman" w:hint="default"/>
                <w:sz w:val="18"/>
                <w:szCs w:val="18"/>
              </w:rPr>
              <w:t>802</w:t>
            </w:r>
            <w:r>
              <w:rPr>
                <w:rFonts w:ascii="宋体" w:hAnsi="宋体" w:cs="宋体" w:eastAsia="宋体" w:hint="default"/>
                <w:sz w:val="18"/>
                <w:szCs w:val="18"/>
              </w:rPr>
              <w:t>房</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82</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2018-9-4</w:t>
            </w:r>
            <w:r>
              <w:rPr>
                <w:rFonts w:ascii="宋体" w:hAnsi="宋体" w:cs="宋体" w:eastAsia="宋体" w:hint="default"/>
                <w:sz w:val="18"/>
                <w:szCs w:val="18"/>
              </w:rPr>
              <w:t>至</w:t>
            </w:r>
            <w:r>
              <w:rPr>
                <w:rFonts w:ascii="Times New Roman" w:hAnsi="Times New Roman" w:cs="Times New Roman" w:eastAsia="Times New Roman" w:hint="default"/>
                <w:sz w:val="18"/>
                <w:szCs w:val="18"/>
              </w:rPr>
              <w:t>2019-9-4</w:t>
            </w:r>
          </w:p>
        </w:tc>
      </w:tr>
      <w:tr>
        <w:trPr>
          <w:trHeight w:val="660"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3" w:right="0"/>
              <w:jc w:val="left"/>
              <w:rPr>
                <w:rFonts w:ascii="宋体" w:hAnsi="宋体" w:cs="宋体" w:eastAsia="宋体" w:hint="default"/>
                <w:sz w:val="18"/>
                <w:szCs w:val="18"/>
              </w:rPr>
            </w:pPr>
            <w:r>
              <w:rPr>
                <w:rFonts w:ascii="宋体" w:hAnsi="宋体" w:cs="宋体" w:eastAsia="宋体" w:hint="default"/>
                <w:sz w:val="18"/>
                <w:szCs w:val="18"/>
              </w:rPr>
              <w:t>王宽</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2"/>
              <w:jc w:val="left"/>
              <w:rPr>
                <w:rFonts w:ascii="Times New Roman" w:hAnsi="Times New Roman" w:cs="Times New Roman" w:eastAsia="Times New Roman" w:hint="default"/>
                <w:sz w:val="18"/>
                <w:szCs w:val="18"/>
              </w:rPr>
            </w:pPr>
            <w:r>
              <w:rPr>
                <w:rFonts w:ascii="宋体" w:hAnsi="宋体" w:cs="宋体" w:eastAsia="宋体" w:hint="default"/>
                <w:spacing w:val="7"/>
                <w:sz w:val="18"/>
                <w:szCs w:val="18"/>
              </w:rPr>
              <w:t>河南省郑州市郑东新区中洲大道东安平路南</w:t>
            </w:r>
            <w:r>
              <w:rPr>
                <w:rFonts w:ascii="Times New Roman" w:hAnsi="Times New Roman" w:cs="Times New Roman" w:eastAsia="Times New Roman" w:hint="default"/>
                <w:spacing w:val="7"/>
                <w:sz w:val="18"/>
                <w:szCs w:val="18"/>
              </w:rPr>
              <w:t>11</w:t>
            </w:r>
            <w:r>
              <w:rPr>
                <w:rFonts w:ascii="宋体" w:hAnsi="宋体" w:cs="宋体" w:eastAsia="宋体" w:hint="default"/>
                <w:spacing w:val="7"/>
                <w:sz w:val="18"/>
                <w:szCs w:val="18"/>
              </w:rPr>
              <w:t>号</w:t>
            </w:r>
            <w:r>
              <w:rPr>
                <w:rFonts w:ascii="宋体" w:hAnsi="宋体" w:cs="宋体" w:eastAsia="宋体" w:hint="default"/>
                <w:spacing w:val="-85"/>
                <w:sz w:val="18"/>
                <w:szCs w:val="18"/>
              </w:rPr>
              <w:t> </w:t>
            </w:r>
            <w:r>
              <w:rPr>
                <w:rFonts w:ascii="宋体" w:hAnsi="宋体" w:cs="宋体" w:eastAsia="宋体" w:hint="default"/>
                <w:sz w:val="18"/>
                <w:szCs w:val="18"/>
              </w:rPr>
              <w:t>楼</w:t>
            </w:r>
            <w:r>
              <w:rPr>
                <w:rFonts w:ascii="Times New Roman" w:hAnsi="Times New Roman" w:cs="Times New Roman" w:eastAsia="Times New Roman" w:hint="default"/>
                <w:sz w:val="18"/>
                <w:szCs w:val="18"/>
              </w:rPr>
              <w:t>2</w:t>
            </w:r>
            <w:r>
              <w:rPr>
                <w:rFonts w:ascii="宋体" w:hAnsi="宋体" w:cs="宋体" w:eastAsia="宋体" w:hint="default"/>
                <w:sz w:val="18"/>
                <w:szCs w:val="18"/>
              </w:rPr>
              <w:t>单元</w:t>
            </w:r>
            <w:r>
              <w:rPr>
                <w:rFonts w:ascii="Times New Roman" w:hAnsi="Times New Roman" w:cs="Times New Roman" w:eastAsia="Times New Roman" w:hint="default"/>
                <w:sz w:val="18"/>
                <w:szCs w:val="18"/>
              </w:rPr>
              <w:t>11</w:t>
            </w:r>
            <w:r>
              <w:rPr>
                <w:rFonts w:ascii="宋体" w:hAnsi="宋体" w:cs="宋体" w:eastAsia="宋体" w:hint="default"/>
                <w:sz w:val="18"/>
                <w:szCs w:val="18"/>
              </w:rPr>
              <w:t>层</w:t>
            </w:r>
            <w:r>
              <w:rPr>
                <w:rFonts w:ascii="Times New Roman" w:hAnsi="Times New Roman" w:cs="Times New Roman" w:eastAsia="Times New Roman" w:hint="default"/>
                <w:sz w:val="18"/>
                <w:szCs w:val="18"/>
              </w:rPr>
              <w:t>1102</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88.49</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2018-9-10</w:t>
            </w:r>
            <w:r>
              <w:rPr>
                <w:rFonts w:ascii="宋体" w:hAnsi="宋体" w:cs="宋体" w:eastAsia="宋体" w:hint="default"/>
                <w:sz w:val="18"/>
                <w:szCs w:val="18"/>
              </w:rPr>
              <w:t>至</w:t>
            </w:r>
            <w:r>
              <w:rPr>
                <w:rFonts w:ascii="Times New Roman" w:hAnsi="Times New Roman" w:cs="Times New Roman" w:eastAsia="Times New Roman" w:hint="default"/>
                <w:sz w:val="18"/>
                <w:szCs w:val="18"/>
              </w:rPr>
              <w:t>2019-9-9</w:t>
            </w:r>
          </w:p>
        </w:tc>
      </w:tr>
      <w:tr>
        <w:trPr>
          <w:trHeight w:val="347"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3" w:right="0"/>
              <w:jc w:val="left"/>
              <w:rPr>
                <w:rFonts w:ascii="宋体" w:hAnsi="宋体" w:cs="宋体" w:eastAsia="宋体" w:hint="default"/>
                <w:sz w:val="18"/>
                <w:szCs w:val="18"/>
              </w:rPr>
            </w:pPr>
            <w:r>
              <w:rPr>
                <w:rFonts w:ascii="宋体" w:hAnsi="宋体" w:cs="宋体" w:eastAsia="宋体" w:hint="default"/>
                <w:sz w:val="18"/>
                <w:szCs w:val="18"/>
              </w:rPr>
              <w:t>刘蒂</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武汉市东湖高新区碧桂园生态城观澜</w:t>
            </w:r>
            <w:r>
              <w:rPr>
                <w:rFonts w:ascii="Times New Roman" w:hAnsi="Times New Roman" w:cs="Times New Roman" w:eastAsia="Times New Roman" w:hint="default"/>
                <w:sz w:val="18"/>
                <w:szCs w:val="18"/>
              </w:rPr>
              <w:t>5</w:t>
            </w:r>
            <w:r>
              <w:rPr>
                <w:rFonts w:ascii="宋体" w:hAnsi="宋体" w:cs="宋体" w:eastAsia="宋体" w:hint="default"/>
                <w:sz w:val="18"/>
                <w:szCs w:val="18"/>
              </w:rPr>
              <w:t>栋</w:t>
            </w:r>
            <w:r>
              <w:rPr>
                <w:rFonts w:ascii="Times New Roman" w:hAnsi="Times New Roman" w:cs="Times New Roman" w:eastAsia="Times New Roman" w:hint="default"/>
                <w:sz w:val="18"/>
                <w:szCs w:val="18"/>
              </w:rPr>
              <w:t>1702</w:t>
            </w:r>
            <w:r>
              <w:rPr>
                <w:rFonts w:ascii="宋体" w:hAnsi="宋体" w:cs="宋体" w:eastAsia="宋体" w:hint="default"/>
                <w:sz w:val="18"/>
                <w:szCs w:val="18"/>
              </w:rPr>
              <w:t>室</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center"/>
              <w:rPr>
                <w:rFonts w:ascii="Times New Roman" w:hAnsi="Times New Roman" w:cs="Times New Roman" w:eastAsia="Times New Roman" w:hint="default"/>
                <w:sz w:val="18"/>
                <w:szCs w:val="18"/>
              </w:rPr>
            </w:pPr>
            <w:r>
              <w:rPr>
                <w:rFonts w:ascii="Times New Roman"/>
                <w:sz w:val="18"/>
              </w:rPr>
              <w:t>96.6</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2018-4-30</w:t>
            </w:r>
            <w:r>
              <w:rPr>
                <w:rFonts w:ascii="宋体" w:hAnsi="宋体" w:cs="宋体" w:eastAsia="宋体" w:hint="default"/>
                <w:sz w:val="18"/>
                <w:szCs w:val="18"/>
              </w:rPr>
              <w:t>至</w:t>
            </w:r>
            <w:r>
              <w:rPr>
                <w:rFonts w:ascii="Times New Roman" w:hAnsi="Times New Roman" w:cs="Times New Roman" w:eastAsia="Times New Roman" w:hint="default"/>
                <w:sz w:val="18"/>
                <w:szCs w:val="18"/>
              </w:rPr>
              <w:t>2019-4-29</w:t>
            </w:r>
          </w:p>
        </w:tc>
      </w:tr>
      <w:tr>
        <w:trPr>
          <w:trHeight w:val="659" w:hRule="exact"/>
        </w:trPr>
        <w:tc>
          <w:tcPr>
            <w:tcW w:w="851" w:type="dxa"/>
            <w:vMerge/>
            <w:tcBorders>
              <w:left w:val="single" w:sz="6" w:space="0" w:color="000000"/>
              <w:bottom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
              <w:jc w:val="left"/>
              <w:rPr>
                <w:rFonts w:ascii="宋体" w:hAnsi="宋体" w:cs="宋体" w:eastAsia="宋体" w:hint="default"/>
                <w:sz w:val="18"/>
                <w:szCs w:val="18"/>
              </w:rPr>
            </w:pPr>
            <w:r>
              <w:rPr>
                <w:rFonts w:ascii="宋体" w:hAnsi="宋体" w:cs="宋体" w:eastAsia="宋体" w:hint="default"/>
                <w:sz w:val="18"/>
                <w:szCs w:val="18"/>
              </w:rPr>
              <w:t>杭州奥通房地产代理有</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限公司</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2" w:right="0"/>
              <w:jc w:val="left"/>
              <w:rPr>
                <w:rFonts w:ascii="宋体" w:hAnsi="宋体" w:cs="宋体" w:eastAsia="宋体" w:hint="default"/>
                <w:sz w:val="18"/>
                <w:szCs w:val="18"/>
              </w:rPr>
            </w:pPr>
            <w:r>
              <w:rPr>
                <w:rFonts w:ascii="宋体" w:hAnsi="宋体" w:cs="宋体" w:eastAsia="宋体" w:hint="default"/>
                <w:sz w:val="18"/>
                <w:szCs w:val="18"/>
              </w:rPr>
              <w:t>杭州市江平区新塘家园东区</w:t>
            </w:r>
            <w:r>
              <w:rPr>
                <w:rFonts w:ascii="Times New Roman" w:hAnsi="Times New Roman" w:cs="Times New Roman" w:eastAsia="Times New Roman" w:hint="default"/>
                <w:sz w:val="18"/>
                <w:szCs w:val="18"/>
              </w:rPr>
              <w:t>4-1-301</w:t>
            </w:r>
            <w:r>
              <w:rPr>
                <w:rFonts w:ascii="宋体" w:hAnsi="宋体" w:cs="宋体" w:eastAsia="宋体" w:hint="default"/>
                <w:sz w:val="18"/>
                <w:szCs w:val="18"/>
              </w:rPr>
              <w:t>室</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90</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2018-6-27</w:t>
            </w:r>
            <w:r>
              <w:rPr>
                <w:rFonts w:ascii="宋体" w:hAnsi="宋体" w:cs="宋体" w:eastAsia="宋体" w:hint="default"/>
                <w:sz w:val="18"/>
                <w:szCs w:val="18"/>
              </w:rPr>
              <w:t>至</w:t>
            </w:r>
            <w:r>
              <w:rPr>
                <w:rFonts w:ascii="Times New Roman" w:hAnsi="Times New Roman" w:cs="Times New Roman" w:eastAsia="Times New Roman" w:hint="default"/>
                <w:sz w:val="18"/>
                <w:szCs w:val="18"/>
              </w:rPr>
              <w:t>2019-6-26</w:t>
            </w:r>
          </w:p>
        </w:tc>
      </w:tr>
      <w:tr>
        <w:trPr>
          <w:trHeight w:val="659" w:hRule="exact"/>
        </w:trPr>
        <w:tc>
          <w:tcPr>
            <w:tcW w:w="851" w:type="dxa"/>
            <w:vMerge w:val="restart"/>
            <w:tcBorders>
              <w:top w:val="single" w:sz="6" w:space="0" w:color="000000"/>
              <w:left w:val="single" w:sz="6" w:space="0" w:color="000000"/>
              <w:right w:val="single" w:sz="6"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3"/>
                <w:szCs w:val="23"/>
              </w:rPr>
            </w:pPr>
          </w:p>
          <w:p>
            <w:pPr>
              <w:pStyle w:val="TableParagraph"/>
              <w:spacing w:line="316" w:lineRule="auto"/>
              <w:ind w:left="327" w:right="57" w:hanging="270"/>
              <w:jc w:val="left"/>
              <w:rPr>
                <w:rFonts w:ascii="宋体" w:hAnsi="宋体" w:cs="宋体" w:eastAsia="宋体" w:hint="default"/>
                <w:sz w:val="18"/>
                <w:szCs w:val="18"/>
              </w:rPr>
            </w:pPr>
            <w:r>
              <w:rPr>
                <w:rFonts w:ascii="宋体" w:hAnsi="宋体" w:cs="宋体" w:eastAsia="宋体" w:hint="default"/>
                <w:sz w:val="18"/>
                <w:szCs w:val="18"/>
              </w:rPr>
              <w:t>优博讯软 件</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
              <w:jc w:val="left"/>
              <w:rPr>
                <w:rFonts w:ascii="宋体" w:hAnsi="宋体" w:cs="宋体" w:eastAsia="宋体" w:hint="default"/>
                <w:sz w:val="18"/>
                <w:szCs w:val="18"/>
              </w:rPr>
            </w:pPr>
            <w:r>
              <w:rPr>
                <w:rFonts w:ascii="宋体" w:hAnsi="宋体" w:cs="宋体" w:eastAsia="宋体" w:hint="default"/>
                <w:sz w:val="18"/>
                <w:szCs w:val="18"/>
              </w:rPr>
              <w:t>深圳市优博讯科技股份</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有限公司</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2"/>
              <w:jc w:val="left"/>
              <w:rPr>
                <w:rFonts w:ascii="宋体" w:hAnsi="宋体" w:cs="宋体" w:eastAsia="宋体" w:hint="default"/>
                <w:sz w:val="18"/>
                <w:szCs w:val="18"/>
              </w:rPr>
            </w:pPr>
            <w:r>
              <w:rPr>
                <w:rFonts w:ascii="宋体" w:hAnsi="宋体" w:cs="宋体" w:eastAsia="宋体" w:hint="default"/>
                <w:spacing w:val="6"/>
                <w:sz w:val="18"/>
                <w:szCs w:val="18"/>
              </w:rPr>
              <w:t>深圳市南山区学府路</w:t>
            </w:r>
            <w:r>
              <w:rPr>
                <w:rFonts w:ascii="Times New Roman" w:hAnsi="Times New Roman" w:cs="Times New Roman" w:eastAsia="Times New Roman" w:hint="default"/>
                <w:spacing w:val="6"/>
                <w:sz w:val="18"/>
                <w:szCs w:val="18"/>
              </w:rPr>
              <w:t>63</w:t>
            </w:r>
            <w:r>
              <w:rPr>
                <w:rFonts w:ascii="宋体" w:hAnsi="宋体" w:cs="宋体" w:eastAsia="宋体" w:hint="default"/>
                <w:spacing w:val="6"/>
                <w:sz w:val="18"/>
                <w:szCs w:val="18"/>
              </w:rPr>
              <w:t>号高新区联合总部大厦</w:t>
            </w:r>
            <w:r>
              <w:rPr>
                <w:rFonts w:ascii="Times New Roman" w:hAnsi="Times New Roman" w:cs="Times New Roman" w:eastAsia="Times New Roman" w:hint="default"/>
                <w:spacing w:val="6"/>
                <w:sz w:val="18"/>
                <w:szCs w:val="18"/>
              </w:rPr>
              <w:t>36</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楼</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265</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2018-5-8</w:t>
            </w:r>
            <w:r>
              <w:rPr>
                <w:rFonts w:ascii="宋体" w:hAnsi="宋体" w:cs="宋体" w:eastAsia="宋体" w:hint="default"/>
                <w:sz w:val="18"/>
                <w:szCs w:val="18"/>
              </w:rPr>
              <w:t>至</w:t>
            </w:r>
            <w:r>
              <w:rPr>
                <w:rFonts w:ascii="Times New Roman" w:hAnsi="Times New Roman" w:cs="Times New Roman" w:eastAsia="Times New Roman" w:hint="default"/>
                <w:sz w:val="18"/>
                <w:szCs w:val="18"/>
              </w:rPr>
              <w:t>2023-1-31</w:t>
            </w:r>
          </w:p>
        </w:tc>
      </w:tr>
      <w:tr>
        <w:trPr>
          <w:trHeight w:val="659"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
              <w:jc w:val="left"/>
              <w:rPr>
                <w:rFonts w:ascii="宋体" w:hAnsi="宋体" w:cs="宋体" w:eastAsia="宋体" w:hint="default"/>
                <w:sz w:val="18"/>
                <w:szCs w:val="18"/>
              </w:rPr>
            </w:pPr>
            <w:r>
              <w:rPr>
                <w:rFonts w:ascii="宋体" w:hAnsi="宋体" w:cs="宋体" w:eastAsia="宋体" w:hint="default"/>
                <w:sz w:val="18"/>
                <w:szCs w:val="18"/>
              </w:rPr>
              <w:t>深圳市小豆公寓管理有</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限公司</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1"/>
              <w:jc w:val="left"/>
              <w:rPr>
                <w:rFonts w:ascii="宋体" w:hAnsi="宋体" w:cs="宋体" w:eastAsia="宋体" w:hint="default"/>
                <w:sz w:val="18"/>
                <w:szCs w:val="18"/>
              </w:rPr>
            </w:pPr>
            <w:r>
              <w:rPr>
                <w:rFonts w:ascii="宋体" w:hAnsi="宋体" w:cs="宋体" w:eastAsia="宋体" w:hint="default"/>
                <w:spacing w:val="-1"/>
                <w:sz w:val="18"/>
                <w:szCs w:val="18"/>
              </w:rPr>
              <w:t>深圳市南山区松坪山单身公寓</w:t>
            </w:r>
            <w:r>
              <w:rPr>
                <w:rFonts w:ascii="Times New Roman" w:hAnsi="Times New Roman" w:cs="Times New Roman" w:eastAsia="Times New Roman" w:hint="default"/>
                <w:spacing w:val="-1"/>
                <w:sz w:val="18"/>
                <w:szCs w:val="18"/>
              </w:rPr>
              <w:t>15</w:t>
            </w:r>
            <w:r>
              <w:rPr>
                <w:rFonts w:ascii="宋体" w:hAnsi="宋体" w:cs="宋体" w:eastAsia="宋体" w:hint="default"/>
                <w:spacing w:val="-1"/>
                <w:sz w:val="18"/>
                <w:szCs w:val="18"/>
              </w:rPr>
              <w:t>栋</w:t>
            </w:r>
            <w:r>
              <w:rPr>
                <w:rFonts w:ascii="Times New Roman" w:hAnsi="Times New Roman" w:cs="Times New Roman" w:eastAsia="Times New Roman" w:hint="default"/>
                <w:spacing w:val="-1"/>
                <w:sz w:val="18"/>
                <w:szCs w:val="18"/>
              </w:rPr>
              <w:t>605</w:t>
            </w: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D13-310</w:t>
            </w:r>
            <w:r>
              <w:rPr>
                <w:rFonts w:ascii="宋体" w:hAnsi="宋体" w:cs="宋体" w:eastAsia="宋体" w:hint="default"/>
                <w:spacing w:val="-1"/>
                <w:sz w:val="18"/>
                <w:szCs w:val="18"/>
              </w:rPr>
              <w:t>单</w:t>
            </w:r>
            <w:r>
              <w:rPr>
                <w:rFonts w:ascii="宋体" w:hAnsi="宋体" w:cs="宋体" w:eastAsia="宋体" w:hint="default"/>
                <w:spacing w:val="-84"/>
                <w:sz w:val="18"/>
                <w:szCs w:val="18"/>
              </w:rPr>
              <w:t> </w:t>
            </w:r>
            <w:r>
              <w:rPr>
                <w:rFonts w:ascii="宋体" w:hAnsi="宋体" w:cs="宋体" w:eastAsia="宋体" w:hint="default"/>
                <w:sz w:val="18"/>
                <w:szCs w:val="18"/>
              </w:rPr>
              <w:t>房、</w:t>
            </w:r>
            <w:r>
              <w:rPr>
                <w:rFonts w:ascii="Times New Roman" w:hAnsi="Times New Roman" w:cs="Times New Roman" w:eastAsia="Times New Roman" w:hint="default"/>
                <w:sz w:val="18"/>
                <w:szCs w:val="18"/>
              </w:rPr>
              <w:t>D14-608</w:t>
            </w:r>
            <w:r>
              <w:rPr>
                <w:rFonts w:ascii="宋体" w:hAnsi="宋体" w:cs="宋体" w:eastAsia="宋体" w:hint="default"/>
                <w:sz w:val="18"/>
                <w:szCs w:val="18"/>
              </w:rPr>
              <w:t>、</w:t>
            </w:r>
            <w:r>
              <w:rPr>
                <w:rFonts w:ascii="Times New Roman" w:hAnsi="Times New Roman" w:cs="Times New Roman" w:eastAsia="Times New Roman" w:hint="default"/>
                <w:sz w:val="18"/>
                <w:szCs w:val="18"/>
              </w:rPr>
              <w:t>D14-708</w:t>
            </w:r>
            <w:r>
              <w:rPr>
                <w:rFonts w:ascii="宋体" w:hAnsi="宋体" w:cs="宋体" w:eastAsia="宋体" w:hint="default"/>
                <w:sz w:val="18"/>
                <w:szCs w:val="18"/>
              </w:rPr>
              <w:t>房</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100</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2018-9-1</w:t>
            </w:r>
            <w:r>
              <w:rPr>
                <w:rFonts w:ascii="宋体" w:hAnsi="宋体" w:cs="宋体" w:eastAsia="宋体" w:hint="default"/>
                <w:sz w:val="18"/>
                <w:szCs w:val="18"/>
              </w:rPr>
              <w:t>至</w:t>
            </w:r>
            <w:r>
              <w:rPr>
                <w:rFonts w:ascii="Times New Roman" w:hAnsi="Times New Roman" w:cs="Times New Roman" w:eastAsia="Times New Roman" w:hint="default"/>
                <w:sz w:val="18"/>
                <w:szCs w:val="18"/>
              </w:rPr>
              <w:t>2019-8-31</w:t>
            </w:r>
          </w:p>
        </w:tc>
      </w:tr>
      <w:tr>
        <w:trPr>
          <w:trHeight w:val="659" w:hRule="exact"/>
        </w:trPr>
        <w:tc>
          <w:tcPr>
            <w:tcW w:w="851" w:type="dxa"/>
            <w:vMerge/>
            <w:tcBorders>
              <w:left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
              <w:jc w:val="left"/>
              <w:rPr>
                <w:rFonts w:ascii="宋体" w:hAnsi="宋体" w:cs="宋体" w:eastAsia="宋体" w:hint="default"/>
                <w:sz w:val="18"/>
                <w:szCs w:val="18"/>
              </w:rPr>
            </w:pPr>
            <w:r>
              <w:rPr>
                <w:rFonts w:ascii="宋体" w:hAnsi="宋体" w:cs="宋体" w:eastAsia="宋体" w:hint="default"/>
                <w:sz w:val="18"/>
                <w:szCs w:val="18"/>
              </w:rPr>
              <w:t>深圳市爱华电子有限公</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司</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2" w:right="0"/>
              <w:jc w:val="left"/>
              <w:rPr>
                <w:rFonts w:ascii="宋体" w:hAnsi="宋体" w:cs="宋体" w:eastAsia="宋体" w:hint="default"/>
                <w:sz w:val="18"/>
                <w:szCs w:val="18"/>
              </w:rPr>
            </w:pPr>
            <w:r>
              <w:rPr>
                <w:rFonts w:ascii="宋体" w:hAnsi="宋体" w:cs="宋体" w:eastAsia="宋体" w:hint="default"/>
                <w:sz w:val="18"/>
                <w:szCs w:val="18"/>
              </w:rPr>
              <w:t>深圳市科技园青梧路</w:t>
            </w:r>
            <w:r>
              <w:rPr>
                <w:rFonts w:ascii="Times New Roman" w:hAnsi="Times New Roman" w:cs="Times New Roman" w:eastAsia="Times New Roman" w:hint="default"/>
                <w:sz w:val="18"/>
                <w:szCs w:val="18"/>
              </w:rPr>
              <w:t>1</w:t>
            </w:r>
            <w:r>
              <w:rPr>
                <w:rFonts w:ascii="宋体" w:hAnsi="宋体" w:cs="宋体" w:eastAsia="宋体" w:hint="default"/>
                <w:sz w:val="18"/>
                <w:szCs w:val="18"/>
              </w:rPr>
              <w:t>号</w:t>
            </w:r>
            <w:r>
              <w:rPr>
                <w:rFonts w:ascii="Times New Roman" w:hAnsi="Times New Roman" w:cs="Times New Roman" w:eastAsia="Times New Roman" w:hint="default"/>
                <w:sz w:val="18"/>
                <w:szCs w:val="18"/>
              </w:rPr>
              <w:t>1-608</w:t>
            </w:r>
            <w:r>
              <w:rPr>
                <w:rFonts w:ascii="宋体" w:hAnsi="宋体" w:cs="宋体" w:eastAsia="宋体" w:hint="default"/>
                <w:sz w:val="18"/>
                <w:szCs w:val="18"/>
              </w:rPr>
              <w:t>、</w:t>
            </w:r>
            <w:r>
              <w:rPr>
                <w:rFonts w:ascii="Times New Roman" w:hAnsi="Times New Roman" w:cs="Times New Roman" w:eastAsia="Times New Roman" w:hint="default"/>
                <w:sz w:val="18"/>
                <w:szCs w:val="18"/>
              </w:rPr>
              <w:t>708</w:t>
            </w:r>
            <w:r>
              <w:rPr>
                <w:rFonts w:ascii="宋体" w:hAnsi="宋体" w:cs="宋体" w:eastAsia="宋体" w:hint="default"/>
                <w:sz w:val="18"/>
                <w:szCs w:val="18"/>
              </w:rPr>
              <w:t>房</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137.02</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2018-7-1</w:t>
            </w:r>
            <w:r>
              <w:rPr>
                <w:rFonts w:ascii="宋体" w:hAnsi="宋体" w:cs="宋体" w:eastAsia="宋体" w:hint="default"/>
                <w:sz w:val="18"/>
                <w:szCs w:val="18"/>
              </w:rPr>
              <w:t>至</w:t>
            </w:r>
            <w:r>
              <w:rPr>
                <w:rFonts w:ascii="Times New Roman" w:hAnsi="Times New Roman" w:cs="Times New Roman" w:eastAsia="Times New Roman" w:hint="default"/>
                <w:sz w:val="18"/>
                <w:szCs w:val="18"/>
              </w:rPr>
              <w:t>2019-6-30</w:t>
            </w:r>
          </w:p>
        </w:tc>
      </w:tr>
      <w:tr>
        <w:trPr>
          <w:trHeight w:val="660" w:hRule="exact"/>
        </w:trPr>
        <w:tc>
          <w:tcPr>
            <w:tcW w:w="851" w:type="dxa"/>
            <w:vMerge/>
            <w:tcBorders>
              <w:left w:val="single" w:sz="6" w:space="0" w:color="000000"/>
              <w:bottom w:val="single" w:sz="6" w:space="0" w:color="000000"/>
              <w:right w:val="single" w:sz="6" w:space="0" w:color="000000"/>
            </w:tcBorders>
          </w:tcPr>
          <w:p>
            <w:pP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
              <w:jc w:val="left"/>
              <w:rPr>
                <w:rFonts w:ascii="宋体" w:hAnsi="宋体" w:cs="宋体" w:eastAsia="宋体" w:hint="default"/>
                <w:sz w:val="18"/>
                <w:szCs w:val="18"/>
              </w:rPr>
            </w:pPr>
            <w:r>
              <w:rPr>
                <w:rFonts w:ascii="宋体" w:hAnsi="宋体" w:cs="宋体" w:eastAsia="宋体" w:hint="default"/>
                <w:sz w:val="18"/>
                <w:szCs w:val="18"/>
              </w:rPr>
              <w:t>深圳市爱华电子有限公</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司</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2" w:right="0"/>
              <w:jc w:val="left"/>
              <w:rPr>
                <w:rFonts w:ascii="宋体" w:hAnsi="宋体" w:cs="宋体" w:eastAsia="宋体" w:hint="default"/>
                <w:sz w:val="18"/>
                <w:szCs w:val="18"/>
              </w:rPr>
            </w:pPr>
            <w:r>
              <w:rPr>
                <w:rFonts w:ascii="宋体" w:hAnsi="宋体" w:cs="宋体" w:eastAsia="宋体" w:hint="default"/>
                <w:sz w:val="18"/>
                <w:szCs w:val="18"/>
              </w:rPr>
              <w:t>深圳市科技园青梧路</w:t>
            </w:r>
            <w:r>
              <w:rPr>
                <w:rFonts w:ascii="Times New Roman" w:hAnsi="Times New Roman" w:cs="Times New Roman" w:eastAsia="Times New Roman" w:hint="default"/>
                <w:sz w:val="18"/>
                <w:szCs w:val="18"/>
              </w:rPr>
              <w:t>1</w:t>
            </w:r>
            <w:r>
              <w:rPr>
                <w:rFonts w:ascii="宋体" w:hAnsi="宋体" w:cs="宋体" w:eastAsia="宋体" w:hint="default"/>
                <w:sz w:val="18"/>
                <w:szCs w:val="18"/>
              </w:rPr>
              <w:t>号</w:t>
            </w:r>
            <w:r>
              <w:rPr>
                <w:rFonts w:ascii="Times New Roman" w:hAnsi="Times New Roman" w:cs="Times New Roman" w:eastAsia="Times New Roman" w:hint="default"/>
                <w:sz w:val="18"/>
                <w:szCs w:val="18"/>
              </w:rPr>
              <w:t>-703</w:t>
            </w:r>
            <w:r>
              <w:rPr>
                <w:rFonts w:ascii="宋体" w:hAnsi="宋体" w:cs="宋体" w:eastAsia="宋体" w:hint="default"/>
                <w:sz w:val="18"/>
                <w:szCs w:val="18"/>
              </w:rPr>
              <w:t>、</w:t>
            </w:r>
            <w:r>
              <w:rPr>
                <w:rFonts w:ascii="Times New Roman" w:hAnsi="Times New Roman" w:cs="Times New Roman" w:eastAsia="Times New Roman" w:hint="default"/>
                <w:sz w:val="18"/>
                <w:szCs w:val="18"/>
              </w:rPr>
              <w:t>705</w:t>
            </w:r>
            <w:r>
              <w:rPr>
                <w:rFonts w:ascii="宋体" w:hAnsi="宋体" w:cs="宋体" w:eastAsia="宋体" w:hint="default"/>
                <w:sz w:val="18"/>
                <w:szCs w:val="18"/>
              </w:rPr>
              <w:t>房</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149.01</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2018-10-1</w:t>
            </w:r>
            <w:r>
              <w:rPr>
                <w:rFonts w:ascii="宋体" w:hAnsi="宋体" w:cs="宋体" w:eastAsia="宋体" w:hint="default"/>
                <w:sz w:val="18"/>
                <w:szCs w:val="18"/>
              </w:rPr>
              <w:t>至</w:t>
            </w:r>
            <w:r>
              <w:rPr>
                <w:rFonts w:ascii="Times New Roman" w:hAnsi="Times New Roman" w:cs="Times New Roman" w:eastAsia="Times New Roman" w:hint="default"/>
                <w:sz w:val="18"/>
                <w:szCs w:val="18"/>
              </w:rPr>
              <w:t>2019-9-30</w:t>
            </w:r>
          </w:p>
        </w:tc>
      </w:tr>
      <w:tr>
        <w:trPr>
          <w:trHeight w:val="659" w:hRule="exact"/>
        </w:trPr>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正达资讯</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3" w:right="2"/>
              <w:jc w:val="left"/>
              <w:rPr>
                <w:rFonts w:ascii="宋体" w:hAnsi="宋体" w:cs="宋体" w:eastAsia="宋体" w:hint="default"/>
                <w:sz w:val="18"/>
                <w:szCs w:val="18"/>
              </w:rPr>
            </w:pPr>
            <w:r>
              <w:rPr>
                <w:rFonts w:ascii="宋体" w:hAnsi="宋体" w:cs="宋体" w:eastAsia="宋体" w:hint="default"/>
                <w:sz w:val="18"/>
                <w:szCs w:val="18"/>
              </w:rPr>
              <w:t>深圳市优博讯科技股份</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有限公司</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0"/>
              <w:ind w:left="2" w:right="2"/>
              <w:jc w:val="left"/>
              <w:rPr>
                <w:rFonts w:ascii="宋体" w:hAnsi="宋体" w:cs="宋体" w:eastAsia="宋体" w:hint="default"/>
                <w:sz w:val="18"/>
                <w:szCs w:val="18"/>
              </w:rPr>
            </w:pPr>
            <w:r>
              <w:rPr>
                <w:rFonts w:ascii="宋体" w:hAnsi="宋体" w:cs="宋体" w:eastAsia="宋体" w:hint="default"/>
                <w:spacing w:val="6"/>
                <w:sz w:val="18"/>
                <w:szCs w:val="18"/>
              </w:rPr>
              <w:t>深圳市南山区学府路</w:t>
            </w:r>
            <w:r>
              <w:rPr>
                <w:rFonts w:ascii="Times New Roman" w:hAnsi="Times New Roman" w:cs="Times New Roman" w:eastAsia="Times New Roman" w:hint="default"/>
                <w:spacing w:val="6"/>
                <w:sz w:val="18"/>
                <w:szCs w:val="18"/>
              </w:rPr>
              <w:t>63</w:t>
            </w:r>
            <w:r>
              <w:rPr>
                <w:rFonts w:ascii="宋体" w:hAnsi="宋体" w:cs="宋体" w:eastAsia="宋体" w:hint="default"/>
                <w:spacing w:val="6"/>
                <w:sz w:val="18"/>
                <w:szCs w:val="18"/>
              </w:rPr>
              <w:t>号高新区联合总部大厦</w:t>
            </w:r>
            <w:r>
              <w:rPr>
                <w:rFonts w:ascii="Times New Roman" w:hAnsi="Times New Roman" w:cs="Times New Roman" w:eastAsia="Times New Roman" w:hint="default"/>
                <w:spacing w:val="6"/>
                <w:sz w:val="18"/>
                <w:szCs w:val="18"/>
              </w:rPr>
              <w:t>36</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楼</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15</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2018-5-8</w:t>
            </w:r>
            <w:r>
              <w:rPr>
                <w:rFonts w:ascii="宋体" w:hAnsi="宋体" w:cs="宋体" w:eastAsia="宋体" w:hint="default"/>
                <w:sz w:val="18"/>
                <w:szCs w:val="18"/>
              </w:rPr>
              <w:t>至</w:t>
            </w:r>
            <w:r>
              <w:rPr>
                <w:rFonts w:ascii="Times New Roman" w:hAnsi="Times New Roman" w:cs="Times New Roman" w:eastAsia="Times New Roman" w:hint="default"/>
                <w:sz w:val="18"/>
                <w:szCs w:val="18"/>
              </w:rPr>
              <w:t>2023-1-31</w:t>
            </w:r>
          </w:p>
        </w:tc>
      </w:tr>
      <w:tr>
        <w:trPr>
          <w:trHeight w:val="659" w:hRule="exact"/>
        </w:trPr>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江南正鼎</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9" w:lineRule="auto" w:before="21"/>
              <w:ind w:left="3" w:right="2"/>
              <w:jc w:val="left"/>
              <w:rPr>
                <w:rFonts w:ascii="宋体" w:hAnsi="宋体" w:cs="宋体" w:eastAsia="宋体" w:hint="default"/>
                <w:sz w:val="18"/>
                <w:szCs w:val="18"/>
              </w:rPr>
            </w:pPr>
            <w:r>
              <w:rPr>
                <w:rFonts w:ascii="宋体" w:hAnsi="宋体" w:cs="宋体" w:eastAsia="宋体" w:hint="default"/>
                <w:sz w:val="18"/>
                <w:szCs w:val="18"/>
              </w:rPr>
              <w:t>深圳市优博讯科技股份</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有限公司</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2"/>
              <w:jc w:val="left"/>
              <w:rPr>
                <w:rFonts w:ascii="宋体" w:hAnsi="宋体" w:cs="宋体" w:eastAsia="宋体" w:hint="default"/>
                <w:sz w:val="18"/>
                <w:szCs w:val="18"/>
              </w:rPr>
            </w:pPr>
            <w:r>
              <w:rPr>
                <w:rFonts w:ascii="宋体" w:hAnsi="宋体" w:cs="宋体" w:eastAsia="宋体" w:hint="default"/>
                <w:spacing w:val="6"/>
                <w:sz w:val="18"/>
                <w:szCs w:val="18"/>
              </w:rPr>
              <w:t>深圳市南山区学府路</w:t>
            </w:r>
            <w:r>
              <w:rPr>
                <w:rFonts w:ascii="Times New Roman" w:hAnsi="Times New Roman" w:cs="Times New Roman" w:eastAsia="Times New Roman" w:hint="default"/>
                <w:spacing w:val="6"/>
                <w:sz w:val="18"/>
                <w:szCs w:val="18"/>
              </w:rPr>
              <w:t>63</w:t>
            </w:r>
            <w:r>
              <w:rPr>
                <w:rFonts w:ascii="宋体" w:hAnsi="宋体" w:cs="宋体" w:eastAsia="宋体" w:hint="default"/>
                <w:spacing w:val="6"/>
                <w:sz w:val="18"/>
                <w:szCs w:val="18"/>
              </w:rPr>
              <w:t>号高新区联合总部大厦</w:t>
            </w:r>
            <w:r>
              <w:rPr>
                <w:rFonts w:ascii="Times New Roman" w:hAnsi="Times New Roman" w:cs="Times New Roman" w:eastAsia="Times New Roman" w:hint="default"/>
                <w:spacing w:val="6"/>
                <w:sz w:val="18"/>
                <w:szCs w:val="18"/>
              </w:rPr>
              <w:t>36</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楼</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50</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2018-5-8</w:t>
            </w:r>
            <w:r>
              <w:rPr>
                <w:rFonts w:ascii="宋体" w:hAnsi="宋体" w:cs="宋体" w:eastAsia="宋体" w:hint="default"/>
                <w:sz w:val="18"/>
                <w:szCs w:val="18"/>
              </w:rPr>
              <w:t>至</w:t>
            </w:r>
            <w:r>
              <w:rPr>
                <w:rFonts w:ascii="Times New Roman" w:hAnsi="Times New Roman" w:cs="Times New Roman" w:eastAsia="Times New Roman" w:hint="default"/>
                <w:sz w:val="18"/>
                <w:szCs w:val="18"/>
              </w:rPr>
              <w:t>2023-1-31</w:t>
            </w:r>
          </w:p>
        </w:tc>
      </w:tr>
      <w:tr>
        <w:trPr>
          <w:trHeight w:val="659" w:hRule="exact"/>
        </w:trPr>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蓝云达</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
              <w:jc w:val="left"/>
              <w:rPr>
                <w:rFonts w:ascii="宋体" w:hAnsi="宋体" w:cs="宋体" w:eastAsia="宋体" w:hint="default"/>
                <w:sz w:val="18"/>
                <w:szCs w:val="18"/>
              </w:rPr>
            </w:pPr>
            <w:r>
              <w:rPr>
                <w:rFonts w:ascii="宋体" w:hAnsi="宋体" w:cs="宋体" w:eastAsia="宋体" w:hint="default"/>
                <w:sz w:val="18"/>
                <w:szCs w:val="18"/>
              </w:rPr>
              <w:t>深圳市优博讯科技股份</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有限公司</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2"/>
              <w:jc w:val="left"/>
              <w:rPr>
                <w:rFonts w:ascii="宋体" w:hAnsi="宋体" w:cs="宋体" w:eastAsia="宋体" w:hint="default"/>
                <w:sz w:val="18"/>
                <w:szCs w:val="18"/>
              </w:rPr>
            </w:pPr>
            <w:r>
              <w:rPr>
                <w:rFonts w:ascii="宋体" w:hAnsi="宋体" w:cs="宋体" w:eastAsia="宋体" w:hint="default"/>
                <w:spacing w:val="6"/>
                <w:sz w:val="18"/>
                <w:szCs w:val="18"/>
              </w:rPr>
              <w:t>深圳市南山区学府路</w:t>
            </w:r>
            <w:r>
              <w:rPr>
                <w:rFonts w:ascii="Times New Roman" w:hAnsi="Times New Roman" w:cs="Times New Roman" w:eastAsia="Times New Roman" w:hint="default"/>
                <w:spacing w:val="6"/>
                <w:sz w:val="18"/>
                <w:szCs w:val="18"/>
              </w:rPr>
              <w:t>63</w:t>
            </w:r>
            <w:r>
              <w:rPr>
                <w:rFonts w:ascii="宋体" w:hAnsi="宋体" w:cs="宋体" w:eastAsia="宋体" w:hint="default"/>
                <w:spacing w:val="6"/>
                <w:sz w:val="18"/>
                <w:szCs w:val="18"/>
              </w:rPr>
              <w:t>号高新区联合总部大厦</w:t>
            </w:r>
            <w:r>
              <w:rPr>
                <w:rFonts w:ascii="Times New Roman" w:hAnsi="Times New Roman" w:cs="Times New Roman" w:eastAsia="Times New Roman" w:hint="default"/>
                <w:spacing w:val="6"/>
                <w:sz w:val="18"/>
                <w:szCs w:val="18"/>
              </w:rPr>
              <w:t>36</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楼</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15</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2018-5-8</w:t>
            </w:r>
            <w:r>
              <w:rPr>
                <w:rFonts w:ascii="宋体" w:hAnsi="宋体" w:cs="宋体" w:eastAsia="宋体" w:hint="default"/>
                <w:sz w:val="18"/>
                <w:szCs w:val="18"/>
              </w:rPr>
              <w:t>至</w:t>
            </w:r>
            <w:r>
              <w:rPr>
                <w:rFonts w:ascii="Times New Roman" w:hAnsi="Times New Roman" w:cs="Times New Roman" w:eastAsia="Times New Roman" w:hint="default"/>
                <w:sz w:val="18"/>
                <w:szCs w:val="18"/>
              </w:rPr>
              <w:t>2023-1-31</w:t>
            </w:r>
          </w:p>
        </w:tc>
      </w:tr>
      <w:tr>
        <w:trPr>
          <w:trHeight w:val="659" w:hRule="exact"/>
        </w:trPr>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优金支付</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0"/>
              <w:jc w:val="left"/>
              <w:rPr>
                <w:rFonts w:ascii="宋体" w:hAnsi="宋体" w:cs="宋体" w:eastAsia="宋体" w:hint="default"/>
                <w:sz w:val="18"/>
                <w:szCs w:val="18"/>
              </w:rPr>
            </w:pPr>
            <w:r>
              <w:rPr>
                <w:rFonts w:ascii="宋体" w:hAnsi="宋体" w:cs="宋体" w:eastAsia="宋体" w:hint="default"/>
                <w:spacing w:val="2"/>
                <w:sz w:val="18"/>
                <w:szCs w:val="18"/>
              </w:rPr>
              <w:t>深圳市优博讯科技股份</w:t>
            </w:r>
            <w:r>
              <w:rPr>
                <w:rFonts w:ascii="宋体" w:hAnsi="宋体" w:cs="宋体" w:eastAsia="宋体" w:hint="default"/>
                <w:sz w:val="18"/>
                <w:szCs w:val="18"/>
              </w:rPr>
              <w:t> 有限公司</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2"/>
              <w:jc w:val="left"/>
              <w:rPr>
                <w:rFonts w:ascii="宋体" w:hAnsi="宋体" w:cs="宋体" w:eastAsia="宋体" w:hint="default"/>
                <w:sz w:val="18"/>
                <w:szCs w:val="18"/>
              </w:rPr>
            </w:pPr>
            <w:r>
              <w:rPr>
                <w:rFonts w:ascii="宋体" w:hAnsi="宋体" w:cs="宋体" w:eastAsia="宋体" w:hint="default"/>
                <w:spacing w:val="6"/>
                <w:sz w:val="18"/>
                <w:szCs w:val="18"/>
              </w:rPr>
              <w:t>深圳市南山区学府路</w:t>
            </w:r>
            <w:r>
              <w:rPr>
                <w:rFonts w:ascii="Times New Roman" w:hAnsi="Times New Roman" w:cs="Times New Roman" w:eastAsia="Times New Roman" w:hint="default"/>
                <w:spacing w:val="6"/>
                <w:sz w:val="18"/>
                <w:szCs w:val="18"/>
              </w:rPr>
              <w:t>63</w:t>
            </w:r>
            <w:r>
              <w:rPr>
                <w:rFonts w:ascii="宋体" w:hAnsi="宋体" w:cs="宋体" w:eastAsia="宋体" w:hint="default"/>
                <w:spacing w:val="6"/>
                <w:sz w:val="18"/>
                <w:szCs w:val="18"/>
              </w:rPr>
              <w:t>号高新区联合总部大厦</w:t>
            </w:r>
            <w:r>
              <w:rPr>
                <w:rFonts w:ascii="Times New Roman" w:hAnsi="Times New Roman" w:cs="Times New Roman" w:eastAsia="Times New Roman" w:hint="default"/>
                <w:spacing w:val="6"/>
                <w:sz w:val="18"/>
                <w:szCs w:val="18"/>
              </w:rPr>
              <w:t>36</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楼</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140</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2018-5-8</w:t>
            </w:r>
            <w:r>
              <w:rPr>
                <w:rFonts w:ascii="宋体" w:hAnsi="宋体" w:cs="宋体" w:eastAsia="宋体" w:hint="default"/>
                <w:sz w:val="18"/>
                <w:szCs w:val="18"/>
              </w:rPr>
              <w:t>至</w:t>
            </w:r>
            <w:r>
              <w:rPr>
                <w:rFonts w:ascii="Times New Roman" w:hAnsi="Times New Roman" w:cs="Times New Roman" w:eastAsia="Times New Roman" w:hint="default"/>
                <w:sz w:val="18"/>
                <w:szCs w:val="18"/>
              </w:rPr>
              <w:t>2023-1-31</w:t>
            </w:r>
          </w:p>
        </w:tc>
      </w:tr>
      <w:tr>
        <w:trPr>
          <w:trHeight w:val="659" w:hRule="exact"/>
        </w:trPr>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武汉优软</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
              <w:jc w:val="left"/>
              <w:rPr>
                <w:rFonts w:ascii="宋体" w:hAnsi="宋体" w:cs="宋体" w:eastAsia="宋体" w:hint="default"/>
                <w:sz w:val="18"/>
                <w:szCs w:val="18"/>
              </w:rPr>
            </w:pPr>
            <w:r>
              <w:rPr>
                <w:rFonts w:ascii="宋体" w:hAnsi="宋体" w:cs="宋体" w:eastAsia="宋体" w:hint="default"/>
                <w:sz w:val="18"/>
                <w:szCs w:val="18"/>
              </w:rPr>
              <w:t>武汉东湖高新集团股份</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有限公司</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2"/>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湖北省武汉市东湖开发区花城大道</w:t>
            </w:r>
            <w:r>
              <w:rPr>
                <w:rFonts w:ascii="Times New Roman" w:hAnsi="Times New Roman" w:cs="Times New Roman" w:eastAsia="Times New Roman" w:hint="default"/>
                <w:spacing w:val="3"/>
                <w:sz w:val="18"/>
                <w:szCs w:val="18"/>
              </w:rPr>
              <w:t>9</w:t>
            </w:r>
            <w:r>
              <w:rPr>
                <w:rFonts w:ascii="宋体" w:hAnsi="宋体" w:cs="宋体" w:eastAsia="宋体" w:hint="default"/>
                <w:spacing w:val="3"/>
                <w:sz w:val="18"/>
                <w:szCs w:val="18"/>
              </w:rPr>
              <w:t>号武汉软件新</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城</w:t>
            </w:r>
            <w:r>
              <w:rPr>
                <w:rFonts w:ascii="Times New Roman" w:hAnsi="Times New Roman" w:cs="Times New Roman" w:eastAsia="Times New Roman" w:hint="default"/>
                <w:sz w:val="18"/>
                <w:szCs w:val="18"/>
              </w:rPr>
              <w:t>1.1</w:t>
            </w:r>
            <w:r>
              <w:rPr>
                <w:rFonts w:ascii="宋体" w:hAnsi="宋体" w:cs="宋体" w:eastAsia="宋体" w:hint="default"/>
                <w:sz w:val="18"/>
                <w:szCs w:val="18"/>
              </w:rPr>
              <w:t>期</w:t>
            </w:r>
            <w:r>
              <w:rPr>
                <w:rFonts w:ascii="Times New Roman" w:hAnsi="Times New Roman" w:cs="Times New Roman" w:eastAsia="Times New Roman" w:hint="default"/>
                <w:sz w:val="18"/>
                <w:szCs w:val="18"/>
              </w:rPr>
              <w:t>A2</w:t>
            </w:r>
            <w:r>
              <w:rPr>
                <w:rFonts w:ascii="宋体" w:hAnsi="宋体" w:cs="宋体" w:eastAsia="宋体" w:hint="default"/>
                <w:sz w:val="18"/>
                <w:szCs w:val="18"/>
              </w:rPr>
              <w:t>栋</w:t>
            </w:r>
            <w:r>
              <w:rPr>
                <w:rFonts w:ascii="Times New Roman" w:hAnsi="Times New Roman" w:cs="Times New Roman" w:eastAsia="Times New Roman" w:hint="default"/>
                <w:sz w:val="18"/>
                <w:szCs w:val="18"/>
              </w:rPr>
              <w:t>404</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606.96</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2016-9-10</w:t>
            </w:r>
            <w:r>
              <w:rPr>
                <w:rFonts w:ascii="宋体" w:hAnsi="宋体" w:cs="宋体" w:eastAsia="宋体" w:hint="default"/>
                <w:sz w:val="18"/>
                <w:szCs w:val="18"/>
              </w:rPr>
              <w:t>至</w:t>
            </w:r>
            <w:r>
              <w:rPr>
                <w:rFonts w:ascii="Times New Roman" w:hAnsi="Times New Roman" w:cs="Times New Roman" w:eastAsia="Times New Roman" w:hint="default"/>
                <w:sz w:val="18"/>
                <w:szCs w:val="18"/>
              </w:rPr>
              <w:t>2019-9-9</w:t>
            </w:r>
          </w:p>
        </w:tc>
      </w:tr>
      <w:tr>
        <w:trPr>
          <w:trHeight w:val="660" w:hRule="exact"/>
        </w:trPr>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瑞柏泰</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3" w:right="2"/>
              <w:jc w:val="left"/>
              <w:rPr>
                <w:rFonts w:ascii="宋体" w:hAnsi="宋体" w:cs="宋体" w:eastAsia="宋体" w:hint="default"/>
                <w:sz w:val="18"/>
                <w:szCs w:val="18"/>
              </w:rPr>
            </w:pPr>
            <w:r>
              <w:rPr>
                <w:rFonts w:ascii="宋体" w:hAnsi="宋体" w:cs="宋体" w:eastAsia="宋体" w:hint="default"/>
                <w:sz w:val="18"/>
                <w:szCs w:val="18"/>
              </w:rPr>
              <w:t>单元力创（深圳）有限</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公司</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深圳市南山区侨香路香年广场北区主楼</w:t>
            </w:r>
            <w:r>
              <w:rPr>
                <w:rFonts w:ascii="Times New Roman" w:hAnsi="Times New Roman" w:cs="Times New Roman" w:eastAsia="Times New Roman" w:hint="default"/>
                <w:sz w:val="18"/>
                <w:szCs w:val="18"/>
              </w:rPr>
              <w:t>C</w:t>
            </w:r>
            <w:r>
              <w:rPr>
                <w:rFonts w:ascii="宋体" w:hAnsi="宋体" w:cs="宋体" w:eastAsia="宋体" w:hint="default"/>
                <w:sz w:val="18"/>
                <w:szCs w:val="18"/>
              </w:rPr>
              <w:t>座</w:t>
            </w:r>
            <w:r>
              <w:rPr>
                <w:rFonts w:ascii="Times New Roman" w:hAnsi="Times New Roman" w:cs="Times New Roman" w:eastAsia="Times New Roman" w:hint="default"/>
                <w:sz w:val="18"/>
                <w:szCs w:val="18"/>
              </w:rPr>
              <w:t>603A</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265.84</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2018-4-1</w:t>
            </w:r>
            <w:r>
              <w:rPr>
                <w:rFonts w:ascii="宋体" w:hAnsi="宋体" w:cs="宋体" w:eastAsia="宋体" w:hint="default"/>
                <w:sz w:val="18"/>
                <w:szCs w:val="18"/>
              </w:rPr>
              <w:t>至</w:t>
            </w:r>
            <w:r>
              <w:rPr>
                <w:rFonts w:ascii="Times New Roman" w:hAnsi="Times New Roman" w:cs="Times New Roman" w:eastAsia="Times New Roman" w:hint="default"/>
                <w:sz w:val="18"/>
                <w:szCs w:val="18"/>
              </w:rPr>
              <w:t>2019-3-31</w:t>
            </w:r>
          </w:p>
        </w:tc>
      </w:tr>
      <w:tr>
        <w:trPr>
          <w:trHeight w:val="659" w:hRule="exact"/>
        </w:trPr>
        <w:tc>
          <w:tcPr>
            <w:tcW w:w="8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帕思菲特</w:t>
            </w:r>
          </w:p>
        </w:tc>
        <w:tc>
          <w:tcPr>
            <w:tcW w:w="1843"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0"/>
              <w:ind w:left="3" w:right="2"/>
              <w:jc w:val="left"/>
              <w:rPr>
                <w:rFonts w:ascii="宋体" w:hAnsi="宋体" w:cs="宋体" w:eastAsia="宋体" w:hint="default"/>
                <w:sz w:val="18"/>
                <w:szCs w:val="18"/>
              </w:rPr>
            </w:pPr>
            <w:r>
              <w:rPr>
                <w:rFonts w:ascii="宋体" w:hAnsi="宋体" w:cs="宋体" w:eastAsia="宋体" w:hint="default"/>
                <w:sz w:val="18"/>
                <w:szCs w:val="18"/>
              </w:rPr>
              <w:t>单元力创（深圳）有限</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公司</w:t>
            </w:r>
          </w:p>
        </w:tc>
        <w:tc>
          <w:tcPr>
            <w:tcW w:w="3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深圳市南山区侨香路香年广场北区主楼</w:t>
            </w:r>
            <w:r>
              <w:rPr>
                <w:rFonts w:ascii="Times New Roman" w:hAnsi="Times New Roman" w:cs="Times New Roman" w:eastAsia="Times New Roman" w:hint="default"/>
                <w:sz w:val="18"/>
                <w:szCs w:val="18"/>
              </w:rPr>
              <w:t>C</w:t>
            </w:r>
            <w:r>
              <w:rPr>
                <w:rFonts w:ascii="宋体" w:hAnsi="宋体" w:cs="宋体" w:eastAsia="宋体" w:hint="default"/>
                <w:sz w:val="18"/>
                <w:szCs w:val="18"/>
              </w:rPr>
              <w:t>座</w:t>
            </w:r>
            <w:r>
              <w:rPr>
                <w:rFonts w:ascii="Times New Roman" w:hAnsi="Times New Roman" w:cs="Times New Roman" w:eastAsia="Times New Roman" w:hint="default"/>
                <w:sz w:val="18"/>
                <w:szCs w:val="18"/>
              </w:rPr>
              <w:t>603B</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6"/>
                <w:szCs w:val="16"/>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91.34</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2018-4-1</w:t>
            </w:r>
            <w:r>
              <w:rPr>
                <w:rFonts w:ascii="宋体" w:hAnsi="宋体" w:cs="宋体" w:eastAsia="宋体" w:hint="default"/>
                <w:sz w:val="18"/>
                <w:szCs w:val="18"/>
              </w:rPr>
              <w:t>至</w:t>
            </w:r>
            <w:r>
              <w:rPr>
                <w:rFonts w:ascii="Times New Roman" w:hAnsi="Times New Roman" w:cs="Times New Roman" w:eastAsia="Times New Roman" w:hint="default"/>
                <w:sz w:val="18"/>
                <w:szCs w:val="18"/>
              </w:rPr>
              <w:t>2019-3-31</w:t>
            </w:r>
          </w:p>
        </w:tc>
      </w:tr>
    </w:tbl>
    <w:p>
      <w:pPr>
        <w:pStyle w:val="BodyText"/>
        <w:spacing w:line="240" w:lineRule="auto" w:before="51"/>
        <w:ind w:right="1134"/>
        <w:jc w:val="left"/>
      </w:pPr>
      <w:r>
        <w:rPr/>
        <w:t>为公司带来的损益达到公司报告期利润总额</w:t>
      </w:r>
      <w:r>
        <w:rPr>
          <w:spacing w:val="-46"/>
        </w:rPr>
        <w:t> </w:t>
      </w:r>
      <w:r>
        <w:rPr>
          <w:rFonts w:ascii="Times New Roman" w:hAnsi="Times New Roman" w:cs="Times New Roman" w:eastAsia="Times New Roman" w:hint="default"/>
        </w:rPr>
        <w:t>10%</w:t>
      </w:r>
      <w:r>
        <w:rPr/>
        <w:t>以上的项目</w:t>
      </w:r>
    </w:p>
    <w:p>
      <w:pPr>
        <w:pStyle w:val="BodyText"/>
        <w:spacing w:line="240" w:lineRule="auto" w:before="103"/>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right="1134"/>
        <w:jc w:val="left"/>
      </w:pPr>
      <w:r>
        <w:rPr/>
        <w:t>公司报告期不存在为公司带来的损益达到公司报告期利润总额</w:t>
      </w:r>
      <w:r>
        <w:rPr>
          <w:spacing w:val="-45"/>
        </w:rPr>
        <w:t> </w:t>
      </w:r>
      <w:r>
        <w:rPr>
          <w:rFonts w:ascii="Times New Roman" w:hAnsi="Times New Roman" w:cs="Times New Roman" w:eastAsia="Times New Roman" w:hint="default"/>
        </w:rPr>
        <w:t>10%</w:t>
      </w:r>
      <w:r>
        <w:rPr/>
        <w:t>以上的租赁项目。</w:t>
      </w:r>
    </w:p>
    <w:p>
      <w:pPr>
        <w:spacing w:line="240" w:lineRule="auto" w:before="10"/>
        <w:rPr>
          <w:rFonts w:ascii="宋体" w:hAnsi="宋体" w:cs="宋体" w:eastAsia="宋体" w:hint="default"/>
          <w:sz w:val="25"/>
          <w:szCs w:val="25"/>
        </w:rPr>
      </w:pPr>
    </w:p>
    <w:p>
      <w:pPr>
        <w:pStyle w:val="Heading3"/>
        <w:spacing w:line="240" w:lineRule="auto"/>
        <w:ind w:right="1134"/>
        <w:jc w:val="left"/>
        <w:rPr>
          <w:b w:val="0"/>
          <w:bCs w:val="0"/>
        </w:rPr>
      </w:pPr>
      <w:bookmarkStart w:name="2、重大担保" w:id="90"/>
      <w:bookmarkEnd w:id="90"/>
      <w:r>
        <w:rPr>
          <w:b w:val="0"/>
          <w:bCs w:val="0"/>
        </w:rPr>
      </w:r>
      <w:r>
        <w:rPr>
          <w:rFonts w:ascii="Times New Roman" w:hAnsi="Times New Roman" w:cs="Times New Roman" w:eastAsia="Times New Roman" w:hint="default"/>
        </w:rPr>
        <w:t>2</w:t>
      </w:r>
      <w:r>
        <w:rPr/>
        <w:t>、重大担保</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84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公司报告期不存在担保情况。</w:t>
      </w:r>
    </w:p>
    <w:p>
      <w:pPr>
        <w:spacing w:after="0" w:line="34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3"/>
        <w:spacing w:line="240" w:lineRule="auto" w:before="35"/>
        <w:ind w:right="1134"/>
        <w:jc w:val="left"/>
        <w:rPr>
          <w:b w:val="0"/>
          <w:bCs w:val="0"/>
        </w:rPr>
      </w:pPr>
      <w:bookmarkStart w:name="3、委托他人进行现金资产管理情况" w:id="91"/>
      <w:bookmarkEnd w:id="91"/>
      <w:r>
        <w:rPr>
          <w:b w:val="0"/>
          <w:bCs w:val="0"/>
        </w:rPr>
      </w:r>
      <w:r>
        <w:rPr>
          <w:rFonts w:ascii="Times New Roman" w:hAnsi="Times New Roman" w:cs="Times New Roman" w:eastAsia="Times New Roman" w:hint="default"/>
        </w:rPr>
        <w:t>3</w:t>
      </w:r>
      <w:r>
        <w:rPr/>
        <w:t>、委托他人进行现金资产管理情况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1134"/>
        <w:jc w:val="left"/>
        <w:rPr>
          <w:b w:val="0"/>
          <w:bCs w:val="0"/>
        </w:rPr>
      </w:pPr>
      <w:bookmarkStart w:name="（1）委托理财情况" w:id="92"/>
      <w:bookmarkEnd w:id="92"/>
      <w:r>
        <w:rPr>
          <w:b w:val="0"/>
          <w:bCs w:val="0"/>
        </w:rPr>
      </w:r>
      <w:r>
        <w:rPr/>
        <w:t>（</w:t>
      </w:r>
      <w:r>
        <w:rPr>
          <w:rFonts w:ascii="Times New Roman" w:hAnsi="Times New Roman" w:cs="Times New Roman" w:eastAsia="Times New Roman" w:hint="default"/>
        </w:rPr>
        <w:t>1</w:t>
      </w:r>
      <w:r>
        <w:rPr/>
        <w:t>）委托理财情况</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pStyle w:val="BodyText"/>
        <w:spacing w:line="338" w:lineRule="auto" w:before="44"/>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报告期内委托理财概况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pStyle w:val="BodyText"/>
        <w:spacing w:line="240" w:lineRule="auto"/>
        <w:ind w:left="153" w:right="0"/>
        <w:jc w:val="left"/>
      </w:pPr>
      <w:r>
        <w:rPr/>
        <w:t>单位：万元</w:t>
      </w:r>
    </w:p>
    <w:p>
      <w:pPr>
        <w:spacing w:after="0" w:line="240" w:lineRule="auto"/>
        <w:jc w:val="left"/>
        <w:sectPr>
          <w:type w:val="continuous"/>
          <w:pgSz w:w="11910" w:h="16840"/>
          <w:pgMar w:top="1060" w:bottom="1160" w:left="980" w:right="0"/>
          <w:cols w:num="2" w:equalWidth="0">
            <w:col w:w="1955" w:space="6785"/>
            <w:col w:w="219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869"/>
        <w:gridCol w:w="1962"/>
        <w:gridCol w:w="1981"/>
        <w:gridCol w:w="1908"/>
        <w:gridCol w:w="1848"/>
      </w:tblGrid>
      <w:tr>
        <w:trPr>
          <w:trHeight w:val="402" w:hRule="exact"/>
        </w:trPr>
        <w:tc>
          <w:tcPr>
            <w:tcW w:w="1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9"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55"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9"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2" w:hRule="exact"/>
        </w:trPr>
        <w:tc>
          <w:tcPr>
            <w:tcW w:w="1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募集资金</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15,000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pStyle w:val="BodyText"/>
        <w:spacing w:line="240" w:lineRule="auto" w:before="51"/>
        <w:ind w:right="1134"/>
        <w:jc w:val="left"/>
      </w:pPr>
      <w:r>
        <w:rPr/>
        <w:t>单项金额重大或安全性较低、流动性较差、不保本的高风险委托理财具体情况</w:t>
      </w:r>
    </w:p>
    <w:p>
      <w:pPr>
        <w:pStyle w:val="BodyText"/>
        <w:spacing w:line="338" w:lineRule="auto" w:before="117"/>
        <w:ind w:right="57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委托理财出现预期无法收回本金或存在其他可能导致减值的情形</w:t>
      </w:r>
    </w:p>
    <w:p>
      <w:pPr>
        <w:pStyle w:val="BodyText"/>
        <w:spacing w:line="240" w:lineRule="auto" w:before="43"/>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right="1134"/>
        <w:jc w:val="left"/>
        <w:rPr>
          <w:b w:val="0"/>
          <w:bCs w:val="0"/>
        </w:rPr>
      </w:pPr>
      <w:bookmarkStart w:name="（2）委托贷款情况" w:id="93"/>
      <w:bookmarkEnd w:id="93"/>
      <w:r>
        <w:rPr>
          <w:b w:val="0"/>
          <w:bCs w:val="0"/>
        </w:rPr>
      </w:r>
      <w:r>
        <w:rPr/>
        <w:t>（</w:t>
      </w:r>
      <w:r>
        <w:rPr>
          <w:rFonts w:ascii="Times New Roman" w:hAnsi="Times New Roman" w:cs="Times New Roman" w:eastAsia="Times New Roman" w:hint="default"/>
        </w:rPr>
        <w:t>2</w:t>
      </w:r>
      <w:r>
        <w:rPr/>
        <w:t>）委托贷款情况</w:t>
      </w:r>
      <w:r>
        <w:rPr>
          <w:b w:val="0"/>
          <w:bCs w:val="0"/>
        </w:rPr>
      </w:r>
    </w:p>
    <w:p>
      <w:pPr>
        <w:spacing w:line="240" w:lineRule="auto" w:before="9"/>
        <w:rPr>
          <w:rFonts w:ascii="宋体" w:hAnsi="宋体" w:cs="宋体" w:eastAsia="宋体" w:hint="default"/>
          <w:b/>
          <w:bCs/>
          <w:sz w:val="26"/>
          <w:szCs w:val="26"/>
        </w:rPr>
      </w:pPr>
    </w:p>
    <w:p>
      <w:pPr>
        <w:pStyle w:val="BodyText"/>
        <w:spacing w:line="338" w:lineRule="auto"/>
        <w:ind w:right="84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公司报告期不存在委托贷款。</w:t>
      </w:r>
    </w:p>
    <w:p>
      <w:pPr>
        <w:spacing w:line="240" w:lineRule="auto" w:before="3"/>
        <w:rPr>
          <w:rFonts w:ascii="宋体" w:hAnsi="宋体" w:cs="宋体" w:eastAsia="宋体" w:hint="default"/>
          <w:sz w:val="21"/>
          <w:szCs w:val="21"/>
        </w:rPr>
      </w:pPr>
    </w:p>
    <w:p>
      <w:pPr>
        <w:pStyle w:val="Heading3"/>
        <w:spacing w:line="240" w:lineRule="auto"/>
        <w:ind w:right="1134"/>
        <w:jc w:val="left"/>
        <w:rPr>
          <w:b w:val="0"/>
          <w:bCs w:val="0"/>
        </w:rPr>
      </w:pPr>
      <w:bookmarkStart w:name="4、其他重大合同" w:id="94"/>
      <w:bookmarkEnd w:id="94"/>
      <w:r>
        <w:rPr>
          <w:b w:val="0"/>
          <w:bCs w:val="0"/>
        </w:rPr>
      </w:r>
      <w:r>
        <w:rPr>
          <w:rFonts w:ascii="Times New Roman" w:hAnsi="Times New Roman" w:cs="Times New Roman" w:eastAsia="Times New Roman" w:hint="default"/>
        </w:rPr>
        <w:t>4</w:t>
      </w:r>
      <w:r>
        <w:rPr/>
        <w:t>、其他重大合同</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805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公司报告期不存在其他重大合同。</w:t>
      </w:r>
    </w:p>
    <w:p>
      <w:pPr>
        <w:spacing w:line="240" w:lineRule="auto" w:before="3"/>
        <w:rPr>
          <w:rFonts w:ascii="宋体" w:hAnsi="宋体" w:cs="宋体" w:eastAsia="宋体" w:hint="default"/>
          <w:sz w:val="19"/>
          <w:szCs w:val="19"/>
        </w:rPr>
      </w:pPr>
    </w:p>
    <w:p>
      <w:pPr>
        <w:pStyle w:val="Heading2"/>
        <w:spacing w:line="240" w:lineRule="auto"/>
        <w:ind w:right="1134"/>
        <w:jc w:val="left"/>
        <w:rPr>
          <w:b w:val="0"/>
          <w:bCs w:val="0"/>
        </w:rPr>
      </w:pPr>
      <w:bookmarkStart w:name="十七、社会责任情况" w:id="95"/>
      <w:bookmarkEnd w:id="95"/>
      <w:r>
        <w:rPr>
          <w:b w:val="0"/>
          <w:bCs w:val="0"/>
        </w:rPr>
      </w:r>
      <w:r>
        <w:rPr/>
        <w:t>十七、社会责任情况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履行社会责任情况" w:id="96"/>
      <w:bookmarkEnd w:id="96"/>
      <w:r>
        <w:rPr>
          <w:b w:val="0"/>
          <w:bCs w:val="0"/>
        </w:rPr>
      </w:r>
      <w:r>
        <w:rPr>
          <w:rFonts w:ascii="Times New Roman" w:hAnsi="Times New Roman" w:cs="Times New Roman" w:eastAsia="Times New Roman" w:hint="default"/>
        </w:rPr>
        <w:t>1</w:t>
      </w:r>
      <w:r>
        <w:rPr/>
        <w:t>、履行社会责任情况</w:t>
      </w:r>
      <w:r>
        <w:rPr>
          <w:b w:val="0"/>
          <w:bCs w:val="0"/>
        </w:rPr>
      </w:r>
    </w:p>
    <w:p>
      <w:pPr>
        <w:spacing w:line="240" w:lineRule="auto" w:before="7"/>
        <w:rPr>
          <w:rFonts w:ascii="宋体" w:hAnsi="宋体" w:cs="宋体" w:eastAsia="宋体" w:hint="default"/>
          <w:b/>
          <w:bCs/>
          <w:sz w:val="26"/>
          <w:szCs w:val="26"/>
        </w:rPr>
      </w:pPr>
    </w:p>
    <w:p>
      <w:pPr>
        <w:pStyle w:val="BodyText"/>
        <w:spacing w:line="319" w:lineRule="auto"/>
        <w:ind w:right="0" w:firstLine="360"/>
        <w:jc w:val="left"/>
      </w:pPr>
      <w:r>
        <w:rPr>
          <w:spacing w:val="-2"/>
        </w:rPr>
        <w:t>公司自成立以来，一直积极履行企业社会责任，建立健全公司内部管理和控制制度，组织协调各职能部门工作，持续深</w:t>
      </w:r>
      <w:r>
        <w:rPr/>
        <w:t> 入开展公司治理活动，促进了公司规范运作，提高了公司治理水平。</w:t>
      </w:r>
    </w:p>
    <w:p>
      <w:pPr>
        <w:pStyle w:val="BodyText"/>
        <w:spacing w:line="319" w:lineRule="auto" w:before="55"/>
        <w:ind w:right="1133" w:firstLine="360"/>
        <w:jc w:val="both"/>
      </w:pPr>
      <w:r>
        <w:rPr>
          <w:spacing w:val="-2"/>
        </w:rPr>
        <w:t>公司严格按照《公司法》、《深圳证券交易所创业板股票上市规则》、《上市公司信息披露管理办法》等相关法律法规</w:t>
      </w:r>
      <w:r>
        <w:rPr/>
        <w:t> </w:t>
      </w:r>
      <w:r>
        <w:rPr>
          <w:spacing w:val="-2"/>
        </w:rPr>
        <w:t>的要求，及时、准确、真实、完整地进行信息披露，通过投资者电话、电子邮箱、公司网站和投资者关系互动平台等多种方</w:t>
      </w:r>
      <w:r>
        <w:rPr>
          <w:spacing w:val="-71"/>
        </w:rPr>
        <w:t> </w:t>
      </w:r>
      <w:r>
        <w:rPr>
          <w:spacing w:val="-71"/>
        </w:rPr>
      </w:r>
      <w:r>
        <w:rPr>
          <w:spacing w:val="-2"/>
        </w:rPr>
        <w:t>式与投资者进行沟通交流，提高了公司的透明度和诚信度。公司非常重视对投资者的合理回报，制定了相对稳定的利润分配</w:t>
      </w:r>
      <w:r>
        <w:rPr>
          <w:spacing w:val="-66"/>
        </w:rPr>
        <w:t> </w:t>
      </w:r>
      <w:r>
        <w:rPr>
          <w:spacing w:val="-66"/>
        </w:rPr>
      </w:r>
      <w:r>
        <w:rPr/>
        <w:t>政策和分红方案以回报股东。</w:t>
      </w:r>
    </w:p>
    <w:p>
      <w:pPr>
        <w:pStyle w:val="BodyText"/>
        <w:spacing w:line="319" w:lineRule="auto" w:before="55"/>
        <w:ind w:right="1032" w:firstLine="360"/>
        <w:jc w:val="left"/>
      </w:pPr>
      <w:r>
        <w:rPr/>
        <w:t>报告期内，公司严格遵守《劳动法》等有关法律法规的规定，与所有员工签订《劳动合同》，为员工办理医疗、养老、 </w:t>
      </w:r>
      <w:r>
        <w:rPr>
          <w:spacing w:val="-2"/>
        </w:rPr>
        <w:t>失业、工伤、生育等社会保险，依法为员工缴纳保险费用。公司通过企业的发展，不断改善员工的工作环境、工作条件，通</w:t>
      </w:r>
      <w:r>
        <w:rPr>
          <w:spacing w:val="-71"/>
        </w:rPr>
        <w:t> </w:t>
      </w:r>
      <w:r>
        <w:rPr>
          <w:spacing w:val="-71"/>
        </w:rPr>
      </w:r>
      <w:r>
        <w:rPr>
          <w:spacing w:val="-2"/>
        </w:rPr>
        <w:t>过多种途径和渠道提高员工社会生存综合能力，为员工创造、提供广阔的发展平台和施展个人才华的机会，促进员工与企业</w:t>
      </w:r>
      <w:r>
        <w:rPr>
          <w:spacing w:val="-66"/>
        </w:rPr>
        <w:t> </w:t>
      </w:r>
      <w:r>
        <w:rPr>
          <w:spacing w:val="-66"/>
        </w:rPr>
      </w:r>
      <w:r>
        <w:rPr/>
        <w:t>的共同进步。</w:t>
      </w:r>
    </w:p>
    <w:p>
      <w:pPr>
        <w:pStyle w:val="BodyText"/>
        <w:spacing w:line="319" w:lineRule="auto" w:before="56"/>
        <w:ind w:right="0" w:firstLine="360"/>
        <w:jc w:val="left"/>
      </w:pPr>
      <w:r>
        <w:rPr>
          <w:spacing w:val="-2"/>
        </w:rPr>
        <w:t>公司始终将依法经营作为公司运行的基本原则，注重企业经济效益与社会效益的同步共赢。公司严格遵守国家法律、法</w:t>
      </w:r>
      <w:r>
        <w:rPr/>
        <w:t> 规、政策的规定，始终依法经营，积极纳税，发展就业岗位，支持地方经济的发展。</w:t>
      </w:r>
    </w:p>
    <w:p>
      <w:pPr>
        <w:spacing w:after="0" w:line="319" w:lineRule="auto"/>
        <w:jc w:val="left"/>
        <w:sectPr>
          <w:type w:val="continuous"/>
          <w:pgSz w:w="11910" w:h="16840"/>
          <w:pgMar w:top="1060" w:bottom="1160" w:left="980" w:right="0"/>
        </w:sectPr>
      </w:pPr>
    </w:p>
    <w:p>
      <w:pPr>
        <w:spacing w:line="240" w:lineRule="auto" w:before="9"/>
        <w:rPr>
          <w:rFonts w:ascii="宋体" w:hAnsi="宋体" w:cs="宋体" w:eastAsia="宋体" w:hint="default"/>
          <w:sz w:val="24"/>
          <w:szCs w:val="24"/>
        </w:rPr>
      </w:pPr>
    </w:p>
    <w:p>
      <w:pPr>
        <w:pStyle w:val="Heading3"/>
        <w:spacing w:line="240" w:lineRule="auto" w:before="35"/>
        <w:ind w:right="1134"/>
        <w:jc w:val="left"/>
        <w:rPr>
          <w:b w:val="0"/>
          <w:bCs w:val="0"/>
        </w:rPr>
      </w:pPr>
      <w:bookmarkStart w:name="2、履行精准扶贫社会责任情况" w:id="97"/>
      <w:bookmarkEnd w:id="97"/>
      <w:r>
        <w:rPr>
          <w:b w:val="0"/>
          <w:bCs w:val="0"/>
        </w:rPr>
      </w:r>
      <w:r>
        <w:rPr>
          <w:rFonts w:ascii="Times New Roman" w:hAnsi="Times New Roman" w:cs="Times New Roman" w:eastAsia="Times New Roman" w:hint="default"/>
        </w:rPr>
        <w:t>2</w:t>
      </w:r>
      <w:r>
        <w:rPr/>
        <w:t>、履行精准扶贫社会责任情况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t>公司报告年度暂未开展精准扶贫工作，也暂无后续精准扶贫计划。</w:t>
      </w:r>
    </w:p>
    <w:p>
      <w:pPr>
        <w:spacing w:line="240" w:lineRule="auto" w:before="12"/>
        <w:rPr>
          <w:rFonts w:ascii="宋体" w:hAnsi="宋体" w:cs="宋体" w:eastAsia="宋体" w:hint="default"/>
          <w:sz w:val="26"/>
          <w:szCs w:val="26"/>
        </w:rPr>
      </w:pPr>
    </w:p>
    <w:p>
      <w:pPr>
        <w:pStyle w:val="Heading3"/>
        <w:spacing w:line="240" w:lineRule="auto"/>
        <w:ind w:right="1134"/>
        <w:jc w:val="left"/>
        <w:rPr>
          <w:b w:val="0"/>
          <w:bCs w:val="0"/>
        </w:rPr>
      </w:pPr>
      <w:bookmarkStart w:name="3、环境保护相关的情况" w:id="98"/>
      <w:bookmarkEnd w:id="98"/>
      <w:r>
        <w:rPr>
          <w:b w:val="0"/>
          <w:bCs w:val="0"/>
        </w:rPr>
      </w:r>
      <w:r>
        <w:rPr>
          <w:rFonts w:ascii="Times New Roman" w:hAnsi="Times New Roman" w:cs="Times New Roman" w:eastAsia="Times New Roman" w:hint="default"/>
        </w:rPr>
        <w:t>3</w:t>
      </w:r>
      <w:r>
        <w:rPr/>
        <w:t>、环境保护相关的情况</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5712"/>
        <w:jc w:val="left"/>
      </w:pPr>
      <w:r>
        <w:rPr/>
        <w:t>上市公司及其子公司是否属于环境保护部门公布的重点排污单位 否</w:t>
      </w:r>
    </w:p>
    <w:p>
      <w:pPr>
        <w:pStyle w:val="BodyText"/>
        <w:spacing w:line="316" w:lineRule="auto" w:before="28"/>
        <w:ind w:right="0"/>
        <w:jc w:val="left"/>
      </w:pPr>
      <w:r>
        <w:rPr>
          <w:spacing w:val="-4"/>
        </w:rPr>
        <w:t>公司及子公司均不属于环保部门公布的重点排污单位。公司注重履行企业环境保护的职责，在生产经营活动中，无三废排放，</w:t>
      </w:r>
      <w:r>
        <w:rPr>
          <w:spacing w:val="-44"/>
        </w:rPr>
        <w:t> </w:t>
      </w:r>
      <w:r>
        <w:rPr>
          <w:spacing w:val="-44"/>
        </w:rPr>
      </w:r>
      <w:r>
        <w:rPr/>
        <w:t>不属于环境保护部门公布的重点排污单位。</w:t>
      </w:r>
    </w:p>
    <w:p>
      <w:pPr>
        <w:spacing w:line="240" w:lineRule="auto" w:before="10"/>
        <w:rPr>
          <w:rFonts w:ascii="宋体" w:hAnsi="宋体" w:cs="宋体" w:eastAsia="宋体" w:hint="default"/>
          <w:sz w:val="20"/>
          <w:szCs w:val="20"/>
        </w:rPr>
      </w:pPr>
    </w:p>
    <w:p>
      <w:pPr>
        <w:pStyle w:val="Heading2"/>
        <w:spacing w:line="240" w:lineRule="auto"/>
        <w:ind w:right="1134"/>
        <w:jc w:val="left"/>
        <w:rPr>
          <w:b w:val="0"/>
          <w:bCs w:val="0"/>
        </w:rPr>
      </w:pPr>
      <w:bookmarkStart w:name="十八、其他重大事项的说明" w:id="99"/>
      <w:bookmarkEnd w:id="99"/>
      <w:r>
        <w:rPr>
          <w:b w:val="0"/>
          <w:bCs w:val="0"/>
        </w:rPr>
      </w:r>
      <w:r>
        <w:rPr/>
        <w:t>十八、其他重大事项的说明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6"/>
          <w:szCs w:val="6"/>
        </w:rPr>
      </w:pPr>
    </w:p>
    <w:tbl>
      <w:tblPr>
        <w:tblW w:w="0" w:type="auto"/>
        <w:jc w:val="left"/>
        <w:tblInd w:w="146" w:type="dxa"/>
        <w:tblLayout w:type="fixed"/>
        <w:tblCellMar>
          <w:top w:w="0" w:type="dxa"/>
          <w:left w:w="0" w:type="dxa"/>
          <w:bottom w:w="0" w:type="dxa"/>
          <w:right w:w="0" w:type="dxa"/>
        </w:tblCellMar>
        <w:tblLook w:val="01E0"/>
      </w:tblPr>
      <w:tblGrid>
        <w:gridCol w:w="5388"/>
        <w:gridCol w:w="1417"/>
        <w:gridCol w:w="2824"/>
      </w:tblGrid>
      <w:tr>
        <w:trPr>
          <w:trHeight w:val="348" w:hRule="exact"/>
        </w:trPr>
        <w:tc>
          <w:tcPr>
            <w:tcW w:w="538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重要事项概述</w:t>
            </w:r>
          </w:p>
        </w:tc>
        <w:tc>
          <w:tcPr>
            <w:tcW w:w="141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282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临时报告披露网站查询索引</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w:t>
            </w:r>
            <w:r>
              <w:rPr>
                <w:rFonts w:ascii="Times New Roman" w:hAnsi="Times New Roman" w:cs="Times New Roman" w:eastAsia="Times New Roman" w:hint="default"/>
                <w:sz w:val="18"/>
                <w:szCs w:val="18"/>
              </w:rPr>
              <w:t>2017</w:t>
            </w:r>
            <w:r>
              <w:rPr>
                <w:rFonts w:ascii="宋体" w:hAnsi="宋体" w:cs="宋体" w:eastAsia="宋体" w:hint="default"/>
                <w:sz w:val="18"/>
                <w:szCs w:val="18"/>
              </w:rPr>
              <w:t>年度获得政府补助资金的公告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16</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2018-001</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关于持股</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以上股东股份减持计划期限届满的公告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16</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2018-002</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关于股东部分股份补充质押的公告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w:t>
            </w:r>
            <w:r>
              <w:rPr>
                <w:rFonts w:ascii="Times New Roman" w:hAnsi="Times New Roman" w:cs="Times New Roman" w:eastAsia="Times New Roman" w:hint="default"/>
                <w:sz w:val="18"/>
                <w:szCs w:val="18"/>
              </w:rPr>
              <w:t>9</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2018-006</w:t>
            </w:r>
          </w:p>
        </w:tc>
      </w:tr>
      <w:tr>
        <w:trPr>
          <w:trHeight w:val="661"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1"/>
              <w:jc w:val="left"/>
              <w:rPr>
                <w:rFonts w:ascii="宋体" w:hAnsi="宋体" w:cs="宋体" w:eastAsia="宋体" w:hint="default"/>
                <w:sz w:val="18"/>
                <w:szCs w:val="18"/>
              </w:rPr>
            </w:pPr>
            <w:r>
              <w:rPr>
                <w:rFonts w:ascii="宋体" w:hAnsi="宋体" w:cs="宋体" w:eastAsia="宋体" w:hint="default"/>
                <w:spacing w:val="-2"/>
                <w:sz w:val="18"/>
                <w:szCs w:val="18"/>
              </w:rPr>
              <w:t>关于中标建设银行</w:t>
            </w:r>
            <w:r>
              <w:rPr>
                <w:rFonts w:ascii="Times New Roman" w:hAnsi="Times New Roman" w:cs="Times New Roman" w:eastAsia="Times New Roman" w:hint="default"/>
                <w:spacing w:val="-2"/>
                <w:sz w:val="18"/>
                <w:szCs w:val="18"/>
              </w:rPr>
              <w:t>2018-2019</w:t>
            </w:r>
            <w:r>
              <w:rPr>
                <w:rFonts w:ascii="宋体" w:hAnsi="宋体" w:cs="宋体" w:eastAsia="宋体" w:hint="default"/>
                <w:spacing w:val="-2"/>
                <w:sz w:val="18"/>
                <w:szCs w:val="18"/>
              </w:rPr>
              <w:t>年度全行智能</w:t>
            </w:r>
            <w:r>
              <w:rPr>
                <w:rFonts w:ascii="Times New Roman" w:hAnsi="Times New Roman" w:cs="Times New Roman" w:eastAsia="Times New Roman" w:hint="default"/>
                <w:spacing w:val="-2"/>
                <w:sz w:val="18"/>
                <w:szCs w:val="18"/>
              </w:rPr>
              <w:t>POS</w:t>
            </w:r>
            <w:r>
              <w:rPr>
                <w:rFonts w:ascii="宋体" w:hAnsi="宋体" w:cs="宋体" w:eastAsia="宋体" w:hint="default"/>
                <w:spacing w:val="-2"/>
                <w:sz w:val="18"/>
                <w:szCs w:val="18"/>
              </w:rPr>
              <w:t>设备（手持式）采购项</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目的提示性公告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2018-009</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关于副总经理辞职的公告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2018-010</w:t>
            </w:r>
          </w:p>
        </w:tc>
      </w:tr>
      <w:tr>
        <w:trPr>
          <w:trHeight w:val="364"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关于股东进行股票质押式回购交易的公告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6</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2018-011</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关于股东进行股票质押式回购交易的公告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10</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2018-013</w:t>
            </w:r>
          </w:p>
        </w:tc>
      </w:tr>
      <w:tr>
        <w:trPr>
          <w:trHeight w:val="347"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关于中标中国邮政储蓄银行智能</w:t>
            </w:r>
            <w:r>
              <w:rPr>
                <w:rFonts w:ascii="Times New Roman" w:hAnsi="Times New Roman" w:cs="Times New Roman" w:eastAsia="Times New Roman" w:hint="default"/>
                <w:sz w:val="18"/>
                <w:szCs w:val="18"/>
              </w:rPr>
              <w:t>POS</w:t>
            </w:r>
            <w:r>
              <w:rPr>
                <w:rFonts w:ascii="宋体" w:hAnsi="宋体" w:cs="宋体" w:eastAsia="宋体" w:hint="default"/>
                <w:sz w:val="18"/>
                <w:szCs w:val="18"/>
              </w:rPr>
              <w:t>入围招标项目的提示性公告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14</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2018-014</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关于中标项目签订框架合同的进展公告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2018-017</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关于公司会计政策变更的公告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w:t>
            </w:r>
            <w:r>
              <w:rPr>
                <w:rFonts w:ascii="Times New Roman" w:hAnsi="Times New Roman" w:cs="Times New Roman" w:eastAsia="Times New Roman" w:hint="default"/>
                <w:sz w:val="18"/>
                <w:szCs w:val="18"/>
              </w:rPr>
              <w:t>25</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2018-034</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关于持股</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以上股东股份减持计划的预披露公告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5</w:t>
            </w:r>
            <w:r>
              <w:rPr>
                <w:rFonts w:ascii="宋体" w:hAnsi="宋体" w:cs="宋体" w:eastAsia="宋体" w:hint="default"/>
                <w:sz w:val="18"/>
                <w:szCs w:val="18"/>
              </w:rPr>
              <w:t>月</w:t>
            </w:r>
            <w:r>
              <w:rPr>
                <w:rFonts w:ascii="Times New Roman" w:hAnsi="Times New Roman" w:cs="Times New Roman" w:eastAsia="Times New Roman" w:hint="default"/>
                <w:sz w:val="18"/>
                <w:szCs w:val="18"/>
              </w:rPr>
              <w:t>3</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2018-038</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关于获得政府补助的公告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12</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2018-045</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关于拟参与设立产业基金暨关联交易的公告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26</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2018-048</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关于董事辞职的公告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6</w:t>
            </w:r>
            <w:r>
              <w:rPr>
                <w:rFonts w:ascii="宋体" w:hAnsi="宋体" w:cs="宋体" w:eastAsia="宋体" w:hint="default"/>
                <w:sz w:val="18"/>
                <w:szCs w:val="18"/>
              </w:rPr>
              <w:t>月</w:t>
            </w:r>
            <w:r>
              <w:rPr>
                <w:rFonts w:ascii="Times New Roman" w:hAnsi="Times New Roman" w:cs="Times New Roman" w:eastAsia="Times New Roman" w:hint="default"/>
                <w:sz w:val="18"/>
                <w:szCs w:val="18"/>
              </w:rPr>
              <w:t>28</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2018-050</w:t>
            </w:r>
          </w:p>
        </w:tc>
      </w:tr>
      <w:tr>
        <w:trPr>
          <w:trHeight w:val="362"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关于持股</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以上股东股份减持计划实施进展的公告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w:t>
            </w:r>
            <w:r>
              <w:rPr>
                <w:rFonts w:ascii="Times New Roman" w:hAnsi="Times New Roman" w:cs="Times New Roman" w:eastAsia="Times New Roman" w:hint="default"/>
                <w:sz w:val="18"/>
                <w:szCs w:val="18"/>
              </w:rPr>
              <w:t>10</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2018-052</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关于持股</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以上股东股份减持计划期限届满的公告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23</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2018-063</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关于持股</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以上股东股份减持计划的预披露公告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24</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2018-064</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关于董事会、监事会换届选举的公告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25</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2018-068</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关于部分募集资金投资项目延期的公告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25</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2018-069</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关于聘任公司高级管理人员和证券事务代表的公告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12</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2018-077</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关于公司会计政策变更的公告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w:t>
            </w:r>
            <w:r>
              <w:rPr>
                <w:rFonts w:ascii="Times New Roman" w:hAnsi="Times New Roman" w:cs="Times New Roman" w:eastAsia="Times New Roman" w:hint="default"/>
                <w:sz w:val="18"/>
                <w:szCs w:val="18"/>
              </w:rPr>
              <w:t>30</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2018-088</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关于持股</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以上股东股份减持计划实施进展的公告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2018-089</w:t>
            </w:r>
          </w:p>
        </w:tc>
      </w:tr>
      <w:tr>
        <w:trPr>
          <w:trHeight w:val="364"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第三届董事会第四次会议决议公告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14</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2018-092</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关于重大资产重组的一般性风险提示公告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14</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2018-094</w:t>
            </w:r>
          </w:p>
        </w:tc>
      </w:tr>
      <w:tr>
        <w:trPr>
          <w:trHeight w:val="348" w:hRule="exact"/>
        </w:trPr>
        <w:tc>
          <w:tcPr>
            <w:tcW w:w="53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关于持股</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以上股东股份减持计划期限届满的公告</w:t>
            </w:r>
          </w:p>
        </w:tc>
        <w:tc>
          <w:tcPr>
            <w:tcW w:w="141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14</w:t>
            </w:r>
            <w:r>
              <w:rPr>
                <w:rFonts w:ascii="宋体" w:hAnsi="宋体" w:cs="宋体" w:eastAsia="宋体" w:hint="default"/>
                <w:sz w:val="18"/>
                <w:szCs w:val="18"/>
              </w:rPr>
              <w:t>日</w:t>
            </w:r>
          </w:p>
        </w:tc>
        <w:tc>
          <w:tcPr>
            <w:tcW w:w="2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巨潮资讯网，公告编号：</w:t>
            </w:r>
            <w:r>
              <w:rPr>
                <w:rFonts w:ascii="Times New Roman" w:hAnsi="Times New Roman" w:cs="Times New Roman" w:eastAsia="Times New Roman" w:hint="default"/>
                <w:sz w:val="18"/>
                <w:szCs w:val="18"/>
              </w:rPr>
              <w:t>2018-097</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9"/>
        <w:rPr>
          <w:rFonts w:ascii="宋体" w:hAnsi="宋体" w:cs="宋体" w:eastAsia="宋体" w:hint="default"/>
          <w:sz w:val="23"/>
          <w:szCs w:val="23"/>
        </w:rPr>
      </w:pPr>
    </w:p>
    <w:p>
      <w:pPr>
        <w:pStyle w:val="Heading2"/>
        <w:spacing w:line="240" w:lineRule="auto" w:before="26"/>
        <w:ind w:right="1134"/>
        <w:jc w:val="left"/>
        <w:rPr>
          <w:b w:val="0"/>
          <w:bCs w:val="0"/>
        </w:rPr>
      </w:pPr>
      <w:bookmarkStart w:name="十九、公司子公司重大事项" w:id="100"/>
      <w:bookmarkEnd w:id="100"/>
      <w:r>
        <w:rPr>
          <w:b w:val="0"/>
          <w:bCs w:val="0"/>
        </w:rPr>
      </w:r>
      <w:r>
        <w:rPr/>
        <w:t>十九、公司子公司重大事项</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2966" w:right="1134"/>
        <w:jc w:val="left"/>
        <w:rPr>
          <w:b w:val="0"/>
          <w:bCs w:val="0"/>
        </w:rPr>
      </w:pPr>
      <w:bookmarkStart w:name="第六节 股份变动及股东情况" w:id="101"/>
      <w:bookmarkEnd w:id="101"/>
      <w:r>
        <w:rPr>
          <w:b w:val="0"/>
          <w:bCs w:val="0"/>
        </w:rPr>
      </w:r>
      <w:bookmarkStart w:name="_bookmark5" w:id="102"/>
      <w:bookmarkEnd w:id="102"/>
      <w:r>
        <w:rPr>
          <w:b w:val="0"/>
          <w:bCs w:val="0"/>
        </w:rPr>
      </w:r>
      <w:r>
        <w:rPr/>
        <w:t>第六节</w:t>
      </w:r>
      <w:r>
        <w:rPr>
          <w:spacing w:val="-10"/>
        </w:rPr>
        <w:t> </w:t>
      </w:r>
      <w:r>
        <w:rPr/>
        <w:t>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1134"/>
        <w:jc w:val="left"/>
        <w:rPr>
          <w:b w:val="0"/>
          <w:bCs w:val="0"/>
        </w:rPr>
      </w:pPr>
      <w:bookmarkStart w:name="一、股份变动情况" w:id="103"/>
      <w:bookmarkEnd w:id="103"/>
      <w:r>
        <w:rPr>
          <w:b w:val="0"/>
          <w:bCs w:val="0"/>
        </w:rPr>
      </w:r>
      <w:r>
        <w:rPr/>
        <w:t>一、股份变动情况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股份变动情况" w:id="104"/>
      <w:bookmarkEnd w:id="104"/>
      <w:r>
        <w:rPr>
          <w:b w:val="0"/>
          <w:bCs w:val="0"/>
        </w:rPr>
      </w:r>
      <w:r>
        <w:rPr>
          <w:rFonts w:ascii="Times New Roman" w:hAnsi="Times New Roman" w:cs="Times New Roman" w:eastAsia="Times New Roman" w:hint="default"/>
        </w:rPr>
        <w:t>1</w:t>
      </w:r>
      <w:r>
        <w:rPr/>
        <w:t>、股份变动情况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单位：股</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204"/>
        <w:gridCol w:w="1046"/>
        <w:gridCol w:w="850"/>
        <w:gridCol w:w="851"/>
        <w:gridCol w:w="556"/>
        <w:gridCol w:w="1003"/>
        <w:gridCol w:w="641"/>
        <w:gridCol w:w="493"/>
        <w:gridCol w:w="1123"/>
        <w:gridCol w:w="794"/>
      </w:tblGrid>
      <w:tr>
        <w:trPr>
          <w:trHeight w:val="205" w:hRule="exact"/>
        </w:trPr>
        <w:tc>
          <w:tcPr>
            <w:tcW w:w="2204" w:type="dxa"/>
            <w:tcBorders>
              <w:top w:val="single" w:sz="4" w:space="0" w:color="000000"/>
              <w:left w:val="single" w:sz="4" w:space="0" w:color="000000"/>
              <w:bottom w:val="nil" w:sz="6" w:space="0" w:color="auto"/>
              <w:right w:val="single" w:sz="4" w:space="0" w:color="000000"/>
            </w:tcBorders>
            <w:shd w:val="clear" w:color="auto" w:fill="D2D2D2"/>
          </w:tcPr>
          <w:p>
            <w:pPr/>
          </w:p>
        </w:tc>
        <w:tc>
          <w:tcPr>
            <w:tcW w:w="189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498"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3544"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776"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91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502"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197" w:hRule="exact"/>
        </w:trPr>
        <w:tc>
          <w:tcPr>
            <w:tcW w:w="2204" w:type="dxa"/>
            <w:vMerge w:val="restart"/>
            <w:tcBorders>
              <w:top w:val="nil" w:sz="6" w:space="0" w:color="auto"/>
              <w:left w:val="single" w:sz="4" w:space="0" w:color="000000"/>
              <w:right w:val="single" w:sz="4" w:space="0" w:color="000000"/>
            </w:tcBorders>
            <w:shd w:val="clear" w:color="auto" w:fill="D2D2D2"/>
          </w:tcPr>
          <w:p>
            <w:pPr/>
          </w:p>
        </w:tc>
        <w:tc>
          <w:tcPr>
            <w:tcW w:w="1896" w:type="dxa"/>
            <w:gridSpan w:val="2"/>
            <w:vMerge/>
            <w:tcBorders>
              <w:left w:val="single" w:sz="4" w:space="0" w:color="000000"/>
              <w:bottom w:val="single" w:sz="4" w:space="0" w:color="000000"/>
              <w:right w:val="single" w:sz="4" w:space="0" w:color="000000"/>
            </w:tcBorders>
            <w:shd w:val="clear" w:color="auto" w:fill="D2D2D2"/>
          </w:tcPr>
          <w:p>
            <w:pPr/>
          </w:p>
        </w:tc>
        <w:tc>
          <w:tcPr>
            <w:tcW w:w="3544" w:type="dxa"/>
            <w:gridSpan w:val="5"/>
            <w:vMerge/>
            <w:tcBorders>
              <w:left w:val="single" w:sz="4" w:space="0" w:color="000000"/>
              <w:bottom w:val="single" w:sz="4" w:space="0" w:color="000000"/>
              <w:right w:val="single" w:sz="4" w:space="0" w:color="000000"/>
            </w:tcBorders>
            <w:shd w:val="clear" w:color="auto" w:fill="D2D2D2"/>
          </w:tcPr>
          <w:p>
            <w:pPr/>
          </w:p>
        </w:tc>
        <w:tc>
          <w:tcPr>
            <w:tcW w:w="1918" w:type="dxa"/>
            <w:gridSpan w:val="2"/>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2204" w:type="dxa"/>
            <w:vMerge/>
            <w:tcBorders>
              <w:left w:val="single" w:sz="4" w:space="0" w:color="000000"/>
              <w:bottom w:val="nil" w:sz="6" w:space="0" w:color="auto"/>
              <w:right w:val="single" w:sz="4" w:space="0" w:color="000000"/>
            </w:tcBorders>
            <w:shd w:val="clear" w:color="auto" w:fill="D2D2D2"/>
          </w:tcPr>
          <w:p>
            <w:pPr/>
          </w:p>
        </w:tc>
        <w:tc>
          <w:tcPr>
            <w:tcW w:w="104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343"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39"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5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59"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55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92"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10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46"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64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3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6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12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7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11"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206" w:hRule="exact"/>
        </w:trPr>
        <w:tc>
          <w:tcPr>
            <w:tcW w:w="2204" w:type="dxa"/>
            <w:tcBorders>
              <w:top w:val="nil" w:sz="6" w:space="0" w:color="auto"/>
              <w:left w:val="single" w:sz="4" w:space="0" w:color="000000"/>
              <w:bottom w:val="single" w:sz="4" w:space="0" w:color="000000"/>
              <w:right w:val="single" w:sz="4" w:space="0" w:color="000000"/>
            </w:tcBorders>
            <w:shd w:val="clear" w:color="auto" w:fill="D2D2D2"/>
          </w:tcPr>
          <w:p>
            <w:pPr/>
          </w:p>
        </w:tc>
        <w:tc>
          <w:tcPr>
            <w:tcW w:w="1046" w:type="dxa"/>
            <w:vMerge/>
            <w:tcBorders>
              <w:left w:val="single" w:sz="4" w:space="0" w:color="000000"/>
              <w:bottom w:val="single" w:sz="4" w:space="0" w:color="000000"/>
              <w:right w:val="single" w:sz="4" w:space="0" w:color="000000"/>
            </w:tcBorders>
            <w:shd w:val="clear" w:color="auto" w:fill="D2D2D2"/>
          </w:tcPr>
          <w:p>
            <w:pPr/>
          </w:p>
        </w:tc>
        <w:tc>
          <w:tcPr>
            <w:tcW w:w="850" w:type="dxa"/>
            <w:vMerge/>
            <w:tcBorders>
              <w:left w:val="single" w:sz="4" w:space="0" w:color="000000"/>
              <w:bottom w:val="single" w:sz="4" w:space="0" w:color="000000"/>
              <w:right w:val="single" w:sz="4" w:space="0" w:color="000000"/>
            </w:tcBorders>
            <w:shd w:val="clear" w:color="auto" w:fill="D2D2D2"/>
          </w:tcPr>
          <w:p>
            <w:pPr/>
          </w:p>
        </w:tc>
        <w:tc>
          <w:tcPr>
            <w:tcW w:w="851" w:type="dxa"/>
            <w:vMerge/>
            <w:tcBorders>
              <w:left w:val="single" w:sz="4" w:space="0" w:color="000000"/>
              <w:bottom w:val="single" w:sz="4" w:space="0" w:color="000000"/>
              <w:right w:val="single" w:sz="4" w:space="0" w:color="000000"/>
            </w:tcBorders>
            <w:shd w:val="clear" w:color="auto" w:fill="D2D2D2"/>
          </w:tcPr>
          <w:p>
            <w:pPr/>
          </w:p>
        </w:tc>
        <w:tc>
          <w:tcPr>
            <w:tcW w:w="556" w:type="dxa"/>
            <w:vMerge/>
            <w:tcBorders>
              <w:left w:val="single" w:sz="4" w:space="0" w:color="000000"/>
              <w:bottom w:val="single" w:sz="4" w:space="0" w:color="000000"/>
              <w:right w:val="single" w:sz="4" w:space="0" w:color="000000"/>
            </w:tcBorders>
            <w:shd w:val="clear" w:color="auto" w:fill="D2D2D2"/>
          </w:tcPr>
          <w:p>
            <w:pPr/>
          </w:p>
        </w:tc>
        <w:tc>
          <w:tcPr>
            <w:tcW w:w="1003" w:type="dxa"/>
            <w:vMerge/>
            <w:tcBorders>
              <w:left w:val="single" w:sz="4" w:space="0" w:color="000000"/>
              <w:bottom w:val="single" w:sz="4" w:space="0" w:color="000000"/>
              <w:right w:val="single" w:sz="4" w:space="0" w:color="000000"/>
            </w:tcBorders>
            <w:shd w:val="clear" w:color="auto" w:fill="D2D2D2"/>
          </w:tcPr>
          <w:p>
            <w:pPr/>
          </w:p>
        </w:tc>
        <w:tc>
          <w:tcPr>
            <w:tcW w:w="641" w:type="dxa"/>
            <w:vMerge/>
            <w:tcBorders>
              <w:left w:val="single" w:sz="4" w:space="0" w:color="000000"/>
              <w:bottom w:val="single" w:sz="4" w:space="0" w:color="000000"/>
              <w:right w:val="single" w:sz="4" w:space="0" w:color="000000"/>
            </w:tcBorders>
            <w:shd w:val="clear" w:color="auto" w:fill="D2D2D2"/>
          </w:tcPr>
          <w:p>
            <w:pPr/>
          </w:p>
        </w:tc>
        <w:tc>
          <w:tcPr>
            <w:tcW w:w="493" w:type="dxa"/>
            <w:vMerge/>
            <w:tcBorders>
              <w:left w:val="single" w:sz="4" w:space="0" w:color="000000"/>
              <w:bottom w:val="single" w:sz="4" w:space="0" w:color="000000"/>
              <w:right w:val="single" w:sz="4" w:space="0" w:color="000000"/>
            </w:tcBorders>
            <w:shd w:val="clear" w:color="auto" w:fill="D2D2D2"/>
          </w:tcPr>
          <w:p>
            <w:pPr/>
          </w:p>
        </w:tc>
        <w:tc>
          <w:tcPr>
            <w:tcW w:w="1123" w:type="dxa"/>
            <w:vMerge/>
            <w:tcBorders>
              <w:left w:val="single" w:sz="4" w:space="0" w:color="000000"/>
              <w:bottom w:val="single" w:sz="4" w:space="0" w:color="000000"/>
              <w:right w:val="single" w:sz="4" w:space="0" w:color="000000"/>
            </w:tcBorders>
            <w:shd w:val="clear" w:color="auto" w:fill="D2D2D2"/>
          </w:tcPr>
          <w:p>
            <w:pPr/>
          </w:p>
        </w:tc>
        <w:tc>
          <w:tcPr>
            <w:tcW w:w="79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2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04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158,004,000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56.43%</w:t>
            </w:r>
          </w:p>
        </w:tc>
        <w:tc>
          <w:tcPr>
            <w:tcW w:w="851" w:type="dxa"/>
            <w:tcBorders>
              <w:top w:val="single" w:sz="4" w:space="0" w:color="000000"/>
              <w:left w:val="single" w:sz="4" w:space="0" w:color="000000"/>
              <w:bottom w:val="single" w:sz="4" w:space="0" w:color="000000"/>
              <w:right w:val="single" w:sz="4" w:space="0" w:color="000000"/>
            </w:tcBorders>
          </w:tcPr>
          <w:p>
            <w:pPr/>
          </w:p>
        </w:tc>
        <w:tc>
          <w:tcPr>
            <w:tcW w:w="55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158,004,000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56.43%</w:t>
            </w:r>
          </w:p>
        </w:tc>
      </w:tr>
      <w:tr>
        <w:trPr>
          <w:trHeight w:val="402" w:hRule="exact"/>
        </w:trPr>
        <w:tc>
          <w:tcPr>
            <w:tcW w:w="22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04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17,955,000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6.41%</w:t>
            </w:r>
          </w:p>
        </w:tc>
        <w:tc>
          <w:tcPr>
            <w:tcW w:w="851" w:type="dxa"/>
            <w:tcBorders>
              <w:top w:val="single" w:sz="4" w:space="0" w:color="000000"/>
              <w:left w:val="single" w:sz="4" w:space="0" w:color="000000"/>
              <w:bottom w:val="single" w:sz="4" w:space="0" w:color="000000"/>
              <w:right w:val="single" w:sz="4" w:space="0" w:color="000000"/>
            </w:tcBorders>
          </w:tcPr>
          <w:p>
            <w:pPr/>
          </w:p>
        </w:tc>
        <w:tc>
          <w:tcPr>
            <w:tcW w:w="55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17,955,000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6.41%</w:t>
            </w:r>
          </w:p>
        </w:tc>
      </w:tr>
      <w:tr>
        <w:trPr>
          <w:trHeight w:val="402" w:hRule="exact"/>
        </w:trPr>
        <w:tc>
          <w:tcPr>
            <w:tcW w:w="22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104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17,955,000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6.41%</w:t>
            </w:r>
          </w:p>
        </w:tc>
        <w:tc>
          <w:tcPr>
            <w:tcW w:w="851" w:type="dxa"/>
            <w:tcBorders>
              <w:top w:val="single" w:sz="4" w:space="0" w:color="000000"/>
              <w:left w:val="single" w:sz="4" w:space="0" w:color="000000"/>
              <w:bottom w:val="single" w:sz="4" w:space="0" w:color="000000"/>
              <w:right w:val="single" w:sz="4" w:space="0" w:color="000000"/>
            </w:tcBorders>
          </w:tcPr>
          <w:p>
            <w:pPr/>
          </w:p>
        </w:tc>
        <w:tc>
          <w:tcPr>
            <w:tcW w:w="55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17,955,000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6.41%</w:t>
            </w:r>
          </w:p>
        </w:tc>
      </w:tr>
      <w:tr>
        <w:trPr>
          <w:trHeight w:val="402" w:hRule="exact"/>
        </w:trPr>
        <w:tc>
          <w:tcPr>
            <w:tcW w:w="22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104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140,049,000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50.02%</w:t>
            </w:r>
          </w:p>
        </w:tc>
        <w:tc>
          <w:tcPr>
            <w:tcW w:w="851" w:type="dxa"/>
            <w:tcBorders>
              <w:top w:val="single" w:sz="4" w:space="0" w:color="000000"/>
              <w:left w:val="single" w:sz="4" w:space="0" w:color="000000"/>
              <w:bottom w:val="single" w:sz="4" w:space="0" w:color="000000"/>
              <w:right w:val="single" w:sz="4" w:space="0" w:color="000000"/>
            </w:tcBorders>
          </w:tcPr>
          <w:p>
            <w:pPr/>
          </w:p>
        </w:tc>
        <w:tc>
          <w:tcPr>
            <w:tcW w:w="55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140,049,000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50.02%</w:t>
            </w:r>
          </w:p>
        </w:tc>
      </w:tr>
      <w:tr>
        <w:trPr>
          <w:trHeight w:val="402" w:hRule="exact"/>
        </w:trPr>
        <w:tc>
          <w:tcPr>
            <w:tcW w:w="22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104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140,049,000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50.02%</w:t>
            </w:r>
          </w:p>
        </w:tc>
        <w:tc>
          <w:tcPr>
            <w:tcW w:w="851" w:type="dxa"/>
            <w:tcBorders>
              <w:top w:val="single" w:sz="4" w:space="0" w:color="000000"/>
              <w:left w:val="single" w:sz="4" w:space="0" w:color="000000"/>
              <w:bottom w:val="single" w:sz="4" w:space="0" w:color="000000"/>
              <w:right w:val="single" w:sz="4" w:space="0" w:color="000000"/>
            </w:tcBorders>
          </w:tcPr>
          <w:p>
            <w:pPr/>
          </w:p>
        </w:tc>
        <w:tc>
          <w:tcPr>
            <w:tcW w:w="55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140,049,000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50.02%</w:t>
            </w:r>
          </w:p>
        </w:tc>
      </w:tr>
      <w:tr>
        <w:trPr>
          <w:trHeight w:val="402" w:hRule="exact"/>
        </w:trPr>
        <w:tc>
          <w:tcPr>
            <w:tcW w:w="22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04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121,996,000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43.57%</w:t>
            </w:r>
          </w:p>
        </w:tc>
        <w:tc>
          <w:tcPr>
            <w:tcW w:w="851" w:type="dxa"/>
            <w:tcBorders>
              <w:top w:val="single" w:sz="4" w:space="0" w:color="000000"/>
              <w:left w:val="single" w:sz="4" w:space="0" w:color="000000"/>
              <w:bottom w:val="single" w:sz="4" w:space="0" w:color="000000"/>
              <w:right w:val="single" w:sz="4" w:space="0" w:color="000000"/>
            </w:tcBorders>
          </w:tcPr>
          <w:p>
            <w:pPr/>
          </w:p>
        </w:tc>
        <w:tc>
          <w:tcPr>
            <w:tcW w:w="55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121,996,000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43.57%</w:t>
            </w:r>
          </w:p>
        </w:tc>
      </w:tr>
      <w:tr>
        <w:trPr>
          <w:trHeight w:val="402" w:hRule="exact"/>
        </w:trPr>
        <w:tc>
          <w:tcPr>
            <w:tcW w:w="22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04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121,996,000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43.57%</w:t>
            </w:r>
          </w:p>
        </w:tc>
        <w:tc>
          <w:tcPr>
            <w:tcW w:w="851" w:type="dxa"/>
            <w:tcBorders>
              <w:top w:val="single" w:sz="4" w:space="0" w:color="000000"/>
              <w:left w:val="single" w:sz="4" w:space="0" w:color="000000"/>
              <w:bottom w:val="single" w:sz="4" w:space="0" w:color="000000"/>
              <w:right w:val="single" w:sz="4" w:space="0" w:color="000000"/>
            </w:tcBorders>
          </w:tcPr>
          <w:p>
            <w:pPr/>
          </w:p>
        </w:tc>
        <w:tc>
          <w:tcPr>
            <w:tcW w:w="55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121,996,000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43.57%</w:t>
            </w:r>
          </w:p>
        </w:tc>
      </w:tr>
      <w:tr>
        <w:trPr>
          <w:trHeight w:val="402" w:hRule="exact"/>
        </w:trPr>
        <w:tc>
          <w:tcPr>
            <w:tcW w:w="22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04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280,000,000</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100.00%</w:t>
            </w:r>
          </w:p>
        </w:tc>
        <w:tc>
          <w:tcPr>
            <w:tcW w:w="851" w:type="dxa"/>
            <w:tcBorders>
              <w:top w:val="single" w:sz="4" w:space="0" w:color="000000"/>
              <w:left w:val="single" w:sz="4" w:space="0" w:color="000000"/>
              <w:bottom w:val="single" w:sz="4" w:space="0" w:color="000000"/>
              <w:right w:val="single" w:sz="4" w:space="0" w:color="000000"/>
            </w:tcBorders>
          </w:tcPr>
          <w:p>
            <w:pPr/>
          </w:p>
        </w:tc>
        <w:tc>
          <w:tcPr>
            <w:tcW w:w="556" w:type="dxa"/>
            <w:tcBorders>
              <w:top w:val="single" w:sz="4" w:space="0" w:color="000000"/>
              <w:left w:val="single" w:sz="4" w:space="0" w:color="000000"/>
              <w:bottom w:val="single" w:sz="4" w:space="0" w:color="000000"/>
              <w:right w:val="single" w:sz="4" w:space="0" w:color="000000"/>
            </w:tcBorders>
          </w:tcPr>
          <w:p>
            <w:pPr/>
          </w:p>
        </w:tc>
        <w:tc>
          <w:tcPr>
            <w:tcW w:w="1003" w:type="dxa"/>
            <w:tcBorders>
              <w:top w:val="single" w:sz="4" w:space="0" w:color="000000"/>
              <w:left w:val="single" w:sz="4" w:space="0" w:color="000000"/>
              <w:bottom w:val="single" w:sz="4" w:space="0" w:color="000000"/>
              <w:right w:val="single" w:sz="4" w:space="0" w:color="000000"/>
            </w:tcBorders>
          </w:tcPr>
          <w:p>
            <w:pPr/>
          </w:p>
        </w:tc>
        <w:tc>
          <w:tcPr>
            <w:tcW w:w="641" w:type="dxa"/>
            <w:tcBorders>
              <w:top w:val="single" w:sz="4" w:space="0" w:color="000000"/>
              <w:left w:val="single" w:sz="4" w:space="0" w:color="000000"/>
              <w:bottom w:val="single" w:sz="4" w:space="0" w:color="000000"/>
              <w:right w:val="single" w:sz="4" w:space="0" w:color="000000"/>
            </w:tcBorders>
          </w:tcPr>
          <w:p>
            <w:pPr/>
          </w:p>
        </w:tc>
        <w:tc>
          <w:tcPr>
            <w:tcW w:w="493"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280,000,000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w:t>
            </w:r>
          </w:p>
        </w:tc>
      </w:tr>
    </w:tbl>
    <w:p>
      <w:pPr>
        <w:pStyle w:val="BodyText"/>
        <w:spacing w:line="240" w:lineRule="auto" w:before="51"/>
        <w:ind w:right="1134"/>
        <w:jc w:val="left"/>
      </w:pPr>
      <w:r>
        <w:rPr/>
        <w:t>股份变动的原因</w:t>
      </w:r>
    </w:p>
    <w:p>
      <w:pPr>
        <w:pStyle w:val="BodyText"/>
        <w:spacing w:line="338" w:lineRule="auto" w:before="117"/>
        <w:ind w:right="91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股份变动的批准情况</w:t>
      </w:r>
    </w:p>
    <w:p>
      <w:pPr>
        <w:pStyle w:val="BodyText"/>
        <w:spacing w:line="340" w:lineRule="auto" w:before="42"/>
        <w:ind w:right="913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股份变动的过户情况</w:t>
      </w:r>
    </w:p>
    <w:p>
      <w:pPr>
        <w:pStyle w:val="BodyText"/>
        <w:spacing w:line="338" w:lineRule="auto" w:before="40"/>
        <w:ind w:right="877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股份回购的实施进展情况</w:t>
      </w:r>
    </w:p>
    <w:p>
      <w:pPr>
        <w:pStyle w:val="BodyText"/>
        <w:spacing w:line="338" w:lineRule="auto" w:before="43"/>
        <w:ind w:right="697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采用集中竞价方式减持回购股份的实施进展情况</w:t>
      </w:r>
    </w:p>
    <w:p>
      <w:pPr>
        <w:pStyle w:val="BodyText"/>
        <w:spacing w:line="340" w:lineRule="auto" w:before="42"/>
        <w:ind w:right="13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股份变动对最近一年和最近一期基本每股收益和稀释每股收益、归属于公司普通股股东的每股净资产等财务指标的影响</w:t>
      </w:r>
    </w:p>
    <w:p>
      <w:pPr>
        <w:pStyle w:val="BodyText"/>
        <w:spacing w:line="338" w:lineRule="auto" w:before="40"/>
        <w:ind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公司认为必要或证券监管机构要求披露的其他内容</w:t>
      </w:r>
    </w:p>
    <w:p>
      <w:pPr>
        <w:pStyle w:val="BodyText"/>
        <w:spacing w:line="240" w:lineRule="auto" w:before="43"/>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right="1134"/>
        <w:jc w:val="left"/>
        <w:rPr>
          <w:b w:val="0"/>
          <w:bCs w:val="0"/>
        </w:rPr>
      </w:pPr>
      <w:bookmarkStart w:name="2、限售股份变动情况" w:id="105"/>
      <w:bookmarkEnd w:id="105"/>
      <w:r>
        <w:rPr>
          <w:b w:val="0"/>
          <w:bCs w:val="0"/>
        </w:rPr>
      </w:r>
      <w:r>
        <w:rPr>
          <w:rFonts w:ascii="Times New Roman" w:hAnsi="Times New Roman" w:cs="Times New Roman" w:eastAsia="Times New Roman" w:hint="default"/>
        </w:rPr>
        <w:t>2</w:t>
      </w:r>
      <w:r>
        <w:rPr/>
        <w:t>、限售股份变动情况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1134"/>
        <w:jc w:val="left"/>
        <w:rPr>
          <w:b w:val="0"/>
          <w:bCs w:val="0"/>
        </w:rPr>
      </w:pPr>
      <w:bookmarkStart w:name="二、证券发行与上市情况" w:id="106"/>
      <w:bookmarkEnd w:id="106"/>
      <w:r>
        <w:rPr>
          <w:b w:val="0"/>
          <w:bCs w:val="0"/>
        </w:rPr>
      </w:r>
      <w:r>
        <w:rPr/>
        <w:t>二、证券发行与上市情况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报告期内证券发行（不含优先股）情况" w:id="107"/>
      <w:bookmarkEnd w:id="107"/>
      <w:r>
        <w:rPr>
          <w:b w:val="0"/>
          <w:bCs w:val="0"/>
        </w:rPr>
      </w:r>
      <w:r>
        <w:rPr>
          <w:rFonts w:ascii="Times New Roman" w:hAnsi="Times New Roman" w:cs="Times New Roman" w:eastAsia="Times New Roman" w:hint="default"/>
        </w:rPr>
        <w:t>1</w:t>
      </w:r>
      <w:r>
        <w:rPr/>
        <w:t>、报告期内证券发行（不含优先股）情况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right="1134"/>
        <w:jc w:val="left"/>
        <w:rPr>
          <w:b w:val="0"/>
          <w:bCs w:val="0"/>
        </w:rPr>
      </w:pPr>
      <w:bookmarkStart w:name="2、公司股份总数及股东结构的变动、公司资产和负债结构的变动情况说明" w:id="108"/>
      <w:bookmarkEnd w:id="108"/>
      <w:r>
        <w:rPr>
          <w:b w:val="0"/>
          <w:bCs w:val="0"/>
        </w:rPr>
      </w: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3"/>
        <w:spacing w:line="240" w:lineRule="auto"/>
        <w:ind w:right="1134"/>
        <w:jc w:val="left"/>
        <w:rPr>
          <w:b w:val="0"/>
          <w:bCs w:val="0"/>
        </w:rPr>
      </w:pPr>
      <w:bookmarkStart w:name="3、现存的内部职工股情况" w:id="109"/>
      <w:bookmarkEnd w:id="109"/>
      <w:r>
        <w:rPr>
          <w:b w:val="0"/>
          <w:bCs w:val="0"/>
        </w:rPr>
      </w:r>
      <w:r>
        <w:rPr>
          <w:rFonts w:ascii="Times New Roman" w:hAnsi="Times New Roman" w:cs="Times New Roman" w:eastAsia="Times New Roman" w:hint="default"/>
        </w:rPr>
        <w:t>3</w:t>
      </w:r>
      <w:r>
        <w:rPr/>
        <w:t>、现存的内部职工股情况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24"/>
          <w:szCs w:val="24"/>
        </w:rPr>
      </w:pPr>
    </w:p>
    <w:p>
      <w:pPr>
        <w:pStyle w:val="Heading2"/>
        <w:spacing w:line="240" w:lineRule="auto"/>
        <w:ind w:right="1134"/>
        <w:jc w:val="left"/>
        <w:rPr>
          <w:b w:val="0"/>
          <w:bCs w:val="0"/>
        </w:rPr>
      </w:pPr>
      <w:bookmarkStart w:name="三、股东和实际控制人情况" w:id="110"/>
      <w:bookmarkEnd w:id="110"/>
      <w:r>
        <w:rPr>
          <w:b w:val="0"/>
          <w:bCs w:val="0"/>
        </w:rPr>
      </w:r>
      <w:r>
        <w:rPr/>
        <w:t>三、股东和实际控制人情况</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公司股东数量及持股情况" w:id="111"/>
      <w:bookmarkEnd w:id="111"/>
      <w:r>
        <w:rPr>
          <w:b w:val="0"/>
          <w:bCs w:val="0"/>
        </w:rPr>
      </w:r>
      <w:r>
        <w:rPr>
          <w:rFonts w:ascii="Times New Roman" w:hAnsi="Times New Roman" w:cs="Times New Roman" w:eastAsia="Times New Roman" w:hint="default"/>
        </w:rPr>
        <w:t>1</w:t>
      </w:r>
      <w:r>
        <w:rPr/>
        <w:t>、公司股东数量及持股情况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单位：股</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335"/>
        <w:gridCol w:w="650"/>
        <w:gridCol w:w="157"/>
        <w:gridCol w:w="739"/>
        <w:gridCol w:w="744"/>
        <w:gridCol w:w="1054"/>
        <w:gridCol w:w="121"/>
        <w:gridCol w:w="589"/>
        <w:gridCol w:w="987"/>
        <w:gridCol w:w="1004"/>
        <w:gridCol w:w="1270"/>
        <w:gridCol w:w="413"/>
        <w:gridCol w:w="507"/>
      </w:tblGrid>
      <w:tr>
        <w:trPr>
          <w:trHeight w:val="161" w:hRule="exact"/>
        </w:trPr>
        <w:tc>
          <w:tcPr>
            <w:tcW w:w="1335" w:type="dxa"/>
            <w:vMerge w:val="restart"/>
            <w:tcBorders>
              <w:top w:val="single" w:sz="4" w:space="0" w:color="000000"/>
              <w:left w:val="single" w:sz="4" w:space="0" w:color="000000"/>
              <w:right w:val="single" w:sz="4" w:space="0" w:color="000000"/>
            </w:tcBorders>
            <w:shd w:val="clear" w:color="auto" w:fill="D2D2D2"/>
          </w:tcPr>
          <w:p>
            <w:pPr/>
          </w:p>
        </w:tc>
        <w:tc>
          <w:tcPr>
            <w:tcW w:w="807" w:type="dxa"/>
            <w:gridSpan w:val="2"/>
            <w:vMerge w:val="restart"/>
            <w:tcBorders>
              <w:top w:val="single" w:sz="4" w:space="0" w:color="000000"/>
              <w:left w:val="single" w:sz="9"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62" w:right="0"/>
              <w:jc w:val="left"/>
              <w:rPr>
                <w:rFonts w:ascii="Times New Roman" w:hAnsi="Times New Roman" w:cs="Times New Roman" w:eastAsia="Times New Roman" w:hint="default"/>
                <w:sz w:val="18"/>
                <w:szCs w:val="18"/>
              </w:rPr>
            </w:pPr>
            <w:r>
              <w:rPr>
                <w:rFonts w:ascii="Times New Roman"/>
                <w:sz w:val="18"/>
              </w:rPr>
              <w:t>17,810</w:t>
            </w:r>
          </w:p>
        </w:tc>
        <w:tc>
          <w:tcPr>
            <w:tcW w:w="1483"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1174" w:type="dxa"/>
            <w:gridSpan w:val="2"/>
            <w:vMerge w:val="restart"/>
            <w:tcBorders>
              <w:top w:val="single" w:sz="4" w:space="0" w:color="000000"/>
              <w:left w:val="single" w:sz="9"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629" w:right="0"/>
              <w:jc w:val="left"/>
              <w:rPr>
                <w:rFonts w:ascii="Times New Roman" w:hAnsi="Times New Roman" w:cs="Times New Roman" w:eastAsia="Times New Roman" w:hint="default"/>
                <w:sz w:val="18"/>
                <w:szCs w:val="18"/>
              </w:rPr>
            </w:pPr>
            <w:r>
              <w:rPr>
                <w:rFonts w:ascii="Times New Roman"/>
                <w:sz w:val="18"/>
              </w:rPr>
              <w:t>15,545</w:t>
            </w:r>
          </w:p>
        </w:tc>
        <w:tc>
          <w:tcPr>
            <w:tcW w:w="157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1" w:right="22"/>
              <w:jc w:val="left"/>
              <w:rPr>
                <w:rFonts w:ascii="宋体" w:hAnsi="宋体" w:cs="宋体" w:eastAsia="宋体" w:hint="default"/>
                <w:sz w:val="18"/>
                <w:szCs w:val="18"/>
              </w:rPr>
            </w:pPr>
            <w:r>
              <w:rPr>
                <w:rFonts w:ascii="宋体" w:hAnsi="宋体" w:cs="宋体" w:eastAsia="宋体" w:hint="default"/>
                <w:sz w:val="18"/>
                <w:szCs w:val="18"/>
              </w:rPr>
              <w:t>报告期末表决权恢 复的优先股股东总 </w:t>
            </w:r>
            <w:r>
              <w:rPr>
                <w:rFonts w:ascii="宋体" w:hAnsi="宋体" w:cs="宋体" w:eastAsia="宋体" w:hint="default"/>
                <w:spacing w:val="-10"/>
                <w:sz w:val="18"/>
                <w:szCs w:val="18"/>
              </w:rPr>
              <w:t>数（如有）（参见注</w:t>
            </w:r>
            <w:r>
              <w:rPr>
                <w:rFonts w:ascii="宋体" w:hAnsi="宋体" w:cs="宋体" w:eastAsia="宋体" w:hint="default"/>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1004" w:type="dxa"/>
            <w:vMerge w:val="restart"/>
            <w:tcBorders>
              <w:top w:val="single" w:sz="4" w:space="0" w:color="000000"/>
              <w:left w:val="single" w:sz="13" w:space="0" w:color="D2D2D2"/>
              <w:right w:val="single" w:sz="9" w:space="0" w:color="D2D2D2"/>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w:t>
            </w:r>
          </w:p>
        </w:tc>
        <w:tc>
          <w:tcPr>
            <w:tcW w:w="1683"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7" w:right="34"/>
              <w:jc w:val="both"/>
              <w:rPr>
                <w:rFonts w:ascii="宋体" w:hAnsi="宋体" w:cs="宋体" w:eastAsia="宋体" w:hint="default"/>
                <w:sz w:val="18"/>
                <w:szCs w:val="18"/>
              </w:rPr>
            </w:pPr>
            <w:r>
              <w:rPr>
                <w:rFonts w:ascii="宋体" w:hAnsi="宋体" w:cs="宋体" w:eastAsia="宋体" w:hint="default"/>
                <w:sz w:val="18"/>
                <w:szCs w:val="18"/>
              </w:rPr>
              <w:t>年度报告披露日前上 一月末表决权恢复的 优先股股东总数（如 </w:t>
            </w:r>
            <w:r>
              <w:rPr>
                <w:rFonts w:ascii="宋体" w:hAnsi="宋体" w:cs="宋体" w:eastAsia="宋体" w:hint="default"/>
                <w:spacing w:val="-15"/>
                <w:sz w:val="18"/>
                <w:szCs w:val="18"/>
              </w:rPr>
              <w:t>有）（参见注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507" w:type="dxa"/>
            <w:vMerge w:val="restart"/>
            <w:tcBorders>
              <w:top w:val="single" w:sz="4" w:space="0" w:color="000000"/>
              <w:left w:val="single" w:sz="13" w:space="0" w:color="D2D2D2"/>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56" w:hRule="exact"/>
        </w:trPr>
        <w:tc>
          <w:tcPr>
            <w:tcW w:w="1335" w:type="dxa"/>
            <w:vMerge/>
            <w:tcBorders>
              <w:left w:val="single" w:sz="4" w:space="0" w:color="000000"/>
              <w:bottom w:val="nil" w:sz="6" w:space="0" w:color="auto"/>
              <w:right w:val="single" w:sz="4" w:space="0" w:color="000000"/>
            </w:tcBorders>
            <w:shd w:val="clear" w:color="auto" w:fill="D2D2D2"/>
          </w:tcPr>
          <w:p>
            <w:pPr/>
          </w:p>
        </w:tc>
        <w:tc>
          <w:tcPr>
            <w:tcW w:w="807" w:type="dxa"/>
            <w:gridSpan w:val="2"/>
            <w:vMerge/>
            <w:tcBorders>
              <w:left w:val="single" w:sz="9" w:space="0" w:color="D2D2D2"/>
              <w:right w:val="single" w:sz="9" w:space="0" w:color="D2D2D2"/>
            </w:tcBorders>
          </w:tcPr>
          <w:p>
            <w:pPr/>
          </w:p>
        </w:tc>
        <w:tc>
          <w:tcPr>
            <w:tcW w:w="1483"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1" w:right="199"/>
              <w:jc w:val="both"/>
              <w:rPr>
                <w:rFonts w:ascii="宋体" w:hAnsi="宋体" w:cs="宋体" w:eastAsia="宋体" w:hint="default"/>
                <w:sz w:val="18"/>
                <w:szCs w:val="18"/>
              </w:rPr>
            </w:pPr>
            <w:r>
              <w:rPr>
                <w:rFonts w:ascii="宋体" w:hAnsi="宋体" w:cs="宋体" w:eastAsia="宋体" w:hint="default"/>
                <w:sz w:val="18"/>
                <w:szCs w:val="18"/>
              </w:rPr>
              <w:t>年度报告披露日 前上一月末普通 股股东总数</w:t>
            </w:r>
          </w:p>
        </w:tc>
        <w:tc>
          <w:tcPr>
            <w:tcW w:w="1174" w:type="dxa"/>
            <w:gridSpan w:val="2"/>
            <w:vMerge/>
            <w:tcBorders>
              <w:left w:val="single" w:sz="9" w:space="0" w:color="D2D2D2"/>
              <w:right w:val="single" w:sz="9" w:space="0" w:color="D2D2D2"/>
            </w:tcBorders>
          </w:tcPr>
          <w:p>
            <w:pPr/>
          </w:p>
        </w:tc>
        <w:tc>
          <w:tcPr>
            <w:tcW w:w="1575" w:type="dxa"/>
            <w:gridSpan w:val="2"/>
            <w:vMerge/>
            <w:tcBorders>
              <w:left w:val="single" w:sz="4" w:space="0" w:color="000000"/>
              <w:right w:val="single" w:sz="4" w:space="0" w:color="000000"/>
            </w:tcBorders>
            <w:shd w:val="clear" w:color="auto" w:fill="D2D2D2"/>
          </w:tcPr>
          <w:p>
            <w:pPr/>
          </w:p>
        </w:tc>
        <w:tc>
          <w:tcPr>
            <w:tcW w:w="1004" w:type="dxa"/>
            <w:vMerge/>
            <w:tcBorders>
              <w:left w:val="single" w:sz="13" w:space="0" w:color="D2D2D2"/>
              <w:right w:val="single" w:sz="9" w:space="0" w:color="D2D2D2"/>
            </w:tcBorders>
          </w:tcPr>
          <w:p>
            <w:pPr/>
          </w:p>
        </w:tc>
        <w:tc>
          <w:tcPr>
            <w:tcW w:w="1683" w:type="dxa"/>
            <w:gridSpan w:val="2"/>
            <w:vMerge/>
            <w:tcBorders>
              <w:left w:val="single" w:sz="4" w:space="0" w:color="000000"/>
              <w:right w:val="single" w:sz="4" w:space="0" w:color="000000"/>
            </w:tcBorders>
            <w:shd w:val="clear" w:color="auto" w:fill="D2D2D2"/>
          </w:tcPr>
          <w:p>
            <w:pPr/>
          </w:p>
        </w:tc>
        <w:tc>
          <w:tcPr>
            <w:tcW w:w="507" w:type="dxa"/>
            <w:vMerge/>
            <w:tcBorders>
              <w:left w:val="single" w:sz="13" w:space="0" w:color="D2D2D2"/>
              <w:right w:val="single" w:sz="4" w:space="0" w:color="000000"/>
            </w:tcBorders>
          </w:tcPr>
          <w:p>
            <w:pPr/>
          </w:p>
        </w:tc>
      </w:tr>
      <w:tr>
        <w:trPr>
          <w:trHeight w:val="704" w:hRule="exact"/>
        </w:trPr>
        <w:tc>
          <w:tcPr>
            <w:tcW w:w="13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316" w:lineRule="auto" w:before="51"/>
              <w:ind w:left="22" w:right="40"/>
              <w:jc w:val="left"/>
              <w:rPr>
                <w:rFonts w:ascii="宋体" w:hAnsi="宋体" w:cs="宋体" w:eastAsia="宋体" w:hint="default"/>
                <w:sz w:val="18"/>
                <w:szCs w:val="18"/>
              </w:rPr>
            </w:pPr>
            <w:r>
              <w:rPr>
                <w:rFonts w:ascii="宋体" w:hAnsi="宋体" w:cs="宋体" w:eastAsia="宋体" w:hint="default"/>
                <w:sz w:val="18"/>
                <w:szCs w:val="18"/>
              </w:rPr>
              <w:t>报告期末普通股 股东总数</w:t>
            </w:r>
          </w:p>
        </w:tc>
        <w:tc>
          <w:tcPr>
            <w:tcW w:w="807" w:type="dxa"/>
            <w:gridSpan w:val="2"/>
            <w:vMerge/>
            <w:tcBorders>
              <w:left w:val="single" w:sz="9" w:space="0" w:color="D2D2D2"/>
              <w:right w:val="single" w:sz="9" w:space="0" w:color="D2D2D2"/>
            </w:tcBorders>
          </w:tcPr>
          <w:p>
            <w:pPr/>
          </w:p>
        </w:tc>
        <w:tc>
          <w:tcPr>
            <w:tcW w:w="1483" w:type="dxa"/>
            <w:gridSpan w:val="2"/>
            <w:vMerge/>
            <w:tcBorders>
              <w:left w:val="single" w:sz="4" w:space="0" w:color="000000"/>
              <w:right w:val="single" w:sz="4" w:space="0" w:color="000000"/>
            </w:tcBorders>
            <w:shd w:val="clear" w:color="auto" w:fill="D2D2D2"/>
          </w:tcPr>
          <w:p>
            <w:pPr/>
          </w:p>
        </w:tc>
        <w:tc>
          <w:tcPr>
            <w:tcW w:w="1174" w:type="dxa"/>
            <w:gridSpan w:val="2"/>
            <w:vMerge/>
            <w:tcBorders>
              <w:left w:val="single" w:sz="9" w:space="0" w:color="D2D2D2"/>
              <w:right w:val="single" w:sz="9" w:space="0" w:color="D2D2D2"/>
            </w:tcBorders>
          </w:tcPr>
          <w:p>
            <w:pPr/>
          </w:p>
        </w:tc>
        <w:tc>
          <w:tcPr>
            <w:tcW w:w="1575" w:type="dxa"/>
            <w:gridSpan w:val="2"/>
            <w:vMerge/>
            <w:tcBorders>
              <w:left w:val="single" w:sz="4" w:space="0" w:color="000000"/>
              <w:right w:val="single" w:sz="4" w:space="0" w:color="000000"/>
            </w:tcBorders>
            <w:shd w:val="clear" w:color="auto" w:fill="D2D2D2"/>
          </w:tcPr>
          <w:p>
            <w:pPr/>
          </w:p>
        </w:tc>
        <w:tc>
          <w:tcPr>
            <w:tcW w:w="1004" w:type="dxa"/>
            <w:vMerge/>
            <w:tcBorders>
              <w:left w:val="single" w:sz="13" w:space="0" w:color="D2D2D2"/>
              <w:right w:val="single" w:sz="9" w:space="0" w:color="D2D2D2"/>
            </w:tcBorders>
          </w:tcPr>
          <w:p>
            <w:pPr/>
          </w:p>
        </w:tc>
        <w:tc>
          <w:tcPr>
            <w:tcW w:w="1683" w:type="dxa"/>
            <w:gridSpan w:val="2"/>
            <w:vMerge/>
            <w:tcBorders>
              <w:left w:val="single" w:sz="4" w:space="0" w:color="000000"/>
              <w:right w:val="single" w:sz="4" w:space="0" w:color="000000"/>
            </w:tcBorders>
            <w:shd w:val="clear" w:color="auto" w:fill="D2D2D2"/>
          </w:tcPr>
          <w:p>
            <w:pPr/>
          </w:p>
        </w:tc>
        <w:tc>
          <w:tcPr>
            <w:tcW w:w="507" w:type="dxa"/>
            <w:vMerge/>
            <w:tcBorders>
              <w:left w:val="single" w:sz="13" w:space="0" w:color="D2D2D2"/>
              <w:right w:val="single" w:sz="4" w:space="0" w:color="000000"/>
            </w:tcBorders>
          </w:tcPr>
          <w:p>
            <w:pPr/>
          </w:p>
        </w:tc>
      </w:tr>
      <w:tr>
        <w:trPr>
          <w:trHeight w:val="156" w:hRule="exact"/>
        </w:trPr>
        <w:tc>
          <w:tcPr>
            <w:tcW w:w="1335" w:type="dxa"/>
            <w:vMerge w:val="restart"/>
            <w:tcBorders>
              <w:top w:val="nil" w:sz="6" w:space="0" w:color="auto"/>
              <w:left w:val="single" w:sz="4" w:space="0" w:color="000000"/>
              <w:right w:val="single" w:sz="4" w:space="0" w:color="000000"/>
            </w:tcBorders>
            <w:shd w:val="clear" w:color="auto" w:fill="D2D2D2"/>
          </w:tcPr>
          <w:p>
            <w:pPr/>
          </w:p>
        </w:tc>
        <w:tc>
          <w:tcPr>
            <w:tcW w:w="807" w:type="dxa"/>
            <w:gridSpan w:val="2"/>
            <w:vMerge/>
            <w:tcBorders>
              <w:left w:val="single" w:sz="9" w:space="0" w:color="D2D2D2"/>
              <w:right w:val="single" w:sz="9" w:space="0" w:color="D2D2D2"/>
            </w:tcBorders>
          </w:tcPr>
          <w:p>
            <w:pPr/>
          </w:p>
        </w:tc>
        <w:tc>
          <w:tcPr>
            <w:tcW w:w="1483" w:type="dxa"/>
            <w:gridSpan w:val="2"/>
            <w:vMerge/>
            <w:tcBorders>
              <w:left w:val="single" w:sz="4" w:space="0" w:color="000000"/>
              <w:bottom w:val="nil" w:sz="6" w:space="0" w:color="auto"/>
              <w:right w:val="single" w:sz="4" w:space="0" w:color="000000"/>
            </w:tcBorders>
            <w:shd w:val="clear" w:color="auto" w:fill="D2D2D2"/>
          </w:tcPr>
          <w:p>
            <w:pPr/>
          </w:p>
        </w:tc>
        <w:tc>
          <w:tcPr>
            <w:tcW w:w="1174" w:type="dxa"/>
            <w:gridSpan w:val="2"/>
            <w:vMerge/>
            <w:tcBorders>
              <w:left w:val="single" w:sz="9" w:space="0" w:color="D2D2D2"/>
              <w:right w:val="single" w:sz="9" w:space="0" w:color="D2D2D2"/>
            </w:tcBorders>
          </w:tcPr>
          <w:p>
            <w:pPr/>
          </w:p>
        </w:tc>
        <w:tc>
          <w:tcPr>
            <w:tcW w:w="1575" w:type="dxa"/>
            <w:gridSpan w:val="2"/>
            <w:vMerge/>
            <w:tcBorders>
              <w:left w:val="single" w:sz="4" w:space="0" w:color="000000"/>
              <w:right w:val="single" w:sz="4" w:space="0" w:color="000000"/>
            </w:tcBorders>
            <w:shd w:val="clear" w:color="auto" w:fill="D2D2D2"/>
          </w:tcPr>
          <w:p>
            <w:pPr/>
          </w:p>
        </w:tc>
        <w:tc>
          <w:tcPr>
            <w:tcW w:w="1004" w:type="dxa"/>
            <w:vMerge/>
            <w:tcBorders>
              <w:left w:val="single" w:sz="13" w:space="0" w:color="D2D2D2"/>
              <w:right w:val="single" w:sz="9" w:space="0" w:color="D2D2D2"/>
            </w:tcBorders>
          </w:tcPr>
          <w:p>
            <w:pPr/>
          </w:p>
        </w:tc>
        <w:tc>
          <w:tcPr>
            <w:tcW w:w="1683" w:type="dxa"/>
            <w:gridSpan w:val="2"/>
            <w:vMerge/>
            <w:tcBorders>
              <w:left w:val="single" w:sz="4" w:space="0" w:color="000000"/>
              <w:right w:val="single" w:sz="4" w:space="0" w:color="000000"/>
            </w:tcBorders>
            <w:shd w:val="clear" w:color="auto" w:fill="D2D2D2"/>
          </w:tcPr>
          <w:p>
            <w:pPr/>
          </w:p>
        </w:tc>
        <w:tc>
          <w:tcPr>
            <w:tcW w:w="507" w:type="dxa"/>
            <w:vMerge/>
            <w:tcBorders>
              <w:left w:val="single" w:sz="13" w:space="0" w:color="D2D2D2"/>
              <w:right w:val="single" w:sz="4" w:space="0" w:color="000000"/>
            </w:tcBorders>
          </w:tcPr>
          <w:p>
            <w:pPr/>
          </w:p>
        </w:tc>
      </w:tr>
      <w:tr>
        <w:trPr>
          <w:trHeight w:val="166" w:hRule="exact"/>
        </w:trPr>
        <w:tc>
          <w:tcPr>
            <w:tcW w:w="1335" w:type="dxa"/>
            <w:vMerge/>
            <w:tcBorders>
              <w:left w:val="single" w:sz="4" w:space="0" w:color="000000"/>
              <w:bottom w:val="single" w:sz="4" w:space="0" w:color="000000"/>
              <w:right w:val="single" w:sz="4" w:space="0" w:color="000000"/>
            </w:tcBorders>
            <w:shd w:val="clear" w:color="auto" w:fill="D2D2D2"/>
          </w:tcPr>
          <w:p>
            <w:pPr/>
          </w:p>
        </w:tc>
        <w:tc>
          <w:tcPr>
            <w:tcW w:w="807" w:type="dxa"/>
            <w:gridSpan w:val="2"/>
            <w:vMerge/>
            <w:tcBorders>
              <w:left w:val="single" w:sz="9" w:space="0" w:color="D2D2D2"/>
              <w:bottom w:val="single" w:sz="4" w:space="0" w:color="000000"/>
              <w:right w:val="single" w:sz="9" w:space="0" w:color="D2D2D2"/>
            </w:tcBorders>
          </w:tcPr>
          <w:p>
            <w:pPr/>
          </w:p>
        </w:tc>
        <w:tc>
          <w:tcPr>
            <w:tcW w:w="1483"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1174" w:type="dxa"/>
            <w:gridSpan w:val="2"/>
            <w:vMerge/>
            <w:tcBorders>
              <w:left w:val="single" w:sz="9" w:space="0" w:color="D2D2D2"/>
              <w:bottom w:val="single" w:sz="4" w:space="0" w:color="000000"/>
              <w:right w:val="single" w:sz="9" w:space="0" w:color="D2D2D2"/>
            </w:tcBorders>
          </w:tcPr>
          <w:p>
            <w:pPr/>
          </w:p>
        </w:tc>
        <w:tc>
          <w:tcPr>
            <w:tcW w:w="1575" w:type="dxa"/>
            <w:gridSpan w:val="2"/>
            <w:vMerge/>
            <w:tcBorders>
              <w:left w:val="single" w:sz="4" w:space="0" w:color="000000"/>
              <w:bottom w:val="single" w:sz="4" w:space="0" w:color="000000"/>
              <w:right w:val="single" w:sz="4" w:space="0" w:color="000000"/>
            </w:tcBorders>
            <w:shd w:val="clear" w:color="auto" w:fill="D2D2D2"/>
          </w:tcPr>
          <w:p>
            <w:pPr/>
          </w:p>
        </w:tc>
        <w:tc>
          <w:tcPr>
            <w:tcW w:w="1004" w:type="dxa"/>
            <w:vMerge/>
            <w:tcBorders>
              <w:left w:val="single" w:sz="13" w:space="0" w:color="D2D2D2"/>
              <w:bottom w:val="single" w:sz="4" w:space="0" w:color="000000"/>
              <w:right w:val="single" w:sz="9" w:space="0" w:color="D2D2D2"/>
            </w:tcBorders>
          </w:tcPr>
          <w:p>
            <w:pPr/>
          </w:p>
        </w:tc>
        <w:tc>
          <w:tcPr>
            <w:tcW w:w="1683" w:type="dxa"/>
            <w:gridSpan w:val="2"/>
            <w:vMerge/>
            <w:tcBorders>
              <w:left w:val="single" w:sz="4" w:space="0" w:color="000000"/>
              <w:bottom w:val="single" w:sz="4" w:space="0" w:color="000000"/>
              <w:right w:val="single" w:sz="4" w:space="0" w:color="000000"/>
            </w:tcBorders>
            <w:shd w:val="clear" w:color="auto" w:fill="D2D2D2"/>
          </w:tcPr>
          <w:p>
            <w:pPr/>
          </w:p>
        </w:tc>
        <w:tc>
          <w:tcPr>
            <w:tcW w:w="507" w:type="dxa"/>
            <w:vMerge/>
            <w:tcBorders>
              <w:left w:val="single" w:sz="13" w:space="0" w:color="D2D2D2"/>
              <w:bottom w:val="single" w:sz="4" w:space="0" w:color="000000"/>
              <w:right w:val="single" w:sz="4" w:space="0" w:color="000000"/>
            </w:tcBorders>
          </w:tcPr>
          <w:p>
            <w:pPr/>
          </w:p>
        </w:tc>
      </w:tr>
      <w:tr>
        <w:trPr>
          <w:trHeight w:val="392" w:hRule="exact"/>
        </w:trPr>
        <w:tc>
          <w:tcPr>
            <w:tcW w:w="9569"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061"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166" w:hRule="exact"/>
        </w:trPr>
        <w:tc>
          <w:tcPr>
            <w:tcW w:w="1985" w:type="dxa"/>
            <w:gridSpan w:val="2"/>
            <w:vMerge w:val="restart"/>
            <w:tcBorders>
              <w:top w:val="single" w:sz="4" w:space="0" w:color="000000"/>
              <w:left w:val="single" w:sz="4" w:space="0" w:color="000000"/>
              <w:right w:val="single" w:sz="4" w:space="0" w:color="000000"/>
            </w:tcBorders>
            <w:shd w:val="clear" w:color="auto" w:fill="D2D2D2"/>
          </w:tcPr>
          <w:p>
            <w:pPr/>
          </w:p>
        </w:tc>
        <w:tc>
          <w:tcPr>
            <w:tcW w:w="895" w:type="dxa"/>
            <w:gridSpan w:val="2"/>
            <w:vMerge w:val="restart"/>
            <w:tcBorders>
              <w:top w:val="single" w:sz="4" w:space="0" w:color="000000"/>
              <w:left w:val="single" w:sz="4" w:space="0" w:color="000000"/>
              <w:right w:val="single" w:sz="4" w:space="0" w:color="000000"/>
            </w:tcBorders>
            <w:shd w:val="clear" w:color="auto" w:fill="D2D2D2"/>
          </w:tcPr>
          <w:p>
            <w:pPr/>
          </w:p>
        </w:tc>
        <w:tc>
          <w:tcPr>
            <w:tcW w:w="744" w:type="dxa"/>
            <w:vMerge w:val="restart"/>
            <w:tcBorders>
              <w:top w:val="single" w:sz="4" w:space="0" w:color="000000"/>
              <w:left w:val="single" w:sz="4" w:space="0" w:color="000000"/>
              <w:right w:val="single" w:sz="4" w:space="0" w:color="000000"/>
            </w:tcBorders>
            <w:shd w:val="clear" w:color="auto" w:fill="D2D2D2"/>
          </w:tcPr>
          <w:p>
            <w:pPr/>
          </w:p>
        </w:tc>
        <w:tc>
          <w:tcPr>
            <w:tcW w:w="1054" w:type="dxa"/>
            <w:vMerge w:val="restart"/>
            <w:tcBorders>
              <w:top w:val="single" w:sz="4" w:space="0" w:color="000000"/>
              <w:left w:val="single" w:sz="4" w:space="0" w:color="000000"/>
              <w:right w:val="single" w:sz="4" w:space="0" w:color="000000"/>
            </w:tcBorders>
            <w:shd w:val="clear" w:color="auto" w:fill="D2D2D2"/>
          </w:tcPr>
          <w:p>
            <w:pPr/>
          </w:p>
        </w:tc>
        <w:tc>
          <w:tcPr>
            <w:tcW w:w="70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6"/>
              <w:ind w:left="80" w:right="77"/>
              <w:jc w:val="center"/>
              <w:rPr>
                <w:rFonts w:ascii="宋体" w:hAnsi="宋体" w:cs="宋体" w:eastAsia="宋体" w:hint="default"/>
                <w:sz w:val="18"/>
                <w:szCs w:val="18"/>
              </w:rPr>
            </w:pPr>
            <w:r>
              <w:rPr>
                <w:rFonts w:ascii="宋体" w:hAnsi="宋体" w:cs="宋体" w:eastAsia="宋体" w:hint="default"/>
                <w:sz w:val="18"/>
                <w:szCs w:val="18"/>
              </w:rPr>
              <w:t>报告期 内增减 变动情 况</w:t>
            </w:r>
          </w:p>
        </w:tc>
        <w:tc>
          <w:tcPr>
            <w:tcW w:w="987" w:type="dxa"/>
            <w:tcBorders>
              <w:top w:val="single" w:sz="4" w:space="0" w:color="000000"/>
              <w:left w:val="single" w:sz="4" w:space="0" w:color="000000"/>
              <w:bottom w:val="nil" w:sz="6" w:space="0" w:color="auto"/>
              <w:right w:val="single" w:sz="4" w:space="0" w:color="000000"/>
            </w:tcBorders>
            <w:shd w:val="clear" w:color="auto" w:fill="D2D2D2"/>
          </w:tcPr>
          <w:p>
            <w:pPr/>
          </w:p>
        </w:tc>
        <w:tc>
          <w:tcPr>
            <w:tcW w:w="1004" w:type="dxa"/>
            <w:tcBorders>
              <w:top w:val="single" w:sz="4" w:space="0" w:color="000000"/>
              <w:left w:val="single" w:sz="4" w:space="0" w:color="000000"/>
              <w:bottom w:val="nil" w:sz="6" w:space="0" w:color="auto"/>
              <w:right w:val="single" w:sz="4" w:space="0" w:color="000000"/>
            </w:tcBorders>
            <w:shd w:val="clear" w:color="auto" w:fill="D2D2D2"/>
          </w:tcPr>
          <w:p>
            <w:pPr/>
          </w:p>
        </w:tc>
        <w:tc>
          <w:tcPr>
            <w:tcW w:w="219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56"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199" w:hRule="exact"/>
        </w:trPr>
        <w:tc>
          <w:tcPr>
            <w:tcW w:w="1985" w:type="dxa"/>
            <w:gridSpan w:val="2"/>
            <w:vMerge/>
            <w:tcBorders>
              <w:left w:val="single" w:sz="4" w:space="0" w:color="000000"/>
              <w:right w:val="single" w:sz="4" w:space="0" w:color="000000"/>
            </w:tcBorders>
            <w:shd w:val="clear" w:color="auto" w:fill="D2D2D2"/>
          </w:tcPr>
          <w:p>
            <w:pPr/>
          </w:p>
        </w:tc>
        <w:tc>
          <w:tcPr>
            <w:tcW w:w="895" w:type="dxa"/>
            <w:gridSpan w:val="2"/>
            <w:vMerge/>
            <w:tcBorders>
              <w:left w:val="single" w:sz="4" w:space="0" w:color="000000"/>
              <w:right w:val="single" w:sz="4" w:space="0" w:color="000000"/>
            </w:tcBorders>
            <w:shd w:val="clear" w:color="auto" w:fill="D2D2D2"/>
          </w:tcPr>
          <w:p>
            <w:pPr/>
          </w:p>
        </w:tc>
        <w:tc>
          <w:tcPr>
            <w:tcW w:w="744" w:type="dxa"/>
            <w:vMerge/>
            <w:tcBorders>
              <w:left w:val="single" w:sz="4" w:space="0" w:color="000000"/>
              <w:right w:val="single" w:sz="4" w:space="0" w:color="000000"/>
            </w:tcBorders>
            <w:shd w:val="clear" w:color="auto" w:fill="D2D2D2"/>
          </w:tcPr>
          <w:p>
            <w:pPr/>
          </w:p>
        </w:tc>
        <w:tc>
          <w:tcPr>
            <w:tcW w:w="1054" w:type="dxa"/>
            <w:vMerge/>
            <w:tcBorders>
              <w:left w:val="single" w:sz="4" w:space="0" w:color="000000"/>
              <w:bottom w:val="nil" w:sz="6" w:space="0" w:color="auto"/>
              <w:right w:val="single" w:sz="4" w:space="0" w:color="000000"/>
            </w:tcBorders>
            <w:shd w:val="clear" w:color="auto" w:fill="D2D2D2"/>
          </w:tcPr>
          <w:p>
            <w:pPr/>
          </w:p>
        </w:tc>
        <w:tc>
          <w:tcPr>
            <w:tcW w:w="709" w:type="dxa"/>
            <w:gridSpan w:val="2"/>
            <w:vMerge/>
            <w:tcBorders>
              <w:left w:val="single" w:sz="4" w:space="0" w:color="000000"/>
              <w:right w:val="single" w:sz="4" w:space="0" w:color="000000"/>
            </w:tcBorders>
            <w:shd w:val="clear" w:color="auto" w:fill="D2D2D2"/>
          </w:tcPr>
          <w:p>
            <w:pPr/>
          </w:p>
        </w:tc>
        <w:tc>
          <w:tcPr>
            <w:tcW w:w="987"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40" w:right="34"/>
              <w:jc w:val="center"/>
              <w:rPr>
                <w:rFonts w:ascii="宋体" w:hAnsi="宋体" w:cs="宋体" w:eastAsia="宋体" w:hint="default"/>
                <w:sz w:val="18"/>
                <w:szCs w:val="18"/>
              </w:rPr>
            </w:pPr>
            <w:r>
              <w:rPr>
                <w:rFonts w:ascii="宋体" w:hAnsi="宋体" w:cs="宋体" w:eastAsia="宋体" w:hint="default"/>
                <w:sz w:val="18"/>
                <w:szCs w:val="18"/>
              </w:rPr>
              <w:t>持有有限售 条件的股份 数量</w:t>
            </w:r>
          </w:p>
        </w:tc>
        <w:tc>
          <w:tcPr>
            <w:tcW w:w="100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46" w:right="46"/>
              <w:jc w:val="center"/>
              <w:rPr>
                <w:rFonts w:ascii="宋体" w:hAnsi="宋体" w:cs="宋体" w:eastAsia="宋体" w:hint="default"/>
                <w:sz w:val="18"/>
                <w:szCs w:val="18"/>
              </w:rPr>
            </w:pPr>
            <w:r>
              <w:rPr>
                <w:rFonts w:ascii="宋体" w:hAnsi="宋体" w:cs="宋体" w:eastAsia="宋体" w:hint="default"/>
                <w:sz w:val="18"/>
                <w:szCs w:val="18"/>
              </w:rPr>
              <w:t>持有无限售 条件的股份 数量</w:t>
            </w:r>
          </w:p>
        </w:tc>
        <w:tc>
          <w:tcPr>
            <w:tcW w:w="2190" w:type="dxa"/>
            <w:gridSpan w:val="3"/>
            <w:vMerge/>
            <w:tcBorders>
              <w:left w:val="single" w:sz="4" w:space="0" w:color="000000"/>
              <w:bottom w:val="single" w:sz="4" w:space="0" w:color="000000"/>
              <w:right w:val="single" w:sz="4" w:space="0" w:color="000000"/>
            </w:tcBorders>
            <w:shd w:val="clear" w:color="auto" w:fill="D2D2D2"/>
          </w:tcPr>
          <w:p>
            <w:pPr/>
          </w:p>
        </w:tc>
      </w:tr>
      <w:tr>
        <w:trPr>
          <w:trHeight w:val="113" w:hRule="exact"/>
        </w:trPr>
        <w:tc>
          <w:tcPr>
            <w:tcW w:w="1985" w:type="dxa"/>
            <w:gridSpan w:val="2"/>
            <w:vMerge/>
            <w:tcBorders>
              <w:left w:val="single" w:sz="4" w:space="0" w:color="000000"/>
              <w:bottom w:val="nil" w:sz="6" w:space="0" w:color="auto"/>
              <w:right w:val="single" w:sz="4" w:space="0" w:color="000000"/>
            </w:tcBorders>
            <w:shd w:val="clear" w:color="auto" w:fill="D2D2D2"/>
          </w:tcPr>
          <w:p>
            <w:pPr/>
          </w:p>
        </w:tc>
        <w:tc>
          <w:tcPr>
            <w:tcW w:w="895" w:type="dxa"/>
            <w:gridSpan w:val="2"/>
            <w:vMerge/>
            <w:tcBorders>
              <w:left w:val="single" w:sz="4" w:space="0" w:color="000000"/>
              <w:bottom w:val="nil" w:sz="6" w:space="0" w:color="auto"/>
              <w:right w:val="single" w:sz="4" w:space="0" w:color="000000"/>
            </w:tcBorders>
            <w:shd w:val="clear" w:color="auto" w:fill="D2D2D2"/>
          </w:tcPr>
          <w:p>
            <w:pPr/>
          </w:p>
        </w:tc>
        <w:tc>
          <w:tcPr>
            <w:tcW w:w="744" w:type="dxa"/>
            <w:vMerge/>
            <w:tcBorders>
              <w:left w:val="single" w:sz="4" w:space="0" w:color="000000"/>
              <w:bottom w:val="nil" w:sz="6" w:space="0" w:color="auto"/>
              <w:right w:val="single" w:sz="4" w:space="0" w:color="000000"/>
            </w:tcBorders>
            <w:shd w:val="clear" w:color="auto" w:fill="D2D2D2"/>
          </w:tcPr>
          <w:p>
            <w:pPr/>
          </w:p>
        </w:tc>
        <w:tc>
          <w:tcPr>
            <w:tcW w:w="105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8"/>
              <w:ind w:left="273" w:right="48" w:hanging="181"/>
              <w:jc w:val="left"/>
              <w:rPr>
                <w:rFonts w:ascii="宋体" w:hAnsi="宋体" w:cs="宋体" w:eastAsia="宋体" w:hint="default"/>
                <w:sz w:val="18"/>
                <w:szCs w:val="18"/>
              </w:rPr>
            </w:pPr>
            <w:r>
              <w:rPr>
                <w:rFonts w:ascii="宋体" w:hAnsi="宋体" w:cs="宋体" w:eastAsia="宋体" w:hint="default"/>
                <w:sz w:val="18"/>
                <w:szCs w:val="18"/>
              </w:rPr>
              <w:t>报告期末持 股数量</w:t>
            </w:r>
          </w:p>
        </w:tc>
        <w:tc>
          <w:tcPr>
            <w:tcW w:w="709" w:type="dxa"/>
            <w:gridSpan w:val="2"/>
            <w:vMerge/>
            <w:tcBorders>
              <w:left w:val="single" w:sz="4" w:space="0" w:color="000000"/>
              <w:right w:val="single" w:sz="4" w:space="0" w:color="000000"/>
            </w:tcBorders>
            <w:shd w:val="clear" w:color="auto" w:fill="D2D2D2"/>
          </w:tcPr>
          <w:p>
            <w:pPr/>
          </w:p>
        </w:tc>
        <w:tc>
          <w:tcPr>
            <w:tcW w:w="987" w:type="dxa"/>
            <w:vMerge/>
            <w:tcBorders>
              <w:left w:val="single" w:sz="4" w:space="0" w:color="000000"/>
              <w:right w:val="single" w:sz="4" w:space="0" w:color="000000"/>
            </w:tcBorders>
            <w:shd w:val="clear" w:color="auto" w:fill="D2D2D2"/>
          </w:tcPr>
          <w:p>
            <w:pPr/>
          </w:p>
        </w:tc>
        <w:tc>
          <w:tcPr>
            <w:tcW w:w="1004" w:type="dxa"/>
            <w:vMerge/>
            <w:tcBorders>
              <w:left w:val="single" w:sz="4" w:space="0" w:color="000000"/>
              <w:right w:val="single" w:sz="4" w:space="0" w:color="000000"/>
            </w:tcBorders>
            <w:shd w:val="clear" w:color="auto" w:fill="D2D2D2"/>
          </w:tcPr>
          <w:p>
            <w:pPr/>
          </w:p>
        </w:tc>
        <w:tc>
          <w:tcPr>
            <w:tcW w:w="1270" w:type="dxa"/>
            <w:vMerge w:val="restart"/>
            <w:tcBorders>
              <w:top w:val="single" w:sz="4" w:space="0" w:color="000000"/>
              <w:left w:val="single" w:sz="4" w:space="0" w:color="000000"/>
              <w:right w:val="single" w:sz="4" w:space="0" w:color="000000"/>
            </w:tcBorders>
            <w:shd w:val="clear" w:color="auto" w:fill="D2D2D2"/>
          </w:tcPr>
          <w:p>
            <w:pPr/>
          </w:p>
        </w:tc>
        <w:tc>
          <w:tcPr>
            <w:tcW w:w="920" w:type="dxa"/>
            <w:gridSpan w:val="2"/>
            <w:vMerge w:val="restart"/>
            <w:tcBorders>
              <w:top w:val="single" w:sz="4" w:space="0" w:color="000000"/>
              <w:left w:val="single" w:sz="4" w:space="0" w:color="000000"/>
              <w:right w:val="single" w:sz="4" w:space="0" w:color="000000"/>
            </w:tcBorders>
            <w:shd w:val="clear" w:color="auto" w:fill="D2D2D2"/>
          </w:tcPr>
          <w:p>
            <w:pPr/>
          </w:p>
        </w:tc>
      </w:tr>
      <w:tr>
        <w:trPr>
          <w:trHeight w:val="202" w:hRule="exact"/>
        </w:trPr>
        <w:tc>
          <w:tcPr>
            <w:tcW w:w="1985"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626"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895"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1"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4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8" w:right="-15"/>
              <w:jc w:val="left"/>
              <w:rPr>
                <w:rFonts w:ascii="宋体" w:hAnsi="宋体" w:cs="宋体" w:eastAsia="宋体" w:hint="default"/>
                <w:sz w:val="18"/>
                <w:szCs w:val="18"/>
              </w:rPr>
            </w:pPr>
            <w:r>
              <w:rPr>
                <w:rFonts w:ascii="宋体" w:hAnsi="宋体" w:cs="宋体" w:eastAsia="宋体" w:hint="default"/>
                <w:sz w:val="18"/>
                <w:szCs w:val="18"/>
              </w:rPr>
              <w:t>持股比例</w:t>
            </w:r>
          </w:p>
        </w:tc>
        <w:tc>
          <w:tcPr>
            <w:tcW w:w="1054" w:type="dxa"/>
            <w:vMerge/>
            <w:tcBorders>
              <w:left w:val="single" w:sz="4" w:space="0" w:color="000000"/>
              <w:right w:val="single" w:sz="4" w:space="0" w:color="000000"/>
            </w:tcBorders>
            <w:shd w:val="clear" w:color="auto" w:fill="D2D2D2"/>
          </w:tcPr>
          <w:p>
            <w:pPr/>
          </w:p>
        </w:tc>
        <w:tc>
          <w:tcPr>
            <w:tcW w:w="709" w:type="dxa"/>
            <w:gridSpan w:val="2"/>
            <w:vMerge/>
            <w:tcBorders>
              <w:left w:val="single" w:sz="4" w:space="0" w:color="000000"/>
              <w:right w:val="single" w:sz="4" w:space="0" w:color="000000"/>
            </w:tcBorders>
            <w:shd w:val="clear" w:color="auto" w:fill="D2D2D2"/>
          </w:tcPr>
          <w:p>
            <w:pPr/>
          </w:p>
        </w:tc>
        <w:tc>
          <w:tcPr>
            <w:tcW w:w="987" w:type="dxa"/>
            <w:vMerge/>
            <w:tcBorders>
              <w:left w:val="single" w:sz="4" w:space="0" w:color="000000"/>
              <w:right w:val="single" w:sz="4" w:space="0" w:color="000000"/>
            </w:tcBorders>
            <w:shd w:val="clear" w:color="auto" w:fill="D2D2D2"/>
          </w:tcPr>
          <w:p>
            <w:pPr/>
          </w:p>
        </w:tc>
        <w:tc>
          <w:tcPr>
            <w:tcW w:w="1004" w:type="dxa"/>
            <w:vMerge/>
            <w:tcBorders>
              <w:left w:val="single" w:sz="4" w:space="0" w:color="000000"/>
              <w:right w:val="single" w:sz="4" w:space="0" w:color="000000"/>
            </w:tcBorders>
            <w:shd w:val="clear" w:color="auto" w:fill="D2D2D2"/>
          </w:tcPr>
          <w:p>
            <w:pPr/>
          </w:p>
        </w:tc>
        <w:tc>
          <w:tcPr>
            <w:tcW w:w="1270" w:type="dxa"/>
            <w:vMerge/>
            <w:tcBorders>
              <w:left w:val="single" w:sz="4" w:space="0" w:color="000000"/>
              <w:bottom w:val="nil" w:sz="6" w:space="0" w:color="auto"/>
              <w:right w:val="single" w:sz="4" w:space="0" w:color="000000"/>
            </w:tcBorders>
            <w:shd w:val="clear" w:color="auto" w:fill="D2D2D2"/>
          </w:tcPr>
          <w:p>
            <w:pPr/>
          </w:p>
        </w:tc>
        <w:tc>
          <w:tcPr>
            <w:tcW w:w="920" w:type="dxa"/>
            <w:gridSpan w:val="2"/>
            <w:vMerge/>
            <w:tcBorders>
              <w:left w:val="single" w:sz="4" w:space="0" w:color="000000"/>
              <w:bottom w:val="nil" w:sz="6" w:space="0" w:color="auto"/>
              <w:right w:val="single" w:sz="4" w:space="0" w:color="000000"/>
            </w:tcBorders>
            <w:shd w:val="clear" w:color="auto" w:fill="D2D2D2"/>
          </w:tcPr>
          <w:p>
            <w:pPr/>
          </w:p>
        </w:tc>
      </w:tr>
      <w:tr>
        <w:trPr>
          <w:trHeight w:val="191" w:hRule="exact"/>
        </w:trPr>
        <w:tc>
          <w:tcPr>
            <w:tcW w:w="1985" w:type="dxa"/>
            <w:gridSpan w:val="2"/>
            <w:vMerge/>
            <w:tcBorders>
              <w:left w:val="single" w:sz="4" w:space="0" w:color="000000"/>
              <w:bottom w:val="nil" w:sz="6" w:space="0" w:color="auto"/>
              <w:right w:val="single" w:sz="4" w:space="0" w:color="000000"/>
            </w:tcBorders>
            <w:shd w:val="clear" w:color="auto" w:fill="D2D2D2"/>
          </w:tcPr>
          <w:p>
            <w:pPr/>
          </w:p>
        </w:tc>
        <w:tc>
          <w:tcPr>
            <w:tcW w:w="895" w:type="dxa"/>
            <w:gridSpan w:val="2"/>
            <w:vMerge/>
            <w:tcBorders>
              <w:left w:val="single" w:sz="4" w:space="0" w:color="000000"/>
              <w:bottom w:val="nil" w:sz="6" w:space="0" w:color="auto"/>
              <w:right w:val="single" w:sz="4" w:space="0" w:color="000000"/>
            </w:tcBorders>
            <w:shd w:val="clear" w:color="auto" w:fill="D2D2D2"/>
          </w:tcPr>
          <w:p>
            <w:pPr/>
          </w:p>
        </w:tc>
        <w:tc>
          <w:tcPr>
            <w:tcW w:w="744" w:type="dxa"/>
            <w:vMerge/>
            <w:tcBorders>
              <w:left w:val="single" w:sz="4" w:space="0" w:color="000000"/>
              <w:bottom w:val="nil" w:sz="6" w:space="0" w:color="auto"/>
              <w:right w:val="single" w:sz="4" w:space="0" w:color="000000"/>
            </w:tcBorders>
            <w:shd w:val="clear" w:color="auto" w:fill="D2D2D2"/>
          </w:tcPr>
          <w:p>
            <w:pPr/>
          </w:p>
        </w:tc>
        <w:tc>
          <w:tcPr>
            <w:tcW w:w="1054" w:type="dxa"/>
            <w:vMerge/>
            <w:tcBorders>
              <w:left w:val="single" w:sz="4" w:space="0" w:color="000000"/>
              <w:right w:val="single" w:sz="4" w:space="0" w:color="000000"/>
            </w:tcBorders>
            <w:shd w:val="clear" w:color="auto" w:fill="D2D2D2"/>
          </w:tcPr>
          <w:p>
            <w:pPr/>
          </w:p>
        </w:tc>
        <w:tc>
          <w:tcPr>
            <w:tcW w:w="709" w:type="dxa"/>
            <w:gridSpan w:val="2"/>
            <w:vMerge/>
            <w:tcBorders>
              <w:left w:val="single" w:sz="4" w:space="0" w:color="000000"/>
              <w:right w:val="single" w:sz="4" w:space="0" w:color="000000"/>
            </w:tcBorders>
            <w:shd w:val="clear" w:color="auto" w:fill="D2D2D2"/>
          </w:tcPr>
          <w:p>
            <w:pPr/>
          </w:p>
        </w:tc>
        <w:tc>
          <w:tcPr>
            <w:tcW w:w="987" w:type="dxa"/>
            <w:vMerge/>
            <w:tcBorders>
              <w:left w:val="single" w:sz="4" w:space="0" w:color="000000"/>
              <w:right w:val="single" w:sz="4" w:space="0" w:color="000000"/>
            </w:tcBorders>
            <w:shd w:val="clear" w:color="auto" w:fill="D2D2D2"/>
          </w:tcPr>
          <w:p>
            <w:pPr/>
          </w:p>
        </w:tc>
        <w:tc>
          <w:tcPr>
            <w:tcW w:w="1004" w:type="dxa"/>
            <w:vMerge/>
            <w:tcBorders>
              <w:left w:val="single" w:sz="4" w:space="0" w:color="000000"/>
              <w:right w:val="single" w:sz="4" w:space="0" w:color="000000"/>
            </w:tcBorders>
            <w:shd w:val="clear" w:color="auto" w:fill="D2D2D2"/>
          </w:tcPr>
          <w:p>
            <w:pPr/>
          </w:p>
        </w:tc>
        <w:tc>
          <w:tcPr>
            <w:tcW w:w="127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66"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920"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74"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178" w:hRule="exact"/>
        </w:trPr>
        <w:tc>
          <w:tcPr>
            <w:tcW w:w="1985" w:type="dxa"/>
            <w:gridSpan w:val="2"/>
            <w:vMerge w:val="restart"/>
            <w:tcBorders>
              <w:top w:val="nil" w:sz="6" w:space="0" w:color="auto"/>
              <w:left w:val="single" w:sz="4" w:space="0" w:color="000000"/>
              <w:right w:val="single" w:sz="4" w:space="0" w:color="000000"/>
            </w:tcBorders>
            <w:shd w:val="clear" w:color="auto" w:fill="D2D2D2"/>
          </w:tcPr>
          <w:p>
            <w:pPr/>
          </w:p>
        </w:tc>
        <w:tc>
          <w:tcPr>
            <w:tcW w:w="895" w:type="dxa"/>
            <w:gridSpan w:val="2"/>
            <w:vMerge w:val="restart"/>
            <w:tcBorders>
              <w:top w:val="nil" w:sz="6" w:space="0" w:color="auto"/>
              <w:left w:val="single" w:sz="4" w:space="0" w:color="000000"/>
              <w:right w:val="single" w:sz="4" w:space="0" w:color="000000"/>
            </w:tcBorders>
            <w:shd w:val="clear" w:color="auto" w:fill="D2D2D2"/>
          </w:tcPr>
          <w:p>
            <w:pPr/>
          </w:p>
        </w:tc>
        <w:tc>
          <w:tcPr>
            <w:tcW w:w="744" w:type="dxa"/>
            <w:vMerge w:val="restart"/>
            <w:tcBorders>
              <w:top w:val="nil" w:sz="6" w:space="0" w:color="auto"/>
              <w:left w:val="single" w:sz="4" w:space="0" w:color="000000"/>
              <w:right w:val="single" w:sz="4" w:space="0" w:color="000000"/>
            </w:tcBorders>
            <w:shd w:val="clear" w:color="auto" w:fill="D2D2D2"/>
          </w:tcPr>
          <w:p>
            <w:pPr/>
          </w:p>
        </w:tc>
        <w:tc>
          <w:tcPr>
            <w:tcW w:w="1054" w:type="dxa"/>
            <w:vMerge/>
            <w:tcBorders>
              <w:left w:val="single" w:sz="4" w:space="0" w:color="000000"/>
              <w:bottom w:val="nil" w:sz="6" w:space="0" w:color="auto"/>
              <w:right w:val="single" w:sz="4" w:space="0" w:color="000000"/>
            </w:tcBorders>
            <w:shd w:val="clear" w:color="auto" w:fill="D2D2D2"/>
          </w:tcPr>
          <w:p>
            <w:pPr/>
          </w:p>
        </w:tc>
        <w:tc>
          <w:tcPr>
            <w:tcW w:w="709" w:type="dxa"/>
            <w:gridSpan w:val="2"/>
            <w:vMerge/>
            <w:tcBorders>
              <w:left w:val="single" w:sz="4" w:space="0" w:color="000000"/>
              <w:right w:val="single" w:sz="4" w:space="0" w:color="000000"/>
            </w:tcBorders>
            <w:shd w:val="clear" w:color="auto" w:fill="D2D2D2"/>
          </w:tcPr>
          <w:p>
            <w:pPr/>
          </w:p>
        </w:tc>
        <w:tc>
          <w:tcPr>
            <w:tcW w:w="987" w:type="dxa"/>
            <w:vMerge/>
            <w:tcBorders>
              <w:left w:val="single" w:sz="4" w:space="0" w:color="000000"/>
              <w:right w:val="single" w:sz="4" w:space="0" w:color="000000"/>
            </w:tcBorders>
            <w:shd w:val="clear" w:color="auto" w:fill="D2D2D2"/>
          </w:tcPr>
          <w:p>
            <w:pPr/>
          </w:p>
        </w:tc>
        <w:tc>
          <w:tcPr>
            <w:tcW w:w="1004" w:type="dxa"/>
            <w:vMerge/>
            <w:tcBorders>
              <w:left w:val="single" w:sz="4" w:space="0" w:color="000000"/>
              <w:right w:val="single" w:sz="4" w:space="0" w:color="000000"/>
            </w:tcBorders>
            <w:shd w:val="clear" w:color="auto" w:fill="D2D2D2"/>
          </w:tcPr>
          <w:p>
            <w:pPr/>
          </w:p>
        </w:tc>
        <w:tc>
          <w:tcPr>
            <w:tcW w:w="1270" w:type="dxa"/>
            <w:vMerge/>
            <w:tcBorders>
              <w:left w:val="single" w:sz="4" w:space="0" w:color="000000"/>
              <w:bottom w:val="nil" w:sz="6" w:space="0" w:color="auto"/>
              <w:right w:val="single" w:sz="4" w:space="0" w:color="000000"/>
            </w:tcBorders>
            <w:shd w:val="clear" w:color="auto" w:fill="D2D2D2"/>
          </w:tcPr>
          <w:p>
            <w:pPr/>
          </w:p>
        </w:tc>
        <w:tc>
          <w:tcPr>
            <w:tcW w:w="920" w:type="dxa"/>
            <w:gridSpan w:val="2"/>
            <w:vMerge/>
            <w:tcBorders>
              <w:left w:val="single" w:sz="4" w:space="0" w:color="000000"/>
              <w:bottom w:val="nil" w:sz="6" w:space="0" w:color="auto"/>
              <w:right w:val="single" w:sz="4" w:space="0" w:color="000000"/>
            </w:tcBorders>
            <w:shd w:val="clear" w:color="auto" w:fill="D2D2D2"/>
          </w:tcPr>
          <w:p>
            <w:pPr/>
          </w:p>
        </w:tc>
      </w:tr>
      <w:tr>
        <w:trPr>
          <w:trHeight w:val="134" w:hRule="exact"/>
        </w:trPr>
        <w:tc>
          <w:tcPr>
            <w:tcW w:w="1985" w:type="dxa"/>
            <w:gridSpan w:val="2"/>
            <w:vMerge/>
            <w:tcBorders>
              <w:left w:val="single" w:sz="4" w:space="0" w:color="000000"/>
              <w:right w:val="single" w:sz="4" w:space="0" w:color="000000"/>
            </w:tcBorders>
            <w:shd w:val="clear" w:color="auto" w:fill="D2D2D2"/>
          </w:tcPr>
          <w:p>
            <w:pPr/>
          </w:p>
        </w:tc>
        <w:tc>
          <w:tcPr>
            <w:tcW w:w="895" w:type="dxa"/>
            <w:gridSpan w:val="2"/>
            <w:vMerge/>
            <w:tcBorders>
              <w:left w:val="single" w:sz="4" w:space="0" w:color="000000"/>
              <w:right w:val="single" w:sz="4" w:space="0" w:color="000000"/>
            </w:tcBorders>
            <w:shd w:val="clear" w:color="auto" w:fill="D2D2D2"/>
          </w:tcPr>
          <w:p>
            <w:pPr/>
          </w:p>
        </w:tc>
        <w:tc>
          <w:tcPr>
            <w:tcW w:w="744" w:type="dxa"/>
            <w:vMerge/>
            <w:tcBorders>
              <w:left w:val="single" w:sz="4" w:space="0" w:color="000000"/>
              <w:right w:val="single" w:sz="4" w:space="0" w:color="000000"/>
            </w:tcBorders>
            <w:shd w:val="clear" w:color="auto" w:fill="D2D2D2"/>
          </w:tcPr>
          <w:p>
            <w:pPr/>
          </w:p>
        </w:tc>
        <w:tc>
          <w:tcPr>
            <w:tcW w:w="1054" w:type="dxa"/>
            <w:vMerge w:val="restart"/>
            <w:tcBorders>
              <w:top w:val="nil" w:sz="6" w:space="0" w:color="auto"/>
              <w:left w:val="single" w:sz="4" w:space="0" w:color="000000"/>
              <w:right w:val="single" w:sz="4" w:space="0" w:color="000000"/>
            </w:tcBorders>
            <w:shd w:val="clear" w:color="auto" w:fill="D2D2D2"/>
          </w:tcPr>
          <w:p>
            <w:pPr/>
          </w:p>
        </w:tc>
        <w:tc>
          <w:tcPr>
            <w:tcW w:w="709" w:type="dxa"/>
            <w:gridSpan w:val="2"/>
            <w:vMerge/>
            <w:tcBorders>
              <w:left w:val="single" w:sz="4" w:space="0" w:color="000000"/>
              <w:right w:val="single" w:sz="4" w:space="0" w:color="000000"/>
            </w:tcBorders>
            <w:shd w:val="clear" w:color="auto" w:fill="D2D2D2"/>
          </w:tcPr>
          <w:p>
            <w:pPr/>
          </w:p>
        </w:tc>
        <w:tc>
          <w:tcPr>
            <w:tcW w:w="987" w:type="dxa"/>
            <w:vMerge/>
            <w:tcBorders>
              <w:left w:val="single" w:sz="4" w:space="0" w:color="000000"/>
              <w:bottom w:val="nil" w:sz="6" w:space="0" w:color="auto"/>
              <w:right w:val="single" w:sz="4" w:space="0" w:color="000000"/>
            </w:tcBorders>
            <w:shd w:val="clear" w:color="auto" w:fill="D2D2D2"/>
          </w:tcPr>
          <w:p>
            <w:pPr/>
          </w:p>
        </w:tc>
        <w:tc>
          <w:tcPr>
            <w:tcW w:w="1004" w:type="dxa"/>
            <w:vMerge/>
            <w:tcBorders>
              <w:left w:val="single" w:sz="4" w:space="0" w:color="000000"/>
              <w:bottom w:val="nil" w:sz="6" w:space="0" w:color="auto"/>
              <w:right w:val="single" w:sz="4" w:space="0" w:color="000000"/>
            </w:tcBorders>
            <w:shd w:val="clear" w:color="auto" w:fill="D2D2D2"/>
          </w:tcPr>
          <w:p>
            <w:pPr/>
          </w:p>
        </w:tc>
        <w:tc>
          <w:tcPr>
            <w:tcW w:w="1270" w:type="dxa"/>
            <w:vMerge w:val="restart"/>
            <w:tcBorders>
              <w:top w:val="nil" w:sz="6" w:space="0" w:color="auto"/>
              <w:left w:val="single" w:sz="4" w:space="0" w:color="000000"/>
              <w:right w:val="single" w:sz="4" w:space="0" w:color="000000"/>
            </w:tcBorders>
            <w:shd w:val="clear" w:color="auto" w:fill="D2D2D2"/>
          </w:tcPr>
          <w:p>
            <w:pPr/>
          </w:p>
        </w:tc>
        <w:tc>
          <w:tcPr>
            <w:tcW w:w="920" w:type="dxa"/>
            <w:gridSpan w:val="2"/>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985" w:type="dxa"/>
            <w:gridSpan w:val="2"/>
            <w:vMerge/>
            <w:tcBorders>
              <w:left w:val="single" w:sz="4" w:space="0" w:color="000000"/>
              <w:bottom w:val="single" w:sz="4" w:space="0" w:color="000000"/>
              <w:right w:val="single" w:sz="4" w:space="0" w:color="000000"/>
            </w:tcBorders>
            <w:shd w:val="clear" w:color="auto" w:fill="D2D2D2"/>
          </w:tcPr>
          <w:p>
            <w:pPr/>
          </w:p>
        </w:tc>
        <w:tc>
          <w:tcPr>
            <w:tcW w:w="895" w:type="dxa"/>
            <w:gridSpan w:val="2"/>
            <w:vMerge/>
            <w:tcBorders>
              <w:left w:val="single" w:sz="4" w:space="0" w:color="000000"/>
              <w:bottom w:val="single" w:sz="4" w:space="0" w:color="000000"/>
              <w:right w:val="single" w:sz="4" w:space="0" w:color="000000"/>
            </w:tcBorders>
            <w:shd w:val="clear" w:color="auto" w:fill="D2D2D2"/>
          </w:tcPr>
          <w:p>
            <w:pPr/>
          </w:p>
        </w:tc>
        <w:tc>
          <w:tcPr>
            <w:tcW w:w="744" w:type="dxa"/>
            <w:vMerge/>
            <w:tcBorders>
              <w:left w:val="single" w:sz="4" w:space="0" w:color="000000"/>
              <w:bottom w:val="single" w:sz="4" w:space="0" w:color="000000"/>
              <w:right w:val="single" w:sz="4" w:space="0" w:color="000000"/>
            </w:tcBorders>
            <w:shd w:val="clear" w:color="auto" w:fill="D2D2D2"/>
          </w:tcPr>
          <w:p>
            <w:pPr/>
          </w:p>
        </w:tc>
        <w:tc>
          <w:tcPr>
            <w:tcW w:w="1054" w:type="dxa"/>
            <w:vMerge/>
            <w:tcBorders>
              <w:left w:val="single" w:sz="4" w:space="0" w:color="000000"/>
              <w:bottom w:val="single" w:sz="4" w:space="0" w:color="000000"/>
              <w:right w:val="single" w:sz="4" w:space="0" w:color="000000"/>
            </w:tcBorders>
            <w:shd w:val="clear" w:color="auto" w:fill="D2D2D2"/>
          </w:tcPr>
          <w:p>
            <w:pPr/>
          </w:p>
        </w:tc>
        <w:tc>
          <w:tcPr>
            <w:tcW w:w="709" w:type="dxa"/>
            <w:gridSpan w:val="2"/>
            <w:vMerge/>
            <w:tcBorders>
              <w:left w:val="single" w:sz="4" w:space="0" w:color="000000"/>
              <w:bottom w:val="single" w:sz="4" w:space="0" w:color="000000"/>
              <w:right w:val="single" w:sz="4" w:space="0" w:color="000000"/>
            </w:tcBorders>
            <w:shd w:val="clear" w:color="auto" w:fill="D2D2D2"/>
          </w:tcPr>
          <w:p>
            <w:pPr/>
          </w:p>
        </w:tc>
        <w:tc>
          <w:tcPr>
            <w:tcW w:w="987" w:type="dxa"/>
            <w:tcBorders>
              <w:top w:val="nil" w:sz="6" w:space="0" w:color="auto"/>
              <w:left w:val="single" w:sz="4" w:space="0" w:color="000000"/>
              <w:bottom w:val="single" w:sz="4" w:space="0" w:color="000000"/>
              <w:right w:val="single" w:sz="4" w:space="0" w:color="000000"/>
            </w:tcBorders>
            <w:shd w:val="clear" w:color="auto" w:fill="D2D2D2"/>
          </w:tcPr>
          <w:p>
            <w:pPr/>
          </w:p>
        </w:tc>
        <w:tc>
          <w:tcPr>
            <w:tcW w:w="1004" w:type="dxa"/>
            <w:tcBorders>
              <w:top w:val="nil" w:sz="6" w:space="0" w:color="auto"/>
              <w:left w:val="single" w:sz="4" w:space="0" w:color="000000"/>
              <w:bottom w:val="single" w:sz="4" w:space="0" w:color="000000"/>
              <w:right w:val="single" w:sz="4" w:space="0" w:color="000000"/>
            </w:tcBorders>
            <w:shd w:val="clear" w:color="auto" w:fill="D2D2D2"/>
          </w:tcPr>
          <w:p>
            <w:pPr/>
          </w:p>
        </w:tc>
        <w:tc>
          <w:tcPr>
            <w:tcW w:w="1270" w:type="dxa"/>
            <w:vMerge/>
            <w:tcBorders>
              <w:left w:val="single" w:sz="4" w:space="0" w:color="000000"/>
              <w:bottom w:val="single" w:sz="4" w:space="0" w:color="000000"/>
              <w:right w:val="single" w:sz="4" w:space="0" w:color="000000"/>
            </w:tcBorders>
            <w:shd w:val="clear" w:color="auto" w:fill="D2D2D2"/>
          </w:tcPr>
          <w:p>
            <w:pPr/>
          </w:p>
        </w:tc>
        <w:tc>
          <w:tcPr>
            <w:tcW w:w="920" w:type="dxa"/>
            <w:gridSpan w:val="2"/>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50"/>
              <w:jc w:val="left"/>
              <w:rPr>
                <w:rFonts w:ascii="宋体" w:hAnsi="宋体" w:cs="宋体" w:eastAsia="宋体" w:hint="default"/>
                <w:sz w:val="18"/>
                <w:szCs w:val="18"/>
              </w:rPr>
            </w:pPr>
            <w:r>
              <w:rPr>
                <w:rFonts w:ascii="宋体" w:hAnsi="宋体" w:cs="宋体" w:eastAsia="宋体" w:hint="default"/>
                <w:sz w:val="18"/>
                <w:szCs w:val="18"/>
              </w:rPr>
              <w:t>香港优博讯科技控股集 团有限公司</w:t>
            </w:r>
          </w:p>
        </w:tc>
        <w:tc>
          <w:tcPr>
            <w:tcW w:w="8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境外法人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50.02%</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140,049,000</w:t>
            </w:r>
          </w:p>
        </w:tc>
        <w:tc>
          <w:tcPr>
            <w:tcW w:w="709" w:type="dxa"/>
            <w:gridSpan w:val="2"/>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140,049,000</w:t>
            </w:r>
          </w:p>
        </w:tc>
        <w:tc>
          <w:tcPr>
            <w:tcW w:w="1004"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23,000,000</w:t>
            </w:r>
          </w:p>
        </w:tc>
      </w:tr>
      <w:tr>
        <w:trPr>
          <w:trHeight w:val="714"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50"/>
              <w:jc w:val="left"/>
              <w:rPr>
                <w:rFonts w:ascii="宋体" w:hAnsi="宋体" w:cs="宋体" w:eastAsia="宋体" w:hint="default"/>
                <w:sz w:val="18"/>
                <w:szCs w:val="18"/>
              </w:rPr>
            </w:pPr>
            <w:r>
              <w:rPr>
                <w:rFonts w:ascii="宋体" w:hAnsi="宋体" w:cs="宋体" w:eastAsia="宋体" w:hint="default"/>
                <w:sz w:val="18"/>
                <w:szCs w:val="18"/>
              </w:rPr>
              <w:t>深圳市博讯投资有限公 司</w:t>
            </w:r>
          </w:p>
        </w:tc>
        <w:tc>
          <w:tcPr>
            <w:tcW w:w="895"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40"/>
              <w:jc w:val="left"/>
              <w:rPr>
                <w:rFonts w:ascii="宋体" w:hAnsi="宋体" w:cs="宋体" w:eastAsia="宋体" w:hint="default"/>
                <w:sz w:val="18"/>
                <w:szCs w:val="18"/>
              </w:rPr>
            </w:pPr>
            <w:r>
              <w:rPr>
                <w:rFonts w:ascii="宋体" w:hAnsi="宋体" w:cs="宋体" w:eastAsia="宋体" w:hint="default"/>
                <w:sz w:val="18"/>
                <w:szCs w:val="18"/>
              </w:rPr>
              <w:t>境内非国 有法人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6.41%</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17,955,000</w:t>
            </w:r>
          </w:p>
        </w:tc>
        <w:tc>
          <w:tcPr>
            <w:tcW w:w="709" w:type="dxa"/>
            <w:gridSpan w:val="2"/>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z w:val="18"/>
              </w:rPr>
              <w:t>17,955,000</w:t>
            </w:r>
          </w:p>
        </w:tc>
        <w:tc>
          <w:tcPr>
            <w:tcW w:w="1004" w:type="dxa"/>
            <w:tcBorders>
              <w:top w:val="single" w:sz="4" w:space="0" w:color="000000"/>
              <w:left w:val="single" w:sz="4" w:space="0" w:color="000000"/>
              <w:bottom w:val="single" w:sz="4" w:space="0" w:color="000000"/>
              <w:right w:val="single" w:sz="4" w:space="0" w:color="000000"/>
            </w:tcBorders>
          </w:tcPr>
          <w:p>
            <w:pP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6" w:right="0"/>
              <w:jc w:val="left"/>
              <w:rPr>
                <w:rFonts w:ascii="Times New Roman" w:hAnsi="Times New Roman" w:cs="Times New Roman" w:eastAsia="Times New Roman" w:hint="default"/>
                <w:sz w:val="18"/>
                <w:szCs w:val="18"/>
              </w:rPr>
            </w:pPr>
            <w:r>
              <w:rPr>
                <w:rFonts w:ascii="Times New Roman"/>
                <w:sz w:val="18"/>
              </w:rPr>
              <w:t>7,425,000</w:t>
            </w:r>
          </w:p>
        </w:tc>
      </w:tr>
      <w:tr>
        <w:trPr>
          <w:trHeight w:val="714"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50"/>
              <w:jc w:val="left"/>
              <w:rPr>
                <w:rFonts w:ascii="宋体" w:hAnsi="宋体" w:cs="宋体" w:eastAsia="宋体" w:hint="default"/>
                <w:sz w:val="18"/>
                <w:szCs w:val="18"/>
              </w:rPr>
            </w:pPr>
            <w:r>
              <w:rPr>
                <w:rFonts w:ascii="宋体" w:hAnsi="宋体" w:cs="宋体" w:eastAsia="宋体" w:hint="default"/>
                <w:sz w:val="18"/>
                <w:szCs w:val="18"/>
              </w:rPr>
              <w:t>深圳市中洲创业投资有 限公司</w:t>
            </w:r>
          </w:p>
        </w:tc>
        <w:tc>
          <w:tcPr>
            <w:tcW w:w="895"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40"/>
              <w:jc w:val="left"/>
              <w:rPr>
                <w:rFonts w:ascii="宋体" w:hAnsi="宋体" w:cs="宋体" w:eastAsia="宋体" w:hint="default"/>
                <w:sz w:val="18"/>
                <w:szCs w:val="18"/>
              </w:rPr>
            </w:pPr>
            <w:r>
              <w:rPr>
                <w:rFonts w:ascii="宋体" w:hAnsi="宋体" w:cs="宋体" w:eastAsia="宋体" w:hint="default"/>
                <w:sz w:val="18"/>
                <w:szCs w:val="18"/>
              </w:rPr>
              <w:t>境内非国 有法人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6.13%</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17,170,000</w:t>
            </w:r>
          </w:p>
        </w:tc>
        <w:tc>
          <w:tcPr>
            <w:tcW w:w="70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-2,780,0</w:t>
            </w:r>
          </w:p>
          <w:p>
            <w:pPr>
              <w:pStyle w:val="TableParagraph"/>
              <w:spacing w:line="240" w:lineRule="auto" w:before="105"/>
              <w:ind w:left="24" w:right="0"/>
              <w:jc w:val="left"/>
              <w:rPr>
                <w:rFonts w:ascii="Times New Roman" w:hAnsi="Times New Roman" w:cs="Times New Roman" w:eastAsia="Times New Roman" w:hint="default"/>
                <w:sz w:val="18"/>
                <w:szCs w:val="18"/>
              </w:rPr>
            </w:pPr>
            <w:r>
              <w:rPr>
                <w:rFonts w:ascii="Times New Roman"/>
                <w:sz w:val="18"/>
              </w:rPr>
              <w:t>00</w:t>
            </w:r>
          </w:p>
        </w:tc>
        <w:tc>
          <w:tcPr>
            <w:tcW w:w="987" w:type="dxa"/>
            <w:tcBorders>
              <w:top w:val="single" w:sz="4" w:space="0" w:color="000000"/>
              <w:left w:val="single" w:sz="4" w:space="0" w:color="000000"/>
              <w:bottom w:val="single" w:sz="4" w:space="0" w:color="000000"/>
              <w:right w:val="single" w:sz="4" w:space="0" w:color="000000"/>
            </w:tcBorders>
          </w:tcPr>
          <w:p>
            <w:pP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7"/>
              <w:jc w:val="right"/>
              <w:rPr>
                <w:rFonts w:ascii="Times New Roman" w:hAnsi="Times New Roman" w:cs="Times New Roman" w:eastAsia="Times New Roman" w:hint="default"/>
                <w:sz w:val="18"/>
                <w:szCs w:val="18"/>
              </w:rPr>
            </w:pPr>
            <w:r>
              <w:rPr>
                <w:rFonts w:ascii="Times New Roman"/>
                <w:sz w:val="18"/>
              </w:rPr>
              <w:t>17,170,000</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9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left"/>
              <w:rPr>
                <w:rFonts w:ascii="Times New Roman" w:hAnsi="Times New Roman" w:cs="Times New Roman" w:eastAsia="Times New Roman" w:hint="default"/>
                <w:sz w:val="18"/>
                <w:szCs w:val="18"/>
              </w:rPr>
            </w:pPr>
            <w:r>
              <w:rPr>
                <w:rFonts w:ascii="Times New Roman"/>
                <w:sz w:val="18"/>
              </w:rPr>
              <w:t>17,150,000</w:t>
            </w:r>
          </w:p>
        </w:tc>
      </w:tr>
      <w:tr>
        <w:trPr>
          <w:trHeight w:val="714"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亚晟发展集团有限公司</w:t>
            </w:r>
          </w:p>
        </w:tc>
        <w:tc>
          <w:tcPr>
            <w:tcW w:w="8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境外法人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3.93%</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11,009,900</w:t>
            </w:r>
          </w:p>
        </w:tc>
        <w:tc>
          <w:tcPr>
            <w:tcW w:w="70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-2,990,0</w:t>
            </w:r>
          </w:p>
          <w:p>
            <w:pPr>
              <w:pStyle w:val="TableParagraph"/>
              <w:spacing w:line="240" w:lineRule="auto" w:before="105"/>
              <w:ind w:left="24" w:right="0"/>
              <w:jc w:val="left"/>
              <w:rPr>
                <w:rFonts w:ascii="Times New Roman" w:hAnsi="Times New Roman" w:cs="Times New Roman" w:eastAsia="Times New Roman" w:hint="default"/>
                <w:sz w:val="18"/>
                <w:szCs w:val="18"/>
              </w:rPr>
            </w:pPr>
            <w:r>
              <w:rPr>
                <w:rFonts w:ascii="Times New Roman"/>
                <w:sz w:val="18"/>
              </w:rPr>
              <w:t>00</w:t>
            </w:r>
          </w:p>
        </w:tc>
        <w:tc>
          <w:tcPr>
            <w:tcW w:w="987" w:type="dxa"/>
            <w:tcBorders>
              <w:top w:val="single" w:sz="4" w:space="0" w:color="000000"/>
              <w:left w:val="single" w:sz="4" w:space="0" w:color="000000"/>
              <w:bottom w:val="single" w:sz="4" w:space="0" w:color="000000"/>
              <w:right w:val="single" w:sz="4" w:space="0" w:color="000000"/>
            </w:tcBorders>
          </w:tcPr>
          <w:p>
            <w:pP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7"/>
              <w:jc w:val="right"/>
              <w:rPr>
                <w:rFonts w:ascii="Times New Roman" w:hAnsi="Times New Roman" w:cs="Times New Roman" w:eastAsia="Times New Roman" w:hint="default"/>
                <w:sz w:val="18"/>
                <w:szCs w:val="18"/>
              </w:rPr>
            </w:pPr>
            <w:r>
              <w:rPr>
                <w:rFonts w:ascii="Times New Roman"/>
                <w:spacing w:val="-1"/>
                <w:sz w:val="18"/>
              </w:rPr>
              <w:t>11,009,900</w:t>
            </w:r>
          </w:p>
        </w:tc>
        <w:tc>
          <w:tcPr>
            <w:tcW w:w="1270" w:type="dxa"/>
            <w:tcBorders>
              <w:top w:val="single" w:sz="4" w:space="0" w:color="000000"/>
              <w:left w:val="single" w:sz="4" w:space="0" w:color="000000"/>
              <w:bottom w:val="single" w:sz="4" w:space="0" w:color="000000"/>
              <w:right w:val="single" w:sz="4" w:space="0" w:color="000000"/>
            </w:tcBorders>
          </w:tcPr>
          <w:p>
            <w:pPr/>
          </w:p>
        </w:tc>
        <w:tc>
          <w:tcPr>
            <w:tcW w:w="920" w:type="dxa"/>
            <w:gridSpan w:val="2"/>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5"/>
                <w:sz w:val="18"/>
                <w:szCs w:val="18"/>
              </w:rPr>
              <w:t>深圳市军屯投资企业（有</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限合伙）</w:t>
            </w:r>
          </w:p>
        </w:tc>
        <w:tc>
          <w:tcPr>
            <w:tcW w:w="895"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40"/>
              <w:jc w:val="left"/>
              <w:rPr>
                <w:rFonts w:ascii="宋体" w:hAnsi="宋体" w:cs="宋体" w:eastAsia="宋体" w:hint="default"/>
                <w:sz w:val="18"/>
                <w:szCs w:val="18"/>
              </w:rPr>
            </w:pPr>
            <w:r>
              <w:rPr>
                <w:rFonts w:ascii="宋体" w:hAnsi="宋体" w:cs="宋体" w:eastAsia="宋体" w:hint="default"/>
                <w:sz w:val="18"/>
                <w:szCs w:val="18"/>
              </w:rPr>
              <w:t>境内非国 有法人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3.60%</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10,073,100</w:t>
            </w:r>
          </w:p>
        </w:tc>
        <w:tc>
          <w:tcPr>
            <w:tcW w:w="70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-426,900</w:t>
            </w:r>
          </w:p>
        </w:tc>
        <w:tc>
          <w:tcPr>
            <w:tcW w:w="987" w:type="dxa"/>
            <w:tcBorders>
              <w:top w:val="single" w:sz="4" w:space="0" w:color="000000"/>
              <w:left w:val="single" w:sz="4" w:space="0" w:color="000000"/>
              <w:bottom w:val="single" w:sz="4" w:space="0" w:color="000000"/>
              <w:right w:val="single" w:sz="4" w:space="0" w:color="000000"/>
            </w:tcBorders>
          </w:tcPr>
          <w:p>
            <w:pP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7"/>
              <w:jc w:val="right"/>
              <w:rPr>
                <w:rFonts w:ascii="Times New Roman" w:hAnsi="Times New Roman" w:cs="Times New Roman" w:eastAsia="Times New Roman" w:hint="default"/>
                <w:sz w:val="18"/>
                <w:szCs w:val="18"/>
              </w:rPr>
            </w:pPr>
            <w:r>
              <w:rPr>
                <w:rFonts w:ascii="Times New Roman"/>
                <w:sz w:val="18"/>
              </w:rPr>
              <w:t>10,073,100</w:t>
            </w:r>
          </w:p>
        </w:tc>
        <w:tc>
          <w:tcPr>
            <w:tcW w:w="1270" w:type="dxa"/>
            <w:tcBorders>
              <w:top w:val="single" w:sz="4" w:space="0" w:color="000000"/>
              <w:left w:val="single" w:sz="4" w:space="0" w:color="000000"/>
              <w:bottom w:val="single" w:sz="4" w:space="0" w:color="000000"/>
              <w:right w:val="single" w:sz="4" w:space="0" w:color="000000"/>
            </w:tcBorders>
          </w:tcPr>
          <w:p>
            <w:pPr/>
          </w:p>
        </w:tc>
        <w:tc>
          <w:tcPr>
            <w:tcW w:w="920" w:type="dxa"/>
            <w:gridSpan w:val="2"/>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50"/>
              <w:jc w:val="left"/>
              <w:rPr>
                <w:rFonts w:ascii="宋体" w:hAnsi="宋体" w:cs="宋体" w:eastAsia="宋体" w:hint="default"/>
                <w:sz w:val="18"/>
                <w:szCs w:val="18"/>
              </w:rPr>
            </w:pPr>
            <w:r>
              <w:rPr>
                <w:rFonts w:ascii="宋体" w:hAnsi="宋体" w:cs="宋体" w:eastAsia="宋体" w:hint="default"/>
                <w:sz w:val="18"/>
                <w:szCs w:val="18"/>
              </w:rPr>
              <w:t>斯隆新产品投资有限公 司</w:t>
            </w:r>
          </w:p>
        </w:tc>
        <w:tc>
          <w:tcPr>
            <w:tcW w:w="8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境外法人</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2.57%</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7,182,000</w:t>
            </w:r>
          </w:p>
        </w:tc>
        <w:tc>
          <w:tcPr>
            <w:tcW w:w="709" w:type="dxa"/>
            <w:gridSpan w:val="2"/>
            <w:tcBorders>
              <w:top w:val="single" w:sz="4" w:space="0" w:color="000000"/>
              <w:left w:val="single" w:sz="4" w:space="0" w:color="000000"/>
              <w:bottom w:val="single" w:sz="4" w:space="0" w:color="000000"/>
              <w:right w:val="single" w:sz="4" w:space="0" w:color="000000"/>
            </w:tcBorders>
          </w:tcPr>
          <w:p>
            <w:pPr/>
          </w:p>
        </w:tc>
        <w:tc>
          <w:tcPr>
            <w:tcW w:w="987" w:type="dxa"/>
            <w:tcBorders>
              <w:top w:val="single" w:sz="4" w:space="0" w:color="000000"/>
              <w:left w:val="single" w:sz="4" w:space="0" w:color="000000"/>
              <w:bottom w:val="single" w:sz="4" w:space="0" w:color="000000"/>
              <w:right w:val="single" w:sz="4" w:space="0" w:color="000000"/>
            </w:tcBorders>
          </w:tcPr>
          <w:p>
            <w:pP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7"/>
              <w:jc w:val="right"/>
              <w:rPr>
                <w:rFonts w:ascii="Times New Roman" w:hAnsi="Times New Roman" w:cs="Times New Roman" w:eastAsia="Times New Roman" w:hint="default"/>
                <w:sz w:val="18"/>
                <w:szCs w:val="18"/>
              </w:rPr>
            </w:pPr>
            <w:r>
              <w:rPr>
                <w:rFonts w:ascii="Times New Roman"/>
                <w:sz w:val="18"/>
              </w:rPr>
              <w:t>7,182,000</w:t>
            </w:r>
          </w:p>
        </w:tc>
        <w:tc>
          <w:tcPr>
            <w:tcW w:w="1270" w:type="dxa"/>
            <w:tcBorders>
              <w:top w:val="single" w:sz="4" w:space="0" w:color="000000"/>
              <w:left w:val="single" w:sz="4" w:space="0" w:color="000000"/>
              <w:bottom w:val="single" w:sz="4" w:space="0" w:color="000000"/>
              <w:right w:val="single" w:sz="4" w:space="0" w:color="000000"/>
            </w:tcBorders>
          </w:tcPr>
          <w:p>
            <w:pPr/>
          </w:p>
        </w:tc>
        <w:tc>
          <w:tcPr>
            <w:tcW w:w="920" w:type="dxa"/>
            <w:gridSpan w:val="2"/>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22" w:right="150"/>
              <w:jc w:val="left"/>
              <w:rPr>
                <w:rFonts w:ascii="宋体" w:hAnsi="宋体" w:cs="宋体" w:eastAsia="宋体" w:hint="default"/>
                <w:sz w:val="18"/>
                <w:szCs w:val="18"/>
              </w:rPr>
            </w:pPr>
            <w:r>
              <w:rPr>
                <w:rFonts w:ascii="宋体" w:hAnsi="宋体" w:cs="宋体" w:eastAsia="宋体" w:hint="default"/>
                <w:sz w:val="18"/>
                <w:szCs w:val="18"/>
              </w:rPr>
              <w:t>中国工商银行股份有限 公司－南方新优享灵活</w:t>
            </w:r>
          </w:p>
        </w:tc>
        <w:tc>
          <w:tcPr>
            <w:tcW w:w="89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1.13%</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3,163,900</w:t>
            </w:r>
          </w:p>
        </w:tc>
        <w:tc>
          <w:tcPr>
            <w:tcW w:w="70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 w:right="0"/>
              <w:jc w:val="left"/>
              <w:rPr>
                <w:rFonts w:ascii="Times New Roman" w:hAnsi="Times New Roman" w:cs="Times New Roman" w:eastAsia="Times New Roman" w:hint="default"/>
                <w:sz w:val="18"/>
                <w:szCs w:val="18"/>
              </w:rPr>
            </w:pPr>
            <w:r>
              <w:rPr>
                <w:rFonts w:ascii="Times New Roman"/>
                <w:sz w:val="18"/>
              </w:rPr>
              <w:t>3,163,90</w:t>
            </w:r>
          </w:p>
          <w:p>
            <w:pPr>
              <w:pStyle w:val="TableParagraph"/>
              <w:spacing w:line="240" w:lineRule="auto" w:before="105"/>
              <w:ind w:left="24" w:right="0"/>
              <w:jc w:val="left"/>
              <w:rPr>
                <w:rFonts w:ascii="Times New Roman" w:hAnsi="Times New Roman" w:cs="Times New Roman" w:eastAsia="Times New Roman" w:hint="default"/>
                <w:sz w:val="18"/>
                <w:szCs w:val="18"/>
              </w:rPr>
            </w:pPr>
            <w:r>
              <w:rPr>
                <w:rFonts w:ascii="Times New Roman"/>
                <w:sz w:val="18"/>
              </w:rPr>
              <w:t>0</w:t>
            </w:r>
          </w:p>
        </w:tc>
        <w:tc>
          <w:tcPr>
            <w:tcW w:w="987" w:type="dxa"/>
            <w:tcBorders>
              <w:top w:val="single" w:sz="4" w:space="0" w:color="000000"/>
              <w:left w:val="single" w:sz="4" w:space="0" w:color="000000"/>
              <w:bottom w:val="single" w:sz="4" w:space="0" w:color="000000"/>
              <w:right w:val="single" w:sz="4" w:space="0" w:color="000000"/>
            </w:tcBorders>
          </w:tcPr>
          <w:p>
            <w:pPr/>
          </w:p>
        </w:tc>
        <w:tc>
          <w:tcPr>
            <w:tcW w:w="1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7"/>
              <w:jc w:val="right"/>
              <w:rPr>
                <w:rFonts w:ascii="Times New Roman" w:hAnsi="Times New Roman" w:cs="Times New Roman" w:eastAsia="Times New Roman" w:hint="default"/>
                <w:sz w:val="18"/>
                <w:szCs w:val="18"/>
              </w:rPr>
            </w:pPr>
            <w:r>
              <w:rPr>
                <w:rFonts w:ascii="Times New Roman"/>
                <w:sz w:val="18"/>
              </w:rPr>
              <w:t>3,163,900</w:t>
            </w:r>
          </w:p>
        </w:tc>
        <w:tc>
          <w:tcPr>
            <w:tcW w:w="1270" w:type="dxa"/>
            <w:tcBorders>
              <w:top w:val="single" w:sz="4" w:space="0" w:color="000000"/>
              <w:left w:val="single" w:sz="4" w:space="0" w:color="000000"/>
              <w:bottom w:val="single" w:sz="4" w:space="0" w:color="000000"/>
              <w:right w:val="single" w:sz="4" w:space="0" w:color="000000"/>
            </w:tcBorders>
          </w:tcPr>
          <w:p>
            <w:pPr/>
          </w:p>
        </w:tc>
        <w:tc>
          <w:tcPr>
            <w:tcW w:w="920" w:type="dxa"/>
            <w:gridSpan w:val="2"/>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宋体" w:hAnsi="宋体" w:cs="宋体" w:eastAsia="宋体" w:hint="default"/>
          <w:sz w:val="20"/>
          <w:szCs w:val="20"/>
        </w:rPr>
      </w:pPr>
      <w:r>
        <w:rPr/>
        <w:pict>
          <v:shape style="position:absolute;margin-left:56.459999pt;margin-top:71.999985pt;width:479.2pt;height:670.3pt;mso-position-horizontal-relative:page;mso-position-vertical-relative:page;z-index:16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85"/>
                    <w:gridCol w:w="895"/>
                    <w:gridCol w:w="788"/>
                    <w:gridCol w:w="1010"/>
                    <w:gridCol w:w="284"/>
                    <w:gridCol w:w="425"/>
                    <w:gridCol w:w="992"/>
                    <w:gridCol w:w="993"/>
                    <w:gridCol w:w="1276"/>
                    <w:gridCol w:w="920"/>
                  </w:tblGrid>
                  <w:tr>
                    <w:trPr>
                      <w:trHeight w:val="674"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50"/>
                          <w:jc w:val="left"/>
                          <w:rPr>
                            <w:rFonts w:ascii="宋体" w:hAnsi="宋体" w:cs="宋体" w:eastAsia="宋体" w:hint="default"/>
                            <w:sz w:val="18"/>
                            <w:szCs w:val="18"/>
                          </w:rPr>
                        </w:pPr>
                        <w:r>
                          <w:rPr>
                            <w:rFonts w:ascii="宋体" w:hAnsi="宋体" w:cs="宋体" w:eastAsia="宋体" w:hint="default"/>
                            <w:sz w:val="18"/>
                            <w:szCs w:val="18"/>
                          </w:rPr>
                          <w:t>配置混合型证券投资基 金</w:t>
                        </w:r>
                      </w:p>
                    </w:tc>
                    <w:tc>
                      <w:tcPr>
                        <w:tcW w:w="895" w:type="dxa"/>
                        <w:tcBorders>
                          <w:top w:val="single" w:sz="4" w:space="0" w:color="000000"/>
                          <w:left w:val="single" w:sz="4" w:space="0" w:color="000000"/>
                          <w:bottom w:val="single" w:sz="4" w:space="0" w:color="000000"/>
                          <w:right w:val="single" w:sz="4" w:space="0" w:color="000000"/>
                        </w:tcBorders>
                      </w:tcPr>
                      <w:p>
                        <w:pPr/>
                      </w:p>
                    </w:tc>
                    <w:tc>
                      <w:tcPr>
                        <w:tcW w:w="788" w:type="dxa"/>
                        <w:tcBorders>
                          <w:top w:val="single" w:sz="4" w:space="0" w:color="000000"/>
                          <w:left w:val="single" w:sz="4" w:space="0" w:color="000000"/>
                          <w:bottom w:val="single" w:sz="4" w:space="0" w:color="000000"/>
                          <w:right w:val="single" w:sz="4" w:space="0" w:color="000000"/>
                        </w:tcBorders>
                      </w:tcPr>
                      <w:p>
                        <w:pPr/>
                      </w:p>
                    </w:tc>
                    <w:tc>
                      <w:tcPr>
                        <w:tcW w:w="1010" w:type="dxa"/>
                        <w:tcBorders>
                          <w:top w:val="single" w:sz="4" w:space="0" w:color="000000"/>
                          <w:left w:val="single" w:sz="4" w:space="0" w:color="000000"/>
                          <w:bottom w:val="single" w:sz="4" w:space="0" w:color="000000"/>
                          <w:right w:val="single" w:sz="4" w:space="0" w:color="000000"/>
                        </w:tcBorders>
                      </w:tcPr>
                      <w:p>
                        <w:pPr/>
                      </w:p>
                    </w:tc>
                    <w:tc>
                      <w:tcPr>
                        <w:tcW w:w="709" w:type="dxa"/>
                        <w:gridSpan w:val="2"/>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
                    </w:tc>
                    <w:tc>
                      <w:tcPr>
                        <w:tcW w:w="1276" w:type="dxa"/>
                        <w:tcBorders>
                          <w:top w:val="single" w:sz="4" w:space="0" w:color="000000"/>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50"/>
                          <w:jc w:val="both"/>
                          <w:rPr>
                            <w:rFonts w:ascii="宋体" w:hAnsi="宋体" w:cs="宋体" w:eastAsia="宋体" w:hint="default"/>
                            <w:sz w:val="18"/>
                            <w:szCs w:val="18"/>
                          </w:rPr>
                        </w:pPr>
                        <w:r>
                          <w:rPr>
                            <w:rFonts w:ascii="宋体" w:hAnsi="宋体" w:cs="宋体" w:eastAsia="宋体" w:hint="default"/>
                            <w:sz w:val="18"/>
                            <w:szCs w:val="18"/>
                          </w:rPr>
                          <w:t>中国工商银行股份有限 公司－诺安成长混合型 证券投资基金</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0.46%</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1,286,110</w:t>
                        </w:r>
                      </w:p>
                    </w:tc>
                    <w:tc>
                      <w:tcPr>
                        <w:tcW w:w="70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1,286,11</w:t>
                        </w:r>
                      </w:p>
                      <w:p>
                        <w:pPr>
                          <w:pStyle w:val="TableParagraph"/>
                          <w:spacing w:line="240" w:lineRule="auto" w:before="105"/>
                          <w:ind w:left="24" w:right="0"/>
                          <w:jc w:val="left"/>
                          <w:rPr>
                            <w:rFonts w:ascii="Times New Roman" w:hAnsi="Times New Roman" w:cs="Times New Roman" w:eastAsia="Times New Roman" w:hint="default"/>
                            <w:sz w:val="18"/>
                            <w:szCs w:val="18"/>
                          </w:rPr>
                        </w:pPr>
                        <w:r>
                          <w:rPr>
                            <w:rFonts w:ascii="Times New Roman"/>
                            <w:sz w:val="18"/>
                          </w:rPr>
                          <w:t>0</w:t>
                        </w:r>
                      </w:p>
                    </w:tc>
                    <w:tc>
                      <w:tcPr>
                        <w:tcW w:w="992"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1,286,110</w:t>
                        </w:r>
                      </w:p>
                    </w:tc>
                    <w:tc>
                      <w:tcPr>
                        <w:tcW w:w="1276" w:type="dxa"/>
                        <w:tcBorders>
                          <w:top w:val="single" w:sz="4" w:space="0" w:color="000000"/>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中国银行股份有限公司</w:t>
                        </w:r>
                      </w:p>
                      <w:p>
                        <w:pPr>
                          <w:pStyle w:val="TableParagraph"/>
                          <w:spacing w:line="319" w:lineRule="auto" w:before="75"/>
                          <w:ind w:left="22" w:right="150"/>
                          <w:jc w:val="left"/>
                          <w:rPr>
                            <w:rFonts w:ascii="宋体" w:hAnsi="宋体" w:cs="宋体" w:eastAsia="宋体" w:hint="default"/>
                            <w:sz w:val="18"/>
                            <w:szCs w:val="18"/>
                          </w:rPr>
                        </w:pPr>
                        <w:r>
                          <w:rPr>
                            <w:rFonts w:ascii="宋体" w:hAnsi="宋体" w:cs="宋体" w:eastAsia="宋体" w:hint="default"/>
                            <w:sz w:val="18"/>
                            <w:szCs w:val="18"/>
                          </w:rPr>
                          <w:t>－嘉实逆向策略股票型 证券投资基金</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0.44%</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1,245,266</w:t>
                        </w:r>
                      </w:p>
                    </w:tc>
                    <w:tc>
                      <w:tcPr>
                        <w:tcW w:w="70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1,245,26</w:t>
                        </w:r>
                      </w:p>
                      <w:p>
                        <w:pPr>
                          <w:pStyle w:val="TableParagraph"/>
                          <w:spacing w:line="240" w:lineRule="auto" w:before="105"/>
                          <w:ind w:left="24" w:right="0"/>
                          <w:jc w:val="left"/>
                          <w:rPr>
                            <w:rFonts w:ascii="Times New Roman" w:hAnsi="Times New Roman" w:cs="Times New Roman" w:eastAsia="Times New Roman" w:hint="default"/>
                            <w:sz w:val="18"/>
                            <w:szCs w:val="18"/>
                          </w:rPr>
                        </w:pPr>
                        <w:r>
                          <w:rPr>
                            <w:rFonts w:ascii="Times New Roman"/>
                            <w:sz w:val="18"/>
                          </w:rPr>
                          <w:t>6</w:t>
                        </w:r>
                      </w:p>
                    </w:tc>
                    <w:tc>
                      <w:tcPr>
                        <w:tcW w:w="992"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1,245,266</w:t>
                        </w:r>
                      </w:p>
                    </w:tc>
                    <w:tc>
                      <w:tcPr>
                        <w:tcW w:w="1276" w:type="dxa"/>
                        <w:tcBorders>
                          <w:top w:val="single" w:sz="4" w:space="0" w:color="000000"/>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50"/>
                          <w:jc w:val="both"/>
                          <w:rPr>
                            <w:rFonts w:ascii="宋体" w:hAnsi="宋体" w:cs="宋体" w:eastAsia="宋体" w:hint="default"/>
                            <w:sz w:val="18"/>
                            <w:szCs w:val="18"/>
                          </w:rPr>
                        </w:pPr>
                        <w:r>
                          <w:rPr>
                            <w:rFonts w:ascii="宋体" w:hAnsi="宋体" w:cs="宋体" w:eastAsia="宋体" w:hint="default"/>
                            <w:sz w:val="18"/>
                            <w:szCs w:val="18"/>
                          </w:rPr>
                          <w:t>中国工商银行股份有限 公司－鹏华消费优选混 合型证券投资基金</w:t>
                        </w:r>
                      </w:p>
                    </w:tc>
                    <w:tc>
                      <w:tcPr>
                        <w:tcW w:w="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0.40%</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sz w:val="18"/>
                          </w:rPr>
                          <w:t>1,111,000</w:t>
                        </w:r>
                      </w:p>
                    </w:tc>
                    <w:tc>
                      <w:tcPr>
                        <w:tcW w:w="70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sz w:val="18"/>
                          </w:rPr>
                          <w:t>1,111,00</w:t>
                        </w:r>
                      </w:p>
                      <w:p>
                        <w:pPr>
                          <w:pStyle w:val="TableParagraph"/>
                          <w:spacing w:line="240" w:lineRule="auto" w:before="105"/>
                          <w:ind w:left="24" w:right="0"/>
                          <w:jc w:val="left"/>
                          <w:rPr>
                            <w:rFonts w:ascii="Times New Roman" w:hAnsi="Times New Roman" w:cs="Times New Roman" w:eastAsia="Times New Roman" w:hint="default"/>
                            <w:sz w:val="18"/>
                            <w:szCs w:val="18"/>
                          </w:rPr>
                        </w:pPr>
                        <w:r>
                          <w:rPr>
                            <w:rFonts w:ascii="Times New Roman"/>
                            <w:sz w:val="18"/>
                          </w:rPr>
                          <w:t>0</w:t>
                        </w:r>
                      </w:p>
                    </w:tc>
                    <w:tc>
                      <w:tcPr>
                        <w:tcW w:w="992" w:type="dxa"/>
                        <w:tcBorders>
                          <w:top w:val="single" w:sz="4" w:space="0" w:color="000000"/>
                          <w:left w:val="single" w:sz="4" w:space="0" w:color="000000"/>
                          <w:bottom w:val="single" w:sz="4" w:space="0" w:color="000000"/>
                          <w:right w:val="single" w:sz="4" w:space="0" w:color="000000"/>
                        </w:tcBorders>
                      </w:tcPr>
                      <w:p>
                        <w:pPr/>
                      </w:p>
                    </w:tc>
                    <w:tc>
                      <w:tcPr>
                        <w:tcW w:w="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1,111,000</w:t>
                        </w:r>
                      </w:p>
                    </w:tc>
                    <w:tc>
                      <w:tcPr>
                        <w:tcW w:w="1276" w:type="dxa"/>
                        <w:tcBorders>
                          <w:top w:val="single" w:sz="4" w:space="0" w:color="000000"/>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88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0"/>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战略投资者或一般法人因配售新股 成为前</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
                            <w:sz w:val="18"/>
                            <w:szCs w:val="18"/>
                          </w:rPr>
                          <w:t> </w:t>
                        </w:r>
                        <w:r>
                          <w:rPr>
                            <w:rFonts w:ascii="宋体" w:hAnsi="宋体" w:cs="宋体" w:eastAsia="宋体" w:hint="default"/>
                            <w:spacing w:val="-13"/>
                            <w:sz w:val="18"/>
                            <w:szCs w:val="18"/>
                          </w:rPr>
                          <w:t>名股东的情况（如有）（参</w:t>
                        </w:r>
                        <w:r>
                          <w:rPr>
                            <w:rFonts w:ascii="宋体" w:hAnsi="宋体" w:cs="宋体" w:eastAsia="宋体" w:hint="default"/>
                            <w:sz w:val="18"/>
                            <w:szCs w:val="18"/>
                          </w:rPr>
                          <w:t> 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6688" w:type="dxa"/>
                        <w:gridSpan w:val="8"/>
                        <w:tcBorders>
                          <w:top w:val="single" w:sz="4" w:space="0" w:color="000000"/>
                          <w:left w:val="single" w:sz="9"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714" w:hRule="exact"/>
                    </w:trPr>
                    <w:tc>
                      <w:tcPr>
                        <w:tcW w:w="288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147"/>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上述股东关联关系或一致行动的说 明</w:t>
                        </w:r>
                      </w:p>
                    </w:tc>
                    <w:tc>
                      <w:tcPr>
                        <w:tcW w:w="6688" w:type="dxa"/>
                        <w:gridSpan w:val="8"/>
                        <w:tcBorders>
                          <w:top w:val="single" w:sz="4" w:space="0" w:color="000000"/>
                          <w:left w:val="single" w:sz="9" w:space="0" w:color="D2D2D2"/>
                          <w:bottom w:val="single" w:sz="4" w:space="0" w:color="000000"/>
                          <w:right w:val="single" w:sz="4" w:space="0" w:color="000000"/>
                        </w:tcBorders>
                      </w:tcPr>
                      <w:p>
                        <w:pPr>
                          <w:pStyle w:val="TableParagraph"/>
                          <w:spacing w:line="316" w:lineRule="auto" w:before="51"/>
                          <w:ind w:left="16" w:right="22"/>
                          <w:jc w:val="left"/>
                          <w:rPr>
                            <w:rFonts w:ascii="宋体" w:hAnsi="宋体" w:cs="宋体" w:eastAsia="宋体" w:hint="default"/>
                            <w:sz w:val="18"/>
                            <w:szCs w:val="18"/>
                          </w:rPr>
                        </w:pPr>
                        <w:r>
                          <w:rPr>
                            <w:rFonts w:ascii="宋体" w:hAnsi="宋体" w:cs="宋体" w:eastAsia="宋体" w:hint="default"/>
                            <w:spacing w:val="-1"/>
                            <w:sz w:val="18"/>
                            <w:szCs w:val="18"/>
                          </w:rPr>
                          <w:t>上述持有有限售条件的股份的股东之间不存在一致行动关系。公司未知其余股东之间</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是否存在关联关系，也未知是否属于一致行动人。</w:t>
                        </w:r>
                      </w:p>
                    </w:tc>
                  </w:tr>
                  <w:tr>
                    <w:trPr>
                      <w:trHeight w:val="397" w:hRule="exact"/>
                    </w:trPr>
                    <w:tc>
                      <w:tcPr>
                        <w:tcW w:w="9569" w:type="dxa"/>
                        <w:gridSpan w:val="10"/>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210" w:hRule="exact"/>
                    </w:trPr>
                    <w:tc>
                      <w:tcPr>
                        <w:tcW w:w="4963" w:type="dxa"/>
                        <w:gridSpan w:val="5"/>
                        <w:tcBorders>
                          <w:top w:val="single" w:sz="4" w:space="0" w:color="000000"/>
                          <w:left w:val="single" w:sz="4" w:space="0" w:color="000000"/>
                          <w:bottom w:val="nil" w:sz="6" w:space="0" w:color="auto"/>
                          <w:right w:val="single" w:sz="4" w:space="0" w:color="000000"/>
                        </w:tcBorders>
                        <w:shd w:val="clear" w:color="auto" w:fill="D2D2D2"/>
                      </w:tcPr>
                      <w:p>
                        <w:pPr/>
                      </w:p>
                    </w:tc>
                    <w:tc>
                      <w:tcPr>
                        <w:tcW w:w="2410"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100"/>
                          <w:ind w:left="1018" w:right="29" w:hanging="990"/>
                          <w:jc w:val="left"/>
                          <w:rPr>
                            <w:rFonts w:ascii="宋体" w:hAnsi="宋体" w:cs="宋体" w:eastAsia="宋体" w:hint="default"/>
                            <w:sz w:val="18"/>
                            <w:szCs w:val="18"/>
                          </w:rPr>
                        </w:pPr>
                        <w:r>
                          <w:rPr>
                            <w:rFonts w:ascii="宋体" w:hAnsi="宋体" w:cs="宋体" w:eastAsia="宋体" w:hint="default"/>
                            <w:sz w:val="18"/>
                            <w:szCs w:val="18"/>
                          </w:rPr>
                          <w:t>报告期末持有无限售条件股份 数量</w:t>
                        </w:r>
                      </w:p>
                    </w:tc>
                    <w:tc>
                      <w:tcPr>
                        <w:tcW w:w="219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192" w:hRule="exact"/>
                    </w:trPr>
                    <w:tc>
                      <w:tcPr>
                        <w:tcW w:w="4963" w:type="dxa"/>
                        <w:gridSpan w:val="5"/>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2410" w:type="dxa"/>
                        <w:gridSpan w:val="3"/>
                        <w:vMerge/>
                        <w:tcBorders>
                          <w:left w:val="single" w:sz="4" w:space="0" w:color="000000"/>
                          <w:right w:val="single" w:sz="4" w:space="0" w:color="000000"/>
                        </w:tcBorders>
                        <w:shd w:val="clear" w:color="auto" w:fill="D2D2D2"/>
                      </w:tcPr>
                      <w:p>
                        <w:pPr/>
                      </w:p>
                    </w:tc>
                    <w:tc>
                      <w:tcPr>
                        <w:tcW w:w="2196"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4963" w:type="dxa"/>
                        <w:gridSpan w:val="5"/>
                        <w:vMerge/>
                        <w:tcBorders>
                          <w:left w:val="single" w:sz="4" w:space="0" w:color="000000"/>
                          <w:bottom w:val="nil" w:sz="6" w:space="0" w:color="auto"/>
                          <w:right w:val="single" w:sz="4" w:space="0" w:color="000000"/>
                        </w:tcBorders>
                        <w:shd w:val="clear" w:color="auto" w:fill="D2D2D2"/>
                      </w:tcPr>
                      <w:p>
                        <w:pPr/>
                      </w:p>
                    </w:tc>
                    <w:tc>
                      <w:tcPr>
                        <w:tcW w:w="2410" w:type="dxa"/>
                        <w:gridSpan w:val="3"/>
                        <w:vMerge/>
                        <w:tcBorders>
                          <w:left w:val="single" w:sz="4" w:space="0" w:color="000000"/>
                          <w:right w:val="single" w:sz="4" w:space="0" w:color="000000"/>
                        </w:tcBorders>
                        <w:shd w:val="clear" w:color="auto" w:fill="D2D2D2"/>
                      </w:tcPr>
                      <w:p>
                        <w:pPr/>
                      </w:p>
                    </w:tc>
                    <w:tc>
                      <w:tcPr>
                        <w:tcW w:w="127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72" w:right="0"/>
                          <w:jc w:val="left"/>
                          <w:rPr>
                            <w:rFonts w:ascii="宋体" w:hAnsi="宋体" w:cs="宋体" w:eastAsia="宋体" w:hint="default"/>
                            <w:sz w:val="18"/>
                            <w:szCs w:val="18"/>
                          </w:rPr>
                        </w:pPr>
                        <w:r>
                          <w:rPr>
                            <w:rFonts w:ascii="宋体" w:hAnsi="宋体" w:cs="宋体" w:eastAsia="宋体" w:hint="default"/>
                            <w:sz w:val="18"/>
                            <w:szCs w:val="18"/>
                          </w:rPr>
                          <w:t>股份种类</w:t>
                        </w:r>
                      </w:p>
                    </w:tc>
                    <w:tc>
                      <w:tcPr>
                        <w:tcW w:w="92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74" w:right="0"/>
                          <w:jc w:val="left"/>
                          <w:rPr>
                            <w:rFonts w:ascii="宋体" w:hAnsi="宋体" w:cs="宋体" w:eastAsia="宋体" w:hint="default"/>
                            <w:sz w:val="18"/>
                            <w:szCs w:val="18"/>
                          </w:rPr>
                        </w:pPr>
                        <w:r>
                          <w:rPr>
                            <w:rFonts w:ascii="宋体" w:hAnsi="宋体" w:cs="宋体" w:eastAsia="宋体" w:hint="default"/>
                            <w:sz w:val="18"/>
                            <w:szCs w:val="18"/>
                          </w:rPr>
                          <w:t>数量</w:t>
                        </w:r>
                      </w:p>
                    </w:tc>
                  </w:tr>
                  <w:tr>
                    <w:trPr>
                      <w:trHeight w:val="206" w:hRule="exact"/>
                    </w:trPr>
                    <w:tc>
                      <w:tcPr>
                        <w:tcW w:w="4963" w:type="dxa"/>
                        <w:gridSpan w:val="5"/>
                        <w:tcBorders>
                          <w:top w:val="nil" w:sz="6" w:space="0" w:color="auto"/>
                          <w:left w:val="single" w:sz="4" w:space="0" w:color="000000"/>
                          <w:bottom w:val="single" w:sz="4" w:space="0" w:color="000000"/>
                          <w:right w:val="single" w:sz="4" w:space="0" w:color="000000"/>
                        </w:tcBorders>
                        <w:shd w:val="clear" w:color="auto" w:fill="D2D2D2"/>
                      </w:tcPr>
                      <w:p>
                        <w:pPr/>
                      </w:p>
                    </w:tc>
                    <w:tc>
                      <w:tcPr>
                        <w:tcW w:w="2410" w:type="dxa"/>
                        <w:gridSpan w:val="3"/>
                        <w:vMerge/>
                        <w:tcBorders>
                          <w:left w:val="single" w:sz="4" w:space="0" w:color="000000"/>
                          <w:bottom w:val="single" w:sz="4" w:space="0" w:color="000000"/>
                          <w:right w:val="single" w:sz="4" w:space="0" w:color="000000"/>
                        </w:tcBorders>
                        <w:shd w:val="clear" w:color="auto" w:fill="D2D2D2"/>
                      </w:tcPr>
                      <w:p>
                        <w:pPr/>
                      </w:p>
                    </w:tc>
                    <w:tc>
                      <w:tcPr>
                        <w:tcW w:w="1276" w:type="dxa"/>
                        <w:vMerge/>
                        <w:tcBorders>
                          <w:left w:val="single" w:sz="4" w:space="0" w:color="000000"/>
                          <w:bottom w:val="single" w:sz="4" w:space="0" w:color="000000"/>
                          <w:right w:val="single" w:sz="4" w:space="0" w:color="000000"/>
                        </w:tcBorders>
                        <w:shd w:val="clear" w:color="auto" w:fill="D2D2D2"/>
                      </w:tcPr>
                      <w:p>
                        <w:pPr/>
                      </w:p>
                    </w:tc>
                    <w:tc>
                      <w:tcPr>
                        <w:tcW w:w="920"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4963"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深圳市中洲创业投资有限公司</w:t>
                        </w:r>
                      </w:p>
                    </w:tc>
                    <w:tc>
                      <w:tcPr>
                        <w:tcW w:w="2410" w:type="dxa"/>
                        <w:gridSpan w:val="3"/>
                        <w:tcBorders>
                          <w:top w:val="single" w:sz="22" w:space="0" w:color="D2D2D2"/>
                          <w:left w:val="single" w:sz="4" w:space="0" w:color="000000"/>
                          <w:bottom w:val="single" w:sz="4" w:space="0" w:color="000000"/>
                          <w:right w:val="single" w:sz="4" w:space="0" w:color="000000"/>
                        </w:tcBorders>
                      </w:tcPr>
                      <w:p>
                        <w:pPr>
                          <w:pStyle w:val="TableParagraph"/>
                          <w:spacing w:line="240" w:lineRule="auto" w:before="68"/>
                          <w:ind w:left="1566" w:right="0"/>
                          <w:jc w:val="left"/>
                          <w:rPr>
                            <w:rFonts w:ascii="Times New Roman" w:hAnsi="Times New Roman" w:cs="Times New Roman" w:eastAsia="Times New Roman" w:hint="default"/>
                            <w:sz w:val="18"/>
                            <w:szCs w:val="18"/>
                          </w:rPr>
                        </w:pPr>
                        <w:r>
                          <w:rPr>
                            <w:rFonts w:ascii="Times New Roman"/>
                            <w:sz w:val="18"/>
                          </w:rPr>
                          <w:t>17,170,000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17,170,000</w:t>
                        </w:r>
                      </w:p>
                    </w:tc>
                  </w:tr>
                  <w:tr>
                    <w:trPr>
                      <w:trHeight w:val="402" w:hRule="exact"/>
                    </w:trPr>
                    <w:tc>
                      <w:tcPr>
                        <w:tcW w:w="4963"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亚晟发展集团有限公司</w:t>
                        </w:r>
                      </w:p>
                    </w:tc>
                    <w:tc>
                      <w:tcPr>
                        <w:tcW w:w="24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73" w:right="0"/>
                          <w:jc w:val="left"/>
                          <w:rPr>
                            <w:rFonts w:ascii="Times New Roman" w:hAnsi="Times New Roman" w:cs="Times New Roman" w:eastAsia="Times New Roman" w:hint="default"/>
                            <w:sz w:val="18"/>
                            <w:szCs w:val="18"/>
                          </w:rPr>
                        </w:pPr>
                        <w:r>
                          <w:rPr>
                            <w:rFonts w:ascii="Times New Roman"/>
                            <w:sz w:val="18"/>
                          </w:rPr>
                          <w:t>11,009,900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11,009,900</w:t>
                        </w:r>
                      </w:p>
                    </w:tc>
                  </w:tr>
                  <w:tr>
                    <w:trPr>
                      <w:trHeight w:val="402" w:hRule="exact"/>
                    </w:trPr>
                    <w:tc>
                      <w:tcPr>
                        <w:tcW w:w="4963"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深圳市军屯投资企业（有限合伙）</w:t>
                        </w:r>
                      </w:p>
                    </w:tc>
                    <w:tc>
                      <w:tcPr>
                        <w:tcW w:w="24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66" w:right="0"/>
                          <w:jc w:val="left"/>
                          <w:rPr>
                            <w:rFonts w:ascii="Times New Roman" w:hAnsi="Times New Roman" w:cs="Times New Roman" w:eastAsia="Times New Roman" w:hint="default"/>
                            <w:sz w:val="18"/>
                            <w:szCs w:val="18"/>
                          </w:rPr>
                        </w:pPr>
                        <w:r>
                          <w:rPr>
                            <w:rFonts w:ascii="Times New Roman"/>
                            <w:sz w:val="18"/>
                          </w:rPr>
                          <w:t>10,073,100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10,073,100</w:t>
                        </w:r>
                      </w:p>
                    </w:tc>
                  </w:tr>
                  <w:tr>
                    <w:trPr>
                      <w:trHeight w:val="402" w:hRule="exact"/>
                    </w:trPr>
                    <w:tc>
                      <w:tcPr>
                        <w:tcW w:w="4963"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斯隆新产品投资有限公司</w:t>
                        </w:r>
                      </w:p>
                    </w:tc>
                    <w:tc>
                      <w:tcPr>
                        <w:tcW w:w="24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7,182,000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7,182,000</w:t>
                        </w:r>
                      </w:p>
                    </w:tc>
                  </w:tr>
                  <w:tr>
                    <w:trPr>
                      <w:trHeight w:val="714" w:hRule="exact"/>
                    </w:trPr>
                    <w:tc>
                      <w:tcPr>
                        <w:tcW w:w="4963" w:type="dxa"/>
                        <w:gridSpan w:val="5"/>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68"/>
                          <w:jc w:val="left"/>
                          <w:rPr>
                            <w:rFonts w:ascii="宋体" w:hAnsi="宋体" w:cs="宋体" w:eastAsia="宋体" w:hint="default"/>
                            <w:sz w:val="18"/>
                            <w:szCs w:val="18"/>
                          </w:rPr>
                        </w:pPr>
                        <w:r>
                          <w:rPr>
                            <w:rFonts w:ascii="宋体" w:hAnsi="宋体" w:cs="宋体" w:eastAsia="宋体" w:hint="default"/>
                            <w:sz w:val="18"/>
                            <w:szCs w:val="18"/>
                          </w:rPr>
                          <w:t>中国工商银行股份有限公司－南方新优享灵活配置混合型证券 投资基金</w:t>
                        </w:r>
                      </w:p>
                    </w:tc>
                    <w:tc>
                      <w:tcPr>
                        <w:tcW w:w="24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3,163,900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3,163,900</w:t>
                        </w:r>
                      </w:p>
                    </w:tc>
                  </w:tr>
                  <w:tr>
                    <w:trPr>
                      <w:trHeight w:val="402" w:hRule="exact"/>
                    </w:trPr>
                    <w:tc>
                      <w:tcPr>
                        <w:tcW w:w="4963"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中国工商银行股份有限公司－诺安成长混合型证券投资基金</w:t>
                        </w:r>
                      </w:p>
                    </w:tc>
                    <w:tc>
                      <w:tcPr>
                        <w:tcW w:w="24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1,286,110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1,286,110</w:t>
                        </w:r>
                      </w:p>
                    </w:tc>
                  </w:tr>
                  <w:tr>
                    <w:trPr>
                      <w:trHeight w:val="402" w:hRule="exact"/>
                    </w:trPr>
                    <w:tc>
                      <w:tcPr>
                        <w:tcW w:w="4963"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中国银行股份有限公司－嘉实逆向策略股票型证券投资基金</w:t>
                        </w:r>
                      </w:p>
                    </w:tc>
                    <w:tc>
                      <w:tcPr>
                        <w:tcW w:w="24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1,245,266</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1,245,266</w:t>
                        </w:r>
                      </w:p>
                    </w:tc>
                  </w:tr>
                  <w:tr>
                    <w:trPr>
                      <w:trHeight w:val="714" w:hRule="exact"/>
                    </w:trPr>
                    <w:tc>
                      <w:tcPr>
                        <w:tcW w:w="4963" w:type="dxa"/>
                        <w:gridSpan w:val="5"/>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68"/>
                          <w:jc w:val="left"/>
                          <w:rPr>
                            <w:rFonts w:ascii="宋体" w:hAnsi="宋体" w:cs="宋体" w:eastAsia="宋体" w:hint="default"/>
                            <w:sz w:val="18"/>
                            <w:szCs w:val="18"/>
                          </w:rPr>
                        </w:pPr>
                        <w:r>
                          <w:rPr>
                            <w:rFonts w:ascii="宋体" w:hAnsi="宋体" w:cs="宋体" w:eastAsia="宋体" w:hint="default"/>
                            <w:sz w:val="18"/>
                            <w:szCs w:val="18"/>
                          </w:rPr>
                          <w:t>中国工商银行股份有限公司－鹏华消费优选混合型证券投资基 金</w:t>
                        </w:r>
                      </w:p>
                    </w:tc>
                    <w:tc>
                      <w:tcPr>
                        <w:tcW w:w="24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1,111,000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2"/>
                            <w:sz w:val="18"/>
                          </w:rPr>
                          <w:t>1,111,000</w:t>
                        </w:r>
                      </w:p>
                    </w:tc>
                  </w:tr>
                  <w:tr>
                    <w:trPr>
                      <w:trHeight w:val="714" w:hRule="exact"/>
                    </w:trPr>
                    <w:tc>
                      <w:tcPr>
                        <w:tcW w:w="4963" w:type="dxa"/>
                        <w:gridSpan w:val="5"/>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69"/>
                          <w:jc w:val="left"/>
                          <w:rPr>
                            <w:rFonts w:ascii="宋体" w:hAnsi="宋体" w:cs="宋体" w:eastAsia="宋体" w:hint="default"/>
                            <w:sz w:val="18"/>
                            <w:szCs w:val="18"/>
                          </w:rPr>
                        </w:pPr>
                        <w:r>
                          <w:rPr>
                            <w:rFonts w:ascii="宋体" w:hAnsi="宋体" w:cs="宋体" w:eastAsia="宋体" w:hint="default"/>
                            <w:sz w:val="18"/>
                            <w:szCs w:val="18"/>
                          </w:rPr>
                          <w:t>鹏华基金－兴业银行－鹏华基金－鹏银</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号特定多客户资产管 理计划</w:t>
                        </w:r>
                      </w:p>
                    </w:tc>
                    <w:tc>
                      <w:tcPr>
                        <w:tcW w:w="24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943,651</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943,651</w:t>
                        </w:r>
                      </w:p>
                    </w:tc>
                  </w:tr>
                  <w:tr>
                    <w:trPr>
                      <w:trHeight w:val="402" w:hRule="exact"/>
                    </w:trPr>
                    <w:tc>
                      <w:tcPr>
                        <w:tcW w:w="4963"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吴东明</w:t>
                        </w:r>
                      </w:p>
                    </w:tc>
                    <w:tc>
                      <w:tcPr>
                        <w:tcW w:w="241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906,250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906,250</w:t>
                        </w:r>
                      </w:p>
                    </w:tc>
                  </w:tr>
                  <w:tr>
                    <w:trPr>
                      <w:trHeight w:val="714" w:hRule="exact"/>
                    </w:trPr>
                    <w:tc>
                      <w:tcPr>
                        <w:tcW w:w="496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名无限售流通股股东之间，以及前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名无限售流通股股</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东和前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名股东之间关联关系或一致行动的说明</w:t>
                        </w:r>
                      </w:p>
                    </w:tc>
                    <w:tc>
                      <w:tcPr>
                        <w:tcW w:w="4606" w:type="dxa"/>
                        <w:gridSpan w:val="5"/>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公司未知上述无限售流通股股东之间是否存在关联关系， 也未知是否属于一致行动人。</w:t>
                        </w:r>
                      </w:p>
                    </w:tc>
                  </w:tr>
                  <w:tr>
                    <w:trPr>
                      <w:trHeight w:val="1026" w:hRule="exact"/>
                    </w:trPr>
                    <w:tc>
                      <w:tcPr>
                        <w:tcW w:w="496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参与融资融券业务股东情况说明（如有</w:t>
                        </w:r>
                        <w:r>
                          <w:rPr>
                            <w:rFonts w:ascii="宋体" w:hAnsi="宋体" w:cs="宋体" w:eastAsia="宋体" w:hint="default"/>
                            <w:spacing w:val="-90"/>
                            <w:sz w:val="18"/>
                            <w:szCs w:val="18"/>
                          </w:rPr>
                          <w:t>）</w:t>
                        </w:r>
                        <w:r>
                          <w:rPr>
                            <w:rFonts w:ascii="宋体" w:hAnsi="宋体" w:cs="宋体" w:eastAsia="宋体" w:hint="default"/>
                            <w:sz w:val="18"/>
                            <w:szCs w:val="18"/>
                          </w:rPr>
                          <w:t>（参见注</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460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公司股东吴东明，通过普通账户持有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股，通过招商证券</w:t>
                        </w:r>
                      </w:p>
                      <w:p>
                        <w:pPr>
                          <w:pStyle w:val="TableParagraph"/>
                          <w:spacing w:line="240" w:lineRule="auto" w:before="61"/>
                          <w:ind w:left="22" w:right="0"/>
                          <w:jc w:val="left"/>
                          <w:rPr>
                            <w:rFonts w:ascii="宋体" w:hAnsi="宋体" w:cs="宋体" w:eastAsia="宋体" w:hint="default"/>
                            <w:sz w:val="18"/>
                            <w:szCs w:val="18"/>
                          </w:rPr>
                        </w:pPr>
                        <w:r>
                          <w:rPr>
                            <w:rFonts w:ascii="宋体" w:hAnsi="宋体" w:cs="宋体" w:eastAsia="宋体" w:hint="default"/>
                            <w:sz w:val="18"/>
                            <w:szCs w:val="18"/>
                          </w:rPr>
                          <w:t>股份有限公司客户信用交易担保证券账户持有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906,250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实际合计持有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906,250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w:t>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pStyle w:val="BodyText"/>
        <w:spacing w:line="240" w:lineRule="auto" w:before="44"/>
        <w:ind w:left="5856" w:right="1145"/>
        <w:jc w:val="right"/>
      </w:pPr>
      <w:r>
        <w:rPr/>
        <w:t>，</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pStyle w:val="BodyText"/>
        <w:spacing w:line="240" w:lineRule="auto"/>
        <w:ind w:right="1134"/>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名无限售条件普通股股东在报告期内是否进行约定购回交易</w:t>
      </w:r>
    </w:p>
    <w:p>
      <w:pPr>
        <w:spacing w:after="0" w:line="2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113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pStyle w:val="BodyText"/>
        <w:spacing w:line="240" w:lineRule="auto" w:before="102"/>
        <w:ind w:right="1134"/>
        <w:jc w:val="left"/>
      </w:pPr>
      <w:r>
        <w:rPr/>
        <w:t>公司前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名普通股股东、前</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名无限售条件普通股股东在报告期内未进行约定购回交易。</w:t>
      </w:r>
    </w:p>
    <w:p>
      <w:pPr>
        <w:spacing w:line="240" w:lineRule="auto" w:before="10"/>
        <w:rPr>
          <w:rFonts w:ascii="宋体" w:hAnsi="宋体" w:cs="宋体" w:eastAsia="宋体" w:hint="default"/>
          <w:sz w:val="25"/>
          <w:szCs w:val="25"/>
        </w:rPr>
      </w:pPr>
    </w:p>
    <w:p>
      <w:pPr>
        <w:pStyle w:val="Heading3"/>
        <w:spacing w:line="240" w:lineRule="auto"/>
        <w:ind w:right="1134"/>
        <w:jc w:val="left"/>
        <w:rPr>
          <w:b w:val="0"/>
          <w:bCs w:val="0"/>
        </w:rPr>
      </w:pPr>
      <w:bookmarkStart w:name="2、公司控股股东情况" w:id="112"/>
      <w:bookmarkEnd w:id="112"/>
      <w:r>
        <w:rPr>
          <w:b w:val="0"/>
          <w:bCs w:val="0"/>
        </w:rPr>
      </w:r>
      <w:r>
        <w:rPr>
          <w:rFonts w:ascii="Times New Roman" w:hAnsi="Times New Roman" w:cs="Times New Roman" w:eastAsia="Times New Roman" w:hint="default"/>
        </w:rPr>
        <w:t>2</w:t>
      </w:r>
      <w:r>
        <w:rPr/>
        <w:t>、公司控股股东情况</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right="8772"/>
        <w:jc w:val="left"/>
      </w:pPr>
      <w:r>
        <w:rPr/>
        <w:t>控股股东性质：外商控股 控股股东类型：法人</w:t>
      </w:r>
    </w:p>
    <w:tbl>
      <w:tblPr>
        <w:tblW w:w="0" w:type="auto"/>
        <w:jc w:val="left"/>
        <w:tblInd w:w="149" w:type="dxa"/>
        <w:tblLayout w:type="fixed"/>
        <w:tblCellMar>
          <w:top w:w="0" w:type="dxa"/>
          <w:left w:w="0" w:type="dxa"/>
          <w:bottom w:w="0" w:type="dxa"/>
          <w:right w:w="0" w:type="dxa"/>
        </w:tblCellMar>
        <w:tblLook w:val="01E0"/>
      </w:tblPr>
      <w:tblGrid>
        <w:gridCol w:w="2978"/>
        <w:gridCol w:w="2268"/>
        <w:gridCol w:w="1559"/>
        <w:gridCol w:w="1276"/>
        <w:gridCol w:w="1488"/>
      </w:tblGrid>
      <w:tr>
        <w:trPr>
          <w:trHeight w:val="402" w:hRule="exact"/>
        </w:trPr>
        <w:tc>
          <w:tcPr>
            <w:tcW w:w="29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43" w:right="0"/>
              <w:jc w:val="left"/>
              <w:rPr>
                <w:rFonts w:ascii="宋体" w:hAnsi="宋体" w:cs="宋体" w:eastAsia="宋体" w:hint="default"/>
                <w:sz w:val="18"/>
                <w:szCs w:val="18"/>
              </w:rPr>
            </w:pPr>
            <w:r>
              <w:rPr>
                <w:rFonts w:ascii="宋体" w:hAnsi="宋体" w:cs="宋体" w:eastAsia="宋体" w:hint="default"/>
                <w:sz w:val="18"/>
                <w:szCs w:val="18"/>
              </w:rPr>
              <w:t>控股股东名称</w:t>
            </w:r>
          </w:p>
        </w:tc>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w:t>
            </w:r>
            <w:r>
              <w:rPr>
                <w:rFonts w:ascii="宋体" w:hAnsi="宋体" w:cs="宋体" w:eastAsia="宋体" w:hint="default"/>
                <w:sz w:val="18"/>
                <w:szCs w:val="18"/>
              </w:rPr>
              <w:t>单位负责人</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成立日期</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14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99" w:right="0"/>
              <w:jc w:val="left"/>
              <w:rPr>
                <w:rFonts w:ascii="宋体" w:hAnsi="宋体" w:cs="宋体" w:eastAsia="宋体" w:hint="default"/>
                <w:sz w:val="18"/>
                <w:szCs w:val="18"/>
              </w:rPr>
            </w:pPr>
            <w:r>
              <w:rPr>
                <w:rFonts w:ascii="宋体" w:hAnsi="宋体" w:cs="宋体" w:eastAsia="宋体" w:hint="default"/>
                <w:sz w:val="18"/>
                <w:szCs w:val="18"/>
              </w:rPr>
              <w:t>主要经营业务</w:t>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香港优博讯科技控股集团有限公司</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GUO</w:t>
            </w:r>
            <w:r>
              <w:rPr>
                <w:rFonts w:ascii="Times New Roman"/>
                <w:spacing w:val="-2"/>
                <w:sz w:val="18"/>
              </w:rPr>
              <w:t> </w:t>
            </w:r>
            <w:r>
              <w:rPr>
                <w:rFonts w:ascii="Times New Roman"/>
                <w:sz w:val="18"/>
              </w:rPr>
              <w:t>SONG</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4"/>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1589503</w:t>
            </w:r>
          </w:p>
        </w:tc>
        <w:tc>
          <w:tcPr>
            <w:tcW w:w="14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对外投资</w:t>
            </w:r>
          </w:p>
        </w:tc>
      </w:tr>
      <w:tr>
        <w:trPr>
          <w:trHeight w:val="714" w:hRule="exact"/>
        </w:trPr>
        <w:tc>
          <w:tcPr>
            <w:tcW w:w="29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63"/>
              <w:jc w:val="left"/>
              <w:rPr>
                <w:rFonts w:ascii="宋体" w:hAnsi="宋体" w:cs="宋体" w:eastAsia="宋体" w:hint="default"/>
                <w:sz w:val="18"/>
                <w:szCs w:val="18"/>
              </w:rPr>
            </w:pPr>
            <w:r>
              <w:rPr>
                <w:rFonts w:ascii="宋体" w:hAnsi="宋体" w:cs="宋体" w:eastAsia="宋体" w:hint="default"/>
                <w:sz w:val="18"/>
                <w:szCs w:val="18"/>
              </w:rPr>
              <w:t>控股股东报告期内控股和参股的其他 境内外上市公司的股权情况</w:t>
            </w:r>
          </w:p>
        </w:tc>
        <w:tc>
          <w:tcPr>
            <w:tcW w:w="6591"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Style w:val="BodyText"/>
        <w:spacing w:line="240" w:lineRule="auto" w:before="65"/>
        <w:ind w:right="1134"/>
        <w:jc w:val="left"/>
      </w:pPr>
      <w:r>
        <w:rPr/>
        <w:t>控股股东报告期内变更</w:t>
      </w:r>
    </w:p>
    <w:p>
      <w:pPr>
        <w:pStyle w:val="BodyText"/>
        <w:spacing w:line="338" w:lineRule="auto" w:before="117"/>
        <w:ind w:right="76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公司报告期控股股东未发生变更。</w:t>
      </w:r>
    </w:p>
    <w:p>
      <w:pPr>
        <w:spacing w:line="240" w:lineRule="auto" w:before="2"/>
        <w:rPr>
          <w:rFonts w:ascii="宋体" w:hAnsi="宋体" w:cs="宋体" w:eastAsia="宋体" w:hint="default"/>
          <w:sz w:val="21"/>
          <w:szCs w:val="21"/>
        </w:rPr>
      </w:pPr>
    </w:p>
    <w:p>
      <w:pPr>
        <w:pStyle w:val="Heading3"/>
        <w:spacing w:line="240" w:lineRule="auto"/>
        <w:ind w:right="1134"/>
        <w:jc w:val="left"/>
        <w:rPr>
          <w:b w:val="0"/>
          <w:bCs w:val="0"/>
        </w:rPr>
      </w:pPr>
      <w:bookmarkStart w:name="3、公司实际控制人及其一致行动人" w:id="113"/>
      <w:bookmarkEnd w:id="113"/>
      <w:r>
        <w:rPr>
          <w:b w:val="0"/>
          <w:bCs w:val="0"/>
        </w:rPr>
      </w:r>
      <w:r>
        <w:rPr>
          <w:rFonts w:ascii="Times New Roman" w:hAnsi="Times New Roman" w:cs="Times New Roman" w:eastAsia="Times New Roman" w:hint="default"/>
        </w:rPr>
        <w:t>3</w:t>
      </w:r>
      <w:r>
        <w:rPr/>
        <w:t>、公司实际控制人及其一致行动人</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right="8412"/>
        <w:jc w:val="left"/>
      </w:pPr>
      <w:r>
        <w:rPr/>
        <w:t>实际控制人性质：境外自然人 实际控制人类型：自然人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2"/>
          <w:szCs w:val="22"/>
        </w:rPr>
      </w:pPr>
    </w:p>
    <w:p>
      <w:pPr>
        <w:pStyle w:val="BodyText"/>
        <w:spacing w:line="240" w:lineRule="auto" w:before="44"/>
        <w:ind w:left="5856" w:right="1139"/>
        <w:jc w:val="right"/>
      </w:pPr>
      <w:r>
        <w:rPr/>
        <w:pict>
          <v:shape style="position:absolute;margin-left:56.459999pt;margin-top:-132.02829pt;width:479.2pt;height:203.15pt;mso-position-horizontal-relative:page;mso-position-vertical-relative:paragraph;z-index:16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392"/>
                    <w:gridCol w:w="2393"/>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60"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1" w:right="0"/>
                          <w:jc w:val="left"/>
                          <w:rPr>
                            <w:rFonts w:ascii="宋体" w:hAnsi="宋体" w:cs="宋体" w:eastAsia="宋体" w:hint="default"/>
                            <w:sz w:val="18"/>
                            <w:szCs w:val="18"/>
                          </w:rPr>
                        </w:pPr>
                        <w:r>
                          <w:rPr>
                            <w:rFonts w:ascii="宋体" w:hAnsi="宋体" w:cs="宋体" w:eastAsia="宋体" w:hint="default"/>
                            <w:sz w:val="18"/>
                            <w:szCs w:val="18"/>
                          </w:rPr>
                          <w:t>与实际控制人关系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国籍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10" w:right="109" w:hanging="900"/>
                          <w:jc w:val="left"/>
                          <w:rPr>
                            <w:rFonts w:ascii="宋体" w:hAnsi="宋体" w:cs="宋体" w:eastAsia="宋体" w:hint="default"/>
                            <w:sz w:val="18"/>
                            <w:szCs w:val="18"/>
                          </w:rPr>
                        </w:pPr>
                        <w:r>
                          <w:rPr>
                            <w:rFonts w:ascii="宋体" w:hAnsi="宋体" w:cs="宋体" w:eastAsia="宋体" w:hint="default"/>
                            <w:sz w:val="18"/>
                            <w:szCs w:val="18"/>
                          </w:rPr>
                          <w:t>是否取得其他国家或地区居 留权</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GUO</w:t>
                        </w:r>
                        <w:r>
                          <w:rPr>
                            <w:rFonts w:ascii="Times New Roman"/>
                            <w:spacing w:val="-2"/>
                            <w:sz w:val="18"/>
                          </w:rPr>
                          <w:t> </w:t>
                        </w:r>
                        <w:r>
                          <w:rPr>
                            <w:rFonts w:ascii="Times New Roman"/>
                            <w:sz w:val="18"/>
                          </w:rPr>
                          <w:t>SONG</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本人</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新加坡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LIU</w:t>
                        </w:r>
                        <w:r>
                          <w:rPr>
                            <w:rFonts w:ascii="Times New Roman"/>
                            <w:spacing w:val="-2"/>
                            <w:sz w:val="18"/>
                          </w:rPr>
                          <w:t> </w:t>
                        </w:r>
                        <w:r>
                          <w:rPr>
                            <w:rFonts w:ascii="Times New Roman"/>
                            <w:sz w:val="18"/>
                          </w:rPr>
                          <w:t>DAN</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本人</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新加坡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CHEN</w:t>
                        </w:r>
                        <w:r>
                          <w:rPr>
                            <w:rFonts w:ascii="Times New Roman"/>
                            <w:spacing w:val="-9"/>
                            <w:sz w:val="18"/>
                          </w:rPr>
                          <w:t> </w:t>
                        </w:r>
                        <w:r>
                          <w:rPr>
                            <w:rFonts w:ascii="Times New Roman"/>
                            <w:sz w:val="18"/>
                          </w:rPr>
                          <w:t>YIHAN</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本人</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新加坡</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1418"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717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GUO SONG</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先生现任公司董事长、总经理；</w:t>
                        </w:r>
                      </w:p>
                      <w:p>
                        <w:pPr>
                          <w:pStyle w:val="TableParagraph"/>
                          <w:spacing w:line="240" w:lineRule="auto" w:before="103"/>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LIU DAN</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女士现任公司副董事长、副总经理；</w:t>
                        </w:r>
                      </w:p>
                      <w:p>
                        <w:pPr>
                          <w:pStyle w:val="TableParagraph"/>
                          <w:spacing w:line="302" w:lineRule="auto" w:before="101"/>
                          <w:ind w:left="23" w:right="111"/>
                          <w:jc w:val="left"/>
                          <w:rPr>
                            <w:rFonts w:ascii="宋体" w:hAnsi="宋体" w:cs="宋体" w:eastAsia="宋体" w:hint="default"/>
                            <w:sz w:val="18"/>
                            <w:szCs w:val="18"/>
                          </w:rPr>
                        </w:pPr>
                        <w:r>
                          <w:rPr>
                            <w:rFonts w:ascii="Times New Roman" w:hAnsi="Times New Roman" w:cs="Times New Roman" w:eastAsia="Times New Roman" w:hint="default"/>
                            <w:spacing w:val="-8"/>
                            <w:sz w:val="18"/>
                            <w:szCs w:val="18"/>
                          </w:rPr>
                          <w:t>3</w:t>
                        </w:r>
                        <w:r>
                          <w:rPr>
                            <w:rFonts w:ascii="宋体" w:hAnsi="宋体" w:cs="宋体" w:eastAsia="宋体" w:hint="default"/>
                            <w:spacing w:val="-8"/>
                            <w:sz w:val="18"/>
                            <w:szCs w:val="18"/>
                          </w:rPr>
                          <w:t>、</w:t>
                        </w:r>
                        <w:r>
                          <w:rPr>
                            <w:rFonts w:ascii="Times New Roman" w:hAnsi="Times New Roman" w:cs="Times New Roman" w:eastAsia="Times New Roman" w:hint="default"/>
                            <w:spacing w:val="-8"/>
                            <w:sz w:val="18"/>
                            <w:szCs w:val="18"/>
                          </w:rPr>
                          <w:t>CHEN</w:t>
                        </w:r>
                        <w:r>
                          <w:rPr>
                            <w:rFonts w:ascii="Times New Roman" w:hAnsi="Times New Roman" w:cs="Times New Roman" w:eastAsia="Times New Roman" w:hint="default"/>
                            <w:spacing w:val="-15"/>
                            <w:sz w:val="18"/>
                            <w:szCs w:val="18"/>
                          </w:rPr>
                          <w:t> </w:t>
                        </w:r>
                        <w:r>
                          <w:rPr>
                            <w:rFonts w:ascii="Times New Roman" w:hAnsi="Times New Roman" w:cs="Times New Roman" w:eastAsia="Times New Roman" w:hint="default"/>
                            <w:sz w:val="18"/>
                            <w:szCs w:val="18"/>
                          </w:rPr>
                          <w:t>YIHAN</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女士系</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GUO</w:t>
                        </w:r>
                        <w:r>
                          <w:rPr>
                            <w:rFonts w:ascii="Times New Roman" w:hAnsi="Times New Roman" w:cs="Times New Roman" w:eastAsia="Times New Roman" w:hint="default"/>
                            <w:spacing w:val="-8"/>
                            <w:sz w:val="18"/>
                            <w:szCs w:val="18"/>
                          </w:rPr>
                          <w:t> </w:t>
                        </w:r>
                        <w:r>
                          <w:rPr>
                            <w:rFonts w:ascii="Times New Roman" w:hAnsi="Times New Roman" w:cs="Times New Roman" w:eastAsia="Times New Roman" w:hint="default"/>
                            <w:sz w:val="18"/>
                            <w:szCs w:val="18"/>
                          </w:rPr>
                          <w:t>SONG</w:t>
                        </w:r>
                        <w:r>
                          <w:rPr>
                            <w:rFonts w:ascii="Times New Roman" w:hAnsi="Times New Roman" w:cs="Times New Roman" w:eastAsia="Times New Roman" w:hint="default"/>
                            <w:spacing w:val="-10"/>
                            <w:sz w:val="18"/>
                            <w:szCs w:val="18"/>
                          </w:rPr>
                          <w:t> </w:t>
                        </w:r>
                        <w:r>
                          <w:rPr>
                            <w:rFonts w:ascii="宋体" w:hAnsi="宋体" w:cs="宋体" w:eastAsia="宋体" w:hint="default"/>
                            <w:sz w:val="18"/>
                            <w:szCs w:val="18"/>
                          </w:rPr>
                          <w:t>先生配偶，现任新加坡南洋理工大学研究生课程经理 未在公司任职。</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107"/>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年曾控股的境内外上 市公司情况</w:t>
                        </w:r>
                      </w:p>
                    </w:tc>
                    <w:tc>
                      <w:tcPr>
                        <w:tcW w:w="717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7"/>
          <w:szCs w:val="27"/>
        </w:rPr>
      </w:pPr>
    </w:p>
    <w:p>
      <w:pPr>
        <w:pStyle w:val="BodyText"/>
        <w:spacing w:line="240" w:lineRule="auto" w:before="44"/>
        <w:ind w:right="1134"/>
        <w:jc w:val="left"/>
      </w:pPr>
      <w:r>
        <w:rPr/>
        <w:t>实际控制人报告期内变更</w:t>
      </w:r>
    </w:p>
    <w:p>
      <w:pPr>
        <w:pStyle w:val="BodyText"/>
        <w:spacing w:line="348" w:lineRule="auto" w:before="117"/>
        <w:ind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公司报告期实际控制人未发生变更。 公司与实际控制人之间的产权及控制关系的方框图</w:t>
      </w:r>
    </w:p>
    <w:p>
      <w:pPr>
        <w:spacing w:after="0" w:line="348"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spacing w:line="3775" w:lineRule="exact"/>
        <w:ind w:left="1356" w:right="0" w:firstLine="0"/>
        <w:rPr>
          <w:rFonts w:ascii="宋体" w:hAnsi="宋体" w:cs="宋体" w:eastAsia="宋体" w:hint="default"/>
          <w:sz w:val="20"/>
          <w:szCs w:val="20"/>
        </w:rPr>
      </w:pPr>
      <w:r>
        <w:rPr>
          <w:rFonts w:ascii="宋体" w:hAnsi="宋体" w:cs="宋体" w:eastAsia="宋体" w:hint="default"/>
          <w:position w:val="-75"/>
          <w:sz w:val="20"/>
          <w:szCs w:val="20"/>
        </w:rPr>
        <w:drawing>
          <wp:inline distT="0" distB="0" distL="0" distR="0">
            <wp:extent cx="4592130" cy="2397632"/>
            <wp:effectExtent l="0" t="0" r="0" b="0"/>
            <wp:docPr id="51" name="image31.jpeg" descr=""/>
            <wp:cNvGraphicFramePr>
              <a:graphicFrameLocks noChangeAspect="1"/>
            </wp:cNvGraphicFramePr>
            <a:graphic>
              <a:graphicData uri="http://schemas.openxmlformats.org/drawingml/2006/picture">
                <pic:pic>
                  <pic:nvPicPr>
                    <pic:cNvPr id="52" name="image31.jpeg"/>
                    <pic:cNvPicPr/>
                  </pic:nvPicPr>
                  <pic:blipFill>
                    <a:blip r:embed="rId45" cstate="print"/>
                    <a:stretch>
                      <a:fillRect/>
                    </a:stretch>
                  </pic:blipFill>
                  <pic:spPr>
                    <a:xfrm>
                      <a:off x="0" y="0"/>
                      <a:ext cx="4592130" cy="2397632"/>
                    </a:xfrm>
                    <a:prstGeom prst="rect">
                      <a:avLst/>
                    </a:prstGeom>
                  </pic:spPr>
                </pic:pic>
              </a:graphicData>
            </a:graphic>
          </wp:inline>
        </w:drawing>
      </w:r>
      <w:r>
        <w:rPr>
          <w:rFonts w:ascii="宋体" w:hAnsi="宋体" w:cs="宋体" w:eastAsia="宋体" w:hint="default"/>
          <w:position w:val="-75"/>
          <w:sz w:val="20"/>
          <w:szCs w:val="20"/>
        </w:rPr>
      </w:r>
    </w:p>
    <w:p>
      <w:pPr>
        <w:spacing w:line="240" w:lineRule="auto" w:before="8"/>
        <w:rPr>
          <w:rFonts w:ascii="宋体" w:hAnsi="宋体" w:cs="宋体" w:eastAsia="宋体" w:hint="default"/>
          <w:sz w:val="23"/>
          <w:szCs w:val="23"/>
        </w:rPr>
      </w:pPr>
    </w:p>
    <w:p>
      <w:pPr>
        <w:pStyle w:val="BodyText"/>
        <w:spacing w:line="240" w:lineRule="auto" w:before="44"/>
        <w:ind w:right="1134"/>
        <w:jc w:val="left"/>
      </w:pPr>
      <w:r>
        <w:rPr/>
        <w:t>实际控制人通过信托或其他资产管理方式控制公司</w:t>
      </w:r>
    </w:p>
    <w:p>
      <w:pPr>
        <w:spacing w:line="240" w:lineRule="auto" w:before="2"/>
        <w:rPr>
          <w:rFonts w:ascii="宋体" w:hAnsi="宋体" w:cs="宋体" w:eastAsia="宋体" w:hint="default"/>
          <w:sz w:val="21"/>
          <w:szCs w:val="21"/>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3"/>
        <w:spacing w:line="240" w:lineRule="auto"/>
        <w:ind w:right="1134"/>
        <w:jc w:val="left"/>
        <w:rPr>
          <w:b w:val="0"/>
          <w:bCs w:val="0"/>
        </w:rPr>
      </w:pPr>
      <w:bookmarkStart w:name="4、其他持股在10%以上的法人股东" w:id="114"/>
      <w:bookmarkEnd w:id="114"/>
      <w:r>
        <w:rPr>
          <w:b w:val="0"/>
          <w:bCs w:val="0"/>
        </w:rPr>
      </w:r>
      <w:r>
        <w:rPr>
          <w:rFonts w:ascii="Times New Roman" w:hAnsi="Times New Roman" w:cs="Times New Roman" w:eastAsia="Times New Roman" w:hint="default"/>
        </w:rPr>
        <w:t>4</w:t>
      </w:r>
      <w:r>
        <w:rPr/>
        <w:t>、其他持股在</w:t>
      </w:r>
      <w:r>
        <w:rPr>
          <w:spacing w:val="-57"/>
        </w:rPr>
        <w:t> </w:t>
      </w:r>
      <w:r>
        <w:rPr>
          <w:rFonts w:ascii="Times New Roman" w:hAnsi="Times New Roman" w:cs="Times New Roman" w:eastAsia="Times New Roman" w:hint="default"/>
        </w:rPr>
        <w:t>10%</w:t>
      </w:r>
      <w:r>
        <w:rPr/>
        <w:t>以上的法人股东</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3"/>
        <w:spacing w:line="240" w:lineRule="auto"/>
        <w:ind w:right="1134"/>
        <w:jc w:val="left"/>
        <w:rPr>
          <w:b w:val="0"/>
          <w:bCs w:val="0"/>
        </w:rPr>
      </w:pPr>
      <w:bookmarkStart w:name="5、控股股东、实际控制人、重组方及其他承诺主体股份限制减持情况" w:id="115"/>
      <w:bookmarkEnd w:id="115"/>
      <w:r>
        <w:rPr>
          <w:b w:val="0"/>
          <w:bCs w:val="0"/>
        </w:rPr>
      </w:r>
      <w:r>
        <w:rPr>
          <w:rFonts w:ascii="Times New Roman" w:hAnsi="Times New Roman" w:cs="Times New Roman" w:eastAsia="Times New Roman" w:hint="default"/>
        </w:rPr>
        <w:t>5</w:t>
      </w:r>
      <w:r>
        <w:rPr/>
        <w:t>、控股股东、实际控制人、重组方及其他承诺主体股份限制减持情况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286" w:right="1134"/>
        <w:jc w:val="left"/>
        <w:rPr>
          <w:b w:val="0"/>
          <w:bCs w:val="0"/>
        </w:rPr>
      </w:pPr>
      <w:bookmarkStart w:name="第七节 优先股相关情况" w:id="116"/>
      <w:bookmarkEnd w:id="116"/>
      <w:r>
        <w:rPr>
          <w:b w:val="0"/>
          <w:bCs w:val="0"/>
        </w:rPr>
      </w:r>
      <w:bookmarkStart w:name="_bookmark6" w:id="117"/>
      <w:bookmarkEnd w:id="117"/>
      <w:r>
        <w:rPr>
          <w:b w:val="0"/>
          <w:bCs w:val="0"/>
        </w:rPr>
      </w:r>
      <w:r>
        <w:rPr/>
        <w:t>第七节</w:t>
      </w:r>
      <w:r>
        <w:rPr>
          <w:spacing w:val="-8"/>
        </w:rPr>
        <w:t> </w:t>
      </w:r>
      <w:r>
        <w:rPr/>
        <w:t>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9"/>
          <w:szCs w:val="19"/>
        </w:rPr>
      </w:pPr>
    </w:p>
    <w:p>
      <w:pPr>
        <w:pStyle w:val="BodyText"/>
        <w:spacing w:line="338" w:lineRule="auto" w:before="44"/>
        <w:ind w:right="85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报告期公司不存在优先股。</w:t>
      </w:r>
    </w:p>
    <w:p>
      <w:pPr>
        <w:spacing w:after="0" w:line="338"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1680" w:right="1134"/>
        <w:jc w:val="left"/>
        <w:rPr>
          <w:b w:val="0"/>
          <w:bCs w:val="0"/>
        </w:rPr>
      </w:pPr>
      <w:bookmarkStart w:name="第八节 董事、监事、高级管理人员和员工情况" w:id="118"/>
      <w:bookmarkEnd w:id="118"/>
      <w:r>
        <w:rPr>
          <w:b w:val="0"/>
          <w:bCs w:val="0"/>
        </w:rPr>
      </w:r>
      <w:bookmarkStart w:name="_bookmark7" w:id="119"/>
      <w:bookmarkEnd w:id="119"/>
      <w:r>
        <w:rPr>
          <w:b w:val="0"/>
          <w:bCs w:val="0"/>
        </w:rPr>
      </w:r>
      <w:r>
        <w:rPr/>
        <w:t>第八节</w:t>
      </w:r>
      <w:r>
        <w:rPr>
          <w:spacing w:val="-16"/>
        </w:rPr>
        <w:t> </w:t>
      </w:r>
      <w:r>
        <w:rPr/>
        <w:t>董事、监事、高级管理人员和员工情况</w:t>
      </w:r>
      <w:r>
        <w:rPr>
          <w:b w:val="0"/>
          <w:bCs w:val="0"/>
        </w:rPr>
      </w:r>
    </w:p>
    <w:p>
      <w:pPr>
        <w:spacing w:line="240" w:lineRule="auto" w:before="12"/>
        <w:rPr>
          <w:rFonts w:ascii="宋体" w:hAnsi="宋体" w:cs="宋体" w:eastAsia="宋体" w:hint="default"/>
          <w:b/>
          <w:bCs/>
          <w:sz w:val="38"/>
          <w:szCs w:val="38"/>
        </w:rPr>
      </w:pPr>
    </w:p>
    <w:p>
      <w:pPr>
        <w:pStyle w:val="Heading2"/>
        <w:spacing w:line="240" w:lineRule="auto"/>
        <w:ind w:right="1134"/>
        <w:jc w:val="left"/>
        <w:rPr>
          <w:b w:val="0"/>
          <w:bCs w:val="0"/>
        </w:rPr>
      </w:pPr>
      <w:bookmarkStart w:name="一、董事、监事和高级管理人员持股变动" w:id="120"/>
      <w:bookmarkEnd w:id="120"/>
      <w:r>
        <w:rPr>
          <w:b w:val="0"/>
          <w:bCs w:val="0"/>
        </w:rPr>
      </w: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798"/>
        <w:gridCol w:w="1187"/>
        <w:gridCol w:w="568"/>
        <w:gridCol w:w="566"/>
        <w:gridCol w:w="568"/>
        <w:gridCol w:w="992"/>
        <w:gridCol w:w="992"/>
        <w:gridCol w:w="710"/>
        <w:gridCol w:w="798"/>
        <w:gridCol w:w="798"/>
        <w:gridCol w:w="798"/>
        <w:gridCol w:w="798"/>
      </w:tblGrid>
      <w:tr>
        <w:trPr>
          <w:trHeight w:val="1025"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98" w:right="97"/>
              <w:jc w:val="left"/>
              <w:rPr>
                <w:rFonts w:ascii="宋体" w:hAnsi="宋体" w:cs="宋体" w:eastAsia="宋体" w:hint="default"/>
                <w:sz w:val="18"/>
                <w:szCs w:val="18"/>
              </w:rPr>
            </w:pPr>
            <w:r>
              <w:rPr>
                <w:rFonts w:ascii="宋体" w:hAnsi="宋体" w:cs="宋体" w:eastAsia="宋体" w:hint="default"/>
                <w:sz w:val="18"/>
                <w:szCs w:val="18"/>
              </w:rPr>
              <w:t>任职 状态</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98"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98"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401" w:right="39" w:hanging="361"/>
              <w:jc w:val="left"/>
              <w:rPr>
                <w:rFonts w:ascii="宋体" w:hAnsi="宋体" w:cs="宋体" w:eastAsia="宋体" w:hint="default"/>
                <w:sz w:val="18"/>
                <w:szCs w:val="18"/>
              </w:rPr>
            </w:pPr>
            <w:r>
              <w:rPr>
                <w:rFonts w:ascii="宋体" w:hAnsi="宋体" w:cs="宋体" w:eastAsia="宋体" w:hint="default"/>
                <w:sz w:val="18"/>
                <w:szCs w:val="18"/>
              </w:rPr>
              <w:t>任期起始日 期</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402" w:right="38" w:hanging="360"/>
              <w:jc w:val="left"/>
              <w:rPr>
                <w:rFonts w:ascii="宋体" w:hAnsi="宋体" w:cs="宋体" w:eastAsia="宋体" w:hint="default"/>
                <w:sz w:val="18"/>
                <w:szCs w:val="18"/>
              </w:rPr>
            </w:pPr>
            <w:r>
              <w:rPr>
                <w:rFonts w:ascii="宋体" w:hAnsi="宋体" w:cs="宋体" w:eastAsia="宋体" w:hint="default"/>
                <w:sz w:val="18"/>
                <w:szCs w:val="18"/>
              </w:rPr>
              <w:t>任期终止日 期</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69" w:right="79" w:hanging="90"/>
              <w:jc w:val="left"/>
              <w:rPr>
                <w:rFonts w:ascii="宋体" w:hAnsi="宋体" w:cs="宋体" w:eastAsia="宋体" w:hint="default"/>
                <w:sz w:val="18"/>
                <w:szCs w:val="18"/>
              </w:rPr>
            </w:pPr>
            <w:r>
              <w:rPr>
                <w:rFonts w:ascii="宋体" w:hAnsi="宋体" w:cs="宋体" w:eastAsia="宋体" w:hint="default"/>
                <w:sz w:val="18"/>
                <w:szCs w:val="18"/>
              </w:rPr>
              <w:t>期初持 股数</w:t>
            </w:r>
          </w:p>
          <w:p>
            <w:pPr>
              <w:pStyle w:val="TableParagraph"/>
              <w:spacing w:line="240" w:lineRule="auto" w:before="20"/>
              <w:ind w:left="79"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3"/>
              <w:jc w:val="left"/>
              <w:rPr>
                <w:rFonts w:ascii="宋体" w:hAnsi="宋体" w:cs="宋体" w:eastAsia="宋体" w:hint="default"/>
                <w:sz w:val="18"/>
                <w:szCs w:val="18"/>
              </w:rPr>
            </w:pPr>
            <w:r>
              <w:rPr>
                <w:rFonts w:ascii="宋体" w:hAnsi="宋体" w:cs="宋体" w:eastAsia="宋体" w:hint="default"/>
                <w:sz w:val="18"/>
                <w:szCs w:val="18"/>
              </w:rPr>
              <w:t>本期增持 股份数量</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3" w:right="32"/>
              <w:jc w:val="left"/>
              <w:rPr>
                <w:rFonts w:ascii="宋体" w:hAnsi="宋体" w:cs="宋体" w:eastAsia="宋体" w:hint="default"/>
                <w:sz w:val="18"/>
                <w:szCs w:val="18"/>
              </w:rPr>
            </w:pPr>
            <w:r>
              <w:rPr>
                <w:rFonts w:ascii="宋体" w:hAnsi="宋体" w:cs="宋体" w:eastAsia="宋体" w:hint="default"/>
                <w:sz w:val="18"/>
                <w:szCs w:val="18"/>
              </w:rPr>
              <w:t>本期减持 股份数量</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2" w:right="-44" w:firstLine="10"/>
              <w:jc w:val="left"/>
              <w:rPr>
                <w:rFonts w:ascii="宋体" w:hAnsi="宋体" w:cs="宋体" w:eastAsia="宋体" w:hint="default"/>
                <w:sz w:val="18"/>
                <w:szCs w:val="18"/>
              </w:rPr>
            </w:pPr>
            <w:r>
              <w:rPr>
                <w:rFonts w:ascii="宋体" w:hAnsi="宋体" w:cs="宋体" w:eastAsia="宋体" w:hint="default"/>
                <w:sz w:val="18"/>
                <w:szCs w:val="18"/>
              </w:rPr>
              <w:t>其他增减 </w:t>
            </w:r>
            <w:r>
              <w:rPr>
                <w:rFonts w:ascii="宋体" w:hAnsi="宋体" w:cs="宋体" w:eastAsia="宋体" w:hint="default"/>
                <w:spacing w:val="-19"/>
                <w:sz w:val="18"/>
                <w:szCs w:val="18"/>
              </w:rPr>
              <w:t>变动（股）</w:t>
            </w:r>
            <w:r>
              <w:rPr>
                <w:rFonts w:ascii="宋体" w:hAnsi="宋体" w:cs="宋体" w:eastAsia="宋体" w:hint="default"/>
                <w:sz w:val="18"/>
                <w:szCs w:val="18"/>
              </w:rPr>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期末持股 数（股）</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362" w:lineRule="auto" w:before="92"/>
              <w:ind w:left="22" w:right="275"/>
              <w:jc w:val="left"/>
              <w:rPr>
                <w:rFonts w:ascii="Times New Roman" w:hAnsi="Times New Roman" w:cs="Times New Roman" w:eastAsia="Times New Roman" w:hint="default"/>
                <w:sz w:val="18"/>
                <w:szCs w:val="18"/>
              </w:rPr>
            </w:pPr>
            <w:r>
              <w:rPr>
                <w:rFonts w:ascii="Times New Roman"/>
                <w:sz w:val="18"/>
              </w:rPr>
              <w:t>GUO</w:t>
            </w:r>
            <w:r>
              <w:rPr>
                <w:rFonts w:ascii="Times New Roman"/>
                <w:spacing w:val="-1"/>
                <w:w w:val="99"/>
                <w:sz w:val="18"/>
              </w:rPr>
              <w:t> </w:t>
            </w:r>
            <w:r>
              <w:rPr>
                <w:rFonts w:ascii="Times New Roman"/>
                <w:sz w:val="18"/>
              </w:rPr>
              <w:t>SONG</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董事长、总经 理</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sz w:val="18"/>
              </w:rPr>
              <w:t>LIU</w:t>
            </w:r>
            <w:r>
              <w:rPr>
                <w:rFonts w:ascii="Times New Roman"/>
                <w:spacing w:val="-2"/>
                <w:sz w:val="18"/>
              </w:rPr>
              <w:t> </w:t>
            </w:r>
            <w:r>
              <w:rPr>
                <w:rFonts w:ascii="Times New Roman"/>
                <w:sz w:val="18"/>
              </w:rPr>
              <w:t>DAN</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副董事长、副 总经理</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51</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仝文定</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董事、副总经 理</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41</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刘镇</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left"/>
              <w:rPr>
                <w:rFonts w:ascii="宋体" w:hAnsi="宋体" w:cs="宋体" w:eastAsia="宋体" w:hint="default"/>
                <w:sz w:val="18"/>
                <w:szCs w:val="18"/>
              </w:rPr>
            </w:pPr>
            <w:r>
              <w:rPr>
                <w:rFonts w:ascii="宋体" w:hAnsi="宋体" w:cs="宋体" w:eastAsia="宋体" w:hint="default"/>
                <w:sz w:val="18"/>
                <w:szCs w:val="18"/>
              </w:rPr>
              <w:t>董事、董事会 秘书</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57</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王仁东</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徐先达</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高海军</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郭雳</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于雪磊</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郁小娇</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职工代表监事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徐宁</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41</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万波</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72"/>
              <w:jc w:val="both"/>
              <w:rPr>
                <w:rFonts w:ascii="宋体" w:hAnsi="宋体" w:cs="宋体" w:eastAsia="宋体" w:hint="default"/>
                <w:sz w:val="18"/>
                <w:szCs w:val="18"/>
              </w:rPr>
            </w:pPr>
            <w:r>
              <w:rPr>
                <w:rFonts w:ascii="宋体" w:hAnsi="宋体" w:cs="宋体" w:eastAsia="宋体" w:hint="default"/>
                <w:sz w:val="18"/>
                <w:szCs w:val="18"/>
              </w:rPr>
              <w:t>副总经理、优 博讯研究院院 长</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张玉洁</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both"/>
              <w:rPr>
                <w:rFonts w:ascii="宋体" w:hAnsi="宋体" w:cs="宋体" w:eastAsia="宋体" w:hint="default"/>
                <w:sz w:val="18"/>
                <w:szCs w:val="18"/>
              </w:rPr>
            </w:pPr>
            <w:r>
              <w:rPr>
                <w:rFonts w:ascii="宋体" w:hAnsi="宋体" w:cs="宋体" w:eastAsia="宋体" w:hint="default"/>
                <w:sz w:val="18"/>
                <w:szCs w:val="18"/>
              </w:rPr>
              <w:t>副总经理、上 海分公司负责 人</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2021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798"/>
        <w:gridCol w:w="1187"/>
        <w:gridCol w:w="568"/>
        <w:gridCol w:w="566"/>
        <w:gridCol w:w="568"/>
        <w:gridCol w:w="992"/>
        <w:gridCol w:w="992"/>
        <w:gridCol w:w="710"/>
        <w:gridCol w:w="798"/>
        <w:gridCol w:w="798"/>
        <w:gridCol w:w="798"/>
        <w:gridCol w:w="798"/>
      </w:tblGrid>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陈雪飞</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z w:val="18"/>
                <w:szCs w:val="18"/>
              </w:rPr>
              <w:t>离任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0" w:lineRule="auto" w:before="64"/>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杨彦彰</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z w:val="18"/>
                <w:szCs w:val="18"/>
              </w:rPr>
              <w:t>离任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邹雪城</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z w:val="18"/>
                <w:szCs w:val="18"/>
              </w:rPr>
              <w:t>离任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李挥</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z w:val="18"/>
                <w:szCs w:val="18"/>
              </w:rPr>
              <w:t>离任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55</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屈先富</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z w:val="18"/>
                <w:szCs w:val="18"/>
              </w:rPr>
              <w:t>离任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49</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王勤红</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z w:val="18"/>
                <w:szCs w:val="18"/>
              </w:rPr>
              <w:t>离任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38</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2012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王滨</w:t>
            </w:r>
          </w:p>
        </w:tc>
        <w:tc>
          <w:tcPr>
            <w:tcW w:w="118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2"/>
              <w:jc w:val="left"/>
              <w:rPr>
                <w:rFonts w:ascii="宋体" w:hAnsi="宋体" w:cs="宋体" w:eastAsia="宋体" w:hint="default"/>
                <w:sz w:val="18"/>
                <w:szCs w:val="18"/>
              </w:rPr>
            </w:pPr>
            <w:r>
              <w:rPr>
                <w:rFonts w:ascii="宋体" w:hAnsi="宋体" w:cs="宋体" w:eastAsia="宋体" w:hint="default"/>
                <w:sz w:val="18"/>
                <w:szCs w:val="18"/>
              </w:rPr>
              <w:t>副总经理、财 务负责人</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73"/>
              <w:jc w:val="right"/>
              <w:rPr>
                <w:rFonts w:ascii="宋体" w:hAnsi="宋体" w:cs="宋体" w:eastAsia="宋体" w:hint="default"/>
                <w:sz w:val="18"/>
                <w:szCs w:val="18"/>
              </w:rPr>
            </w:pPr>
            <w:r>
              <w:rPr>
                <w:rFonts w:ascii="宋体" w:hAnsi="宋体" w:cs="宋体" w:eastAsia="宋体" w:hint="default"/>
                <w:sz w:val="18"/>
                <w:szCs w:val="18"/>
              </w:rPr>
              <w:t>离任</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03</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01</w:t>
            </w:r>
          </w:p>
          <w:p>
            <w:pPr>
              <w:pStyle w:val="TableParagraph"/>
              <w:spacing w:line="240" w:lineRule="auto" w:before="64"/>
              <w:ind w:left="24"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17"/>
              <w:jc w:val="right"/>
              <w:rPr>
                <w:rFonts w:ascii="Times New Roman" w:hAnsi="Times New Roman" w:cs="Times New Roman" w:eastAsia="Times New Roman" w:hint="default"/>
                <w:sz w:val="18"/>
                <w:szCs w:val="18"/>
              </w:rPr>
            </w:pPr>
            <w:r>
              <w:rPr>
                <w:rFonts w:ascii="Times New Roman"/>
                <w:sz w:val="18"/>
              </w:rPr>
              <w:t>--</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5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2"/>
        <w:rPr>
          <w:rFonts w:ascii="宋体" w:hAnsi="宋体" w:cs="宋体" w:eastAsia="宋体" w:hint="default"/>
          <w:b/>
          <w:bCs/>
          <w:sz w:val="18"/>
          <w:szCs w:val="18"/>
        </w:rPr>
      </w:pPr>
    </w:p>
    <w:p>
      <w:pPr>
        <w:pStyle w:val="Heading2"/>
        <w:spacing w:line="240" w:lineRule="auto" w:before="26"/>
        <w:ind w:right="1134"/>
        <w:jc w:val="left"/>
        <w:rPr>
          <w:b w:val="0"/>
          <w:bCs w:val="0"/>
        </w:rPr>
      </w:pPr>
      <w:bookmarkStart w:name="二、公司董事、监事、高级管理人员变动情况" w:id="121"/>
      <w:bookmarkEnd w:id="121"/>
      <w:r>
        <w:rPr>
          <w:b w:val="0"/>
          <w:bCs w:val="0"/>
        </w:rPr>
      </w:r>
      <w:r>
        <w:rPr/>
        <w:t>二、公司董事、监事、高级管理人员变动情况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30"/>
        <w:gridCol w:w="1330"/>
        <w:gridCol w:w="1330"/>
        <w:gridCol w:w="1681"/>
        <w:gridCol w:w="3898"/>
      </w:tblGrid>
      <w:tr>
        <w:trPr>
          <w:trHeight w:val="402"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0"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6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日期</w:t>
            </w:r>
          </w:p>
        </w:tc>
        <w:tc>
          <w:tcPr>
            <w:tcW w:w="38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陈雪飞</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因个人原因辞职</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杨彦彰</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因个人原因辞职</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邹雪城</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任期满离任</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李挥</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任期满离任</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屈先富</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任期满离任</w:t>
            </w:r>
          </w:p>
        </w:tc>
      </w:tr>
      <w:tr>
        <w:trPr>
          <w:trHeight w:val="402"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王勤红</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8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任期满离任</w:t>
            </w:r>
          </w:p>
        </w:tc>
      </w:tr>
    </w:tbl>
    <w:p>
      <w:pPr>
        <w:spacing w:line="240" w:lineRule="auto" w:before="2"/>
        <w:rPr>
          <w:rFonts w:ascii="宋体" w:hAnsi="宋体" w:cs="宋体" w:eastAsia="宋体" w:hint="default"/>
          <w:sz w:val="18"/>
          <w:szCs w:val="18"/>
        </w:rPr>
      </w:pPr>
    </w:p>
    <w:p>
      <w:pPr>
        <w:pStyle w:val="Heading2"/>
        <w:spacing w:line="240" w:lineRule="auto" w:before="26"/>
        <w:ind w:right="1134"/>
        <w:jc w:val="left"/>
        <w:rPr>
          <w:b w:val="0"/>
          <w:bCs w:val="0"/>
        </w:rPr>
      </w:pPr>
      <w:bookmarkStart w:name="三、任职情况" w:id="122"/>
      <w:bookmarkEnd w:id="122"/>
      <w:r>
        <w:rPr>
          <w:b w:val="0"/>
          <w:bCs w:val="0"/>
        </w:rPr>
      </w:r>
      <w:r>
        <w:rPr/>
        <w:t>三、任职情况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4"/>
        <w:jc w:val="left"/>
      </w:pPr>
      <w:r>
        <w:rPr/>
        <w:t>公司现任董事、监事、高级管理人员专业背景、主要工作经历以及目前在公司的主要职责</w:t>
      </w:r>
    </w:p>
    <w:p>
      <w:pPr>
        <w:spacing w:line="240" w:lineRule="auto" w:before="13"/>
        <w:rPr>
          <w:rFonts w:ascii="宋体" w:hAnsi="宋体" w:cs="宋体" w:eastAsia="宋体" w:hint="default"/>
          <w:sz w:val="7"/>
          <w:szCs w:val="7"/>
        </w:rPr>
      </w:pPr>
    </w:p>
    <w:tbl>
      <w:tblPr>
        <w:tblW w:w="0" w:type="auto"/>
        <w:jc w:val="left"/>
        <w:tblInd w:w="146" w:type="dxa"/>
        <w:tblLayout w:type="fixed"/>
        <w:tblCellMar>
          <w:top w:w="0" w:type="dxa"/>
          <w:left w:w="0" w:type="dxa"/>
          <w:bottom w:w="0" w:type="dxa"/>
          <w:right w:w="0" w:type="dxa"/>
        </w:tblCellMar>
        <w:tblLook w:val="01E0"/>
      </w:tblPr>
      <w:tblGrid>
        <w:gridCol w:w="710"/>
        <w:gridCol w:w="1276"/>
        <w:gridCol w:w="7656"/>
      </w:tblGrid>
      <w:tr>
        <w:trPr>
          <w:trHeight w:val="427" w:hRule="exact"/>
        </w:trPr>
        <w:tc>
          <w:tcPr>
            <w:tcW w:w="71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166"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127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765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1704" w:right="0"/>
              <w:jc w:val="left"/>
              <w:rPr>
                <w:rFonts w:ascii="宋体" w:hAnsi="宋体" w:cs="宋体" w:eastAsia="宋体" w:hint="default"/>
                <w:sz w:val="18"/>
                <w:szCs w:val="18"/>
              </w:rPr>
            </w:pPr>
            <w:r>
              <w:rPr>
                <w:rFonts w:ascii="宋体" w:hAnsi="宋体" w:cs="宋体" w:eastAsia="宋体" w:hint="default"/>
                <w:sz w:val="18"/>
                <w:szCs w:val="18"/>
              </w:rPr>
              <w:t>最近</w:t>
            </w:r>
            <w:r>
              <w:rPr>
                <w:rFonts w:ascii="Times New Roman" w:hAnsi="Times New Roman" w:cs="Times New Roman" w:eastAsia="Times New Roman" w:hint="default"/>
                <w:sz w:val="18"/>
                <w:szCs w:val="18"/>
              </w:rPr>
              <w:t>5</w:t>
            </w:r>
            <w:r>
              <w:rPr>
                <w:rFonts w:ascii="宋体" w:hAnsi="宋体" w:cs="宋体" w:eastAsia="宋体" w:hint="default"/>
                <w:sz w:val="18"/>
                <w:szCs w:val="18"/>
              </w:rPr>
              <w:t>年主要工作经历和在其他单位的任职或兼职情况</w:t>
            </w:r>
          </w:p>
        </w:tc>
      </w:tr>
      <w:tr>
        <w:trPr>
          <w:trHeight w:val="1676"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362" w:lineRule="auto" w:before="102"/>
              <w:ind w:left="2" w:right="202"/>
              <w:jc w:val="left"/>
              <w:rPr>
                <w:rFonts w:ascii="Times New Roman" w:hAnsi="Times New Roman" w:cs="Times New Roman" w:eastAsia="Times New Roman" w:hint="default"/>
                <w:sz w:val="18"/>
                <w:szCs w:val="18"/>
              </w:rPr>
            </w:pPr>
            <w:r>
              <w:rPr>
                <w:rFonts w:ascii="Times New Roman"/>
                <w:sz w:val="18"/>
              </w:rPr>
              <w:t>GUO</w:t>
            </w:r>
            <w:r>
              <w:rPr>
                <w:rFonts w:ascii="Times New Roman"/>
                <w:spacing w:val="-1"/>
                <w:w w:val="99"/>
                <w:sz w:val="18"/>
              </w:rPr>
              <w:t> </w:t>
            </w:r>
            <w:r>
              <w:rPr>
                <w:rFonts w:ascii="Times New Roman"/>
                <w:sz w:val="18"/>
              </w:rPr>
              <w:t>SONG</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董事长、总经理</w:t>
            </w:r>
          </w:p>
        </w:tc>
        <w:tc>
          <w:tcPr>
            <w:tcW w:w="7656"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62"/>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1965</w:t>
            </w:r>
            <w:r>
              <w:rPr>
                <w:rFonts w:ascii="宋体" w:hAnsi="宋体" w:cs="宋体" w:eastAsia="宋体" w:hint="default"/>
                <w:sz w:val="18"/>
                <w:szCs w:val="18"/>
              </w:rPr>
              <w:t>年出生，华中科技大学信息工程专业工学学士、新加坡国立大学电子工程系硕士，深圳市</w:t>
            </w:r>
            <w:r>
              <w:rPr>
                <w:rFonts w:ascii="Times New Roman" w:hAnsi="Times New Roman" w:cs="Times New Roman" w:eastAsia="Times New Roman" w:hint="default"/>
                <w:sz w:val="18"/>
                <w:szCs w:val="18"/>
              </w:rPr>
              <w:t>“</w:t>
            </w:r>
            <w:r>
              <w:rPr>
                <w:rFonts w:ascii="宋体" w:hAnsi="宋体" w:cs="宋体" w:eastAsia="宋体" w:hint="default"/>
                <w:sz w:val="18"/>
                <w:szCs w:val="18"/>
              </w:rPr>
              <w:t>孔 雀计划</w:t>
            </w:r>
            <w:r>
              <w:rPr>
                <w:rFonts w:ascii="Times New Roman" w:hAnsi="Times New Roman" w:cs="Times New Roman" w:eastAsia="Times New Roman" w:hint="default"/>
                <w:sz w:val="18"/>
                <w:szCs w:val="18"/>
              </w:rPr>
              <w:t>”</w:t>
            </w:r>
            <w:r>
              <w:rPr>
                <w:rFonts w:ascii="宋体" w:hAnsi="宋体" w:cs="宋体" w:eastAsia="宋体" w:hint="default"/>
                <w:sz w:val="18"/>
                <w:szCs w:val="18"/>
              </w:rPr>
              <w:t>海外高层次人才，被评为</w:t>
            </w:r>
            <w:r>
              <w:rPr>
                <w:rFonts w:ascii="Times New Roman" w:hAnsi="Times New Roman" w:cs="Times New Roman" w:eastAsia="Times New Roman" w:hint="default"/>
                <w:sz w:val="18"/>
                <w:szCs w:val="18"/>
              </w:rPr>
              <w:t>2013</w:t>
            </w:r>
            <w:r>
              <w:rPr>
                <w:rFonts w:ascii="宋体" w:hAnsi="宋体" w:cs="宋体" w:eastAsia="宋体" w:hint="default"/>
                <w:sz w:val="18"/>
                <w:szCs w:val="18"/>
              </w:rPr>
              <w:t>年度中国物流技术装备行业创新人物；</w:t>
            </w:r>
            <w:r>
              <w:rPr>
                <w:rFonts w:ascii="Times New Roman" w:hAnsi="Times New Roman" w:cs="Times New Roman" w:eastAsia="Times New Roman" w:hint="default"/>
                <w:sz w:val="18"/>
                <w:szCs w:val="18"/>
              </w:rPr>
              <w:t>2016</w:t>
            </w:r>
            <w:r>
              <w:rPr>
                <w:rFonts w:ascii="宋体" w:hAnsi="宋体" w:cs="宋体" w:eastAsia="宋体" w:hint="default"/>
                <w:sz w:val="18"/>
                <w:szCs w:val="18"/>
              </w:rPr>
              <w:t>年至今任寰泰发 展有限公司董事，深圳市博通思创咨询有限公司董事长、总经理；</w:t>
            </w:r>
            <w:r>
              <w:rPr>
                <w:rFonts w:ascii="Times New Roman" w:hAnsi="Times New Roman" w:cs="Times New Roman" w:eastAsia="Times New Roman" w:hint="default"/>
                <w:sz w:val="18"/>
                <w:szCs w:val="18"/>
              </w:rPr>
              <w:t>2017</w:t>
            </w:r>
            <w:r>
              <w:rPr>
                <w:rFonts w:ascii="宋体" w:hAnsi="宋体" w:cs="宋体" w:eastAsia="宋体" w:hint="default"/>
                <w:sz w:val="18"/>
                <w:szCs w:val="18"/>
              </w:rPr>
              <w:t>年至今任宏泰实业有限公 司董事，博远企业有限公司董事，深圳市博通智能科技有限公司董事长、总经理；</w:t>
            </w:r>
            <w:r>
              <w:rPr>
                <w:rFonts w:ascii="Times New Roman" w:hAnsi="Times New Roman" w:cs="Times New Roman" w:eastAsia="Times New Roman" w:hint="default"/>
                <w:sz w:val="18"/>
                <w:szCs w:val="18"/>
              </w:rPr>
              <w:t>2006</w:t>
            </w:r>
            <w:r>
              <w:rPr>
                <w:rFonts w:ascii="宋体" w:hAnsi="宋体" w:cs="宋体" w:eastAsia="宋体" w:hint="default"/>
                <w:sz w:val="18"/>
                <w:szCs w:val="18"/>
              </w:rPr>
              <w:t>年至今历 任公司副总经理、总经理。</w:t>
            </w:r>
          </w:p>
        </w:tc>
      </w:tr>
      <w:tr>
        <w:trPr>
          <w:trHeight w:val="972"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362" w:lineRule="auto" w:before="61"/>
              <w:ind w:left="2" w:right="303"/>
              <w:jc w:val="left"/>
              <w:rPr>
                <w:rFonts w:ascii="Times New Roman" w:hAnsi="Times New Roman" w:cs="Times New Roman" w:eastAsia="Times New Roman" w:hint="default"/>
                <w:sz w:val="18"/>
                <w:szCs w:val="18"/>
              </w:rPr>
            </w:pPr>
            <w:r>
              <w:rPr>
                <w:rFonts w:ascii="Times New Roman"/>
                <w:sz w:val="18"/>
              </w:rPr>
              <w:t>LIU</w:t>
            </w:r>
            <w:r>
              <w:rPr>
                <w:rFonts w:ascii="Times New Roman"/>
                <w:w w:val="99"/>
                <w:sz w:val="18"/>
              </w:rPr>
              <w:t> </w:t>
            </w:r>
            <w:r>
              <w:rPr>
                <w:rFonts w:ascii="Times New Roman"/>
                <w:sz w:val="18"/>
              </w:rPr>
              <w:t>DAN</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副董事长、副总 经理</w:t>
            </w:r>
          </w:p>
        </w:tc>
        <w:tc>
          <w:tcPr>
            <w:tcW w:w="7656"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76"/>
              <w:jc w:val="both"/>
              <w:rPr>
                <w:rFonts w:ascii="宋体" w:hAnsi="宋体" w:cs="宋体" w:eastAsia="宋体" w:hint="default"/>
                <w:sz w:val="18"/>
                <w:szCs w:val="18"/>
              </w:rPr>
            </w:pPr>
            <w:r>
              <w:rPr>
                <w:rFonts w:ascii="Times New Roman" w:hAnsi="Times New Roman" w:cs="Times New Roman" w:eastAsia="Times New Roman" w:hint="default"/>
                <w:sz w:val="18"/>
                <w:szCs w:val="18"/>
              </w:rPr>
              <w:t>1968</w:t>
            </w:r>
            <w:r>
              <w:rPr>
                <w:rFonts w:ascii="宋体" w:hAnsi="宋体" w:cs="宋体" w:eastAsia="宋体" w:hint="default"/>
                <w:sz w:val="18"/>
                <w:szCs w:val="18"/>
              </w:rPr>
              <w:t>年出生，上海交通大学计算机软件专业工学硕士；</w:t>
            </w:r>
            <w:r>
              <w:rPr>
                <w:rFonts w:ascii="Times New Roman" w:hAnsi="Times New Roman" w:cs="Times New Roman" w:eastAsia="Times New Roman" w:hint="default"/>
                <w:sz w:val="18"/>
                <w:szCs w:val="18"/>
              </w:rPr>
              <w:t>2016</w:t>
            </w:r>
            <w:r>
              <w:rPr>
                <w:rFonts w:ascii="宋体" w:hAnsi="宋体" w:cs="宋体" w:eastAsia="宋体" w:hint="default"/>
                <w:sz w:val="18"/>
                <w:szCs w:val="18"/>
              </w:rPr>
              <w:t>年至今任卓泰实业有限公司董事，深 圳市博通思创咨询有限公司董事；</w:t>
            </w:r>
            <w:r>
              <w:rPr>
                <w:rFonts w:ascii="Times New Roman" w:hAnsi="Times New Roman" w:cs="Times New Roman" w:eastAsia="Times New Roman" w:hint="default"/>
                <w:sz w:val="18"/>
                <w:szCs w:val="18"/>
              </w:rPr>
              <w:t>2017</w:t>
            </w:r>
            <w:r>
              <w:rPr>
                <w:rFonts w:ascii="宋体" w:hAnsi="宋体" w:cs="宋体" w:eastAsia="宋体" w:hint="default"/>
                <w:sz w:val="18"/>
                <w:szCs w:val="18"/>
              </w:rPr>
              <w:t>年至今任深圳市瑞柏泰电子有限公司董事，深圳市天眼智 通科技有限公司董事，深圳市博通智能科技有限公司董事；</w:t>
            </w:r>
            <w:r>
              <w:rPr>
                <w:rFonts w:ascii="Times New Roman" w:hAnsi="Times New Roman" w:cs="Times New Roman" w:eastAsia="Times New Roman" w:hint="default"/>
                <w:sz w:val="18"/>
                <w:szCs w:val="18"/>
              </w:rPr>
              <w:t>2006</w:t>
            </w:r>
            <w:r>
              <w:rPr>
                <w:rFonts w:ascii="宋体" w:hAnsi="宋体" w:cs="宋体" w:eastAsia="宋体" w:hint="default"/>
                <w:sz w:val="18"/>
                <w:szCs w:val="18"/>
              </w:rPr>
              <w:t>年至今担任公司副总经理。</w:t>
            </w:r>
          </w:p>
        </w:tc>
      </w:tr>
    </w:tbl>
    <w:p>
      <w:pPr>
        <w:spacing w:after="0" w:line="300" w:lineRule="auto"/>
        <w:jc w:val="both"/>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宋体" w:hAnsi="宋体" w:cs="宋体" w:eastAsia="宋体" w:hint="default"/>
          <w:sz w:val="20"/>
          <w:szCs w:val="20"/>
        </w:rPr>
      </w:pPr>
      <w:r>
        <w:rPr/>
        <w:pict>
          <v:shape style="position:absolute;margin-left:56.34pt;margin-top:71.999985pt;width:483.15pt;height:696.6pt;mso-position-horizontal-relative:page;mso-position-vertical-relative:page;z-index:16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10"/>
                    <w:gridCol w:w="1276"/>
                    <w:gridCol w:w="7656"/>
                  </w:tblGrid>
                  <w:tr>
                    <w:trPr>
                      <w:trHeight w:val="427"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仝文定</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董事、副总经理</w:t>
                        </w:r>
                      </w:p>
                    </w:tc>
                    <w:tc>
                      <w:tcPr>
                        <w:tcW w:w="7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1978</w:t>
                        </w:r>
                        <w:r>
                          <w:rPr>
                            <w:rFonts w:ascii="宋体" w:hAnsi="宋体" w:cs="宋体" w:eastAsia="宋体" w:hint="default"/>
                            <w:sz w:val="18"/>
                            <w:szCs w:val="18"/>
                          </w:rPr>
                          <w:t>年出生，郑州大学计算机信息管理专业学士；</w:t>
                        </w:r>
                        <w:r>
                          <w:rPr>
                            <w:rFonts w:ascii="Times New Roman" w:hAnsi="Times New Roman" w:cs="Times New Roman" w:eastAsia="Times New Roman" w:hint="default"/>
                            <w:sz w:val="18"/>
                            <w:szCs w:val="18"/>
                          </w:rPr>
                          <w:t>2007</w:t>
                        </w:r>
                        <w:r>
                          <w:rPr>
                            <w:rFonts w:ascii="宋体" w:hAnsi="宋体" w:cs="宋体" w:eastAsia="宋体" w:hint="default"/>
                            <w:sz w:val="18"/>
                            <w:szCs w:val="18"/>
                          </w:rPr>
                          <w:t>年至今历任公司销售部总监、副总经理。</w:t>
                        </w:r>
                      </w:p>
                    </w:tc>
                  </w:tr>
                  <w:tr>
                    <w:trPr>
                      <w:trHeight w:val="659"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刘镇</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316"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董事、董事会秘 书</w:t>
                        </w:r>
                      </w:p>
                    </w:tc>
                    <w:tc>
                      <w:tcPr>
                        <w:tcW w:w="7656"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1985</w:t>
                        </w:r>
                        <w:r>
                          <w:rPr>
                            <w:rFonts w:ascii="宋体" w:hAnsi="宋体" w:cs="宋体" w:eastAsia="宋体" w:hint="default"/>
                            <w:sz w:val="18"/>
                            <w:szCs w:val="18"/>
                          </w:rPr>
                          <w:t>年出生，北京大学金融学硕士；</w:t>
                        </w:r>
                        <w:r>
                          <w:rPr>
                            <w:rFonts w:ascii="Times New Roman" w:hAnsi="Times New Roman" w:cs="Times New Roman" w:eastAsia="Times New Roman" w:hint="default"/>
                            <w:sz w:val="18"/>
                            <w:szCs w:val="18"/>
                          </w:rPr>
                          <w:t>2017</w:t>
                        </w:r>
                        <w:r>
                          <w:rPr>
                            <w:rFonts w:ascii="宋体" w:hAnsi="宋体" w:cs="宋体" w:eastAsia="宋体" w:hint="default"/>
                            <w:sz w:val="18"/>
                            <w:szCs w:val="18"/>
                          </w:rPr>
                          <w:t>年至今任深圳市天眼智通科技有限公司董事；</w:t>
                        </w:r>
                        <w:r>
                          <w:rPr>
                            <w:rFonts w:ascii="Times New Roman" w:hAnsi="Times New Roman" w:cs="Times New Roman" w:eastAsia="Times New Roman" w:hint="default"/>
                            <w:sz w:val="18"/>
                            <w:szCs w:val="18"/>
                          </w:rPr>
                          <w:t>2010</w:t>
                        </w:r>
                        <w:r>
                          <w:rPr>
                            <w:rFonts w:ascii="宋体" w:hAnsi="宋体" w:cs="宋体" w:eastAsia="宋体" w:hint="default"/>
                            <w:sz w:val="18"/>
                            <w:szCs w:val="18"/>
                          </w:rPr>
                          <w:t>年至 今担任公司董事会秘书。</w:t>
                        </w:r>
                      </w:p>
                    </w:tc>
                  </w:tr>
                  <w:tr>
                    <w:trPr>
                      <w:trHeight w:val="4091"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656" w:type="dxa"/>
                        <w:tcBorders>
                          <w:top w:val="single" w:sz="6" w:space="0" w:color="000000"/>
                          <w:left w:val="single" w:sz="6" w:space="0" w:color="000000"/>
                          <w:bottom w:val="single" w:sz="6" w:space="0" w:color="000000"/>
                          <w:right w:val="single" w:sz="6" w:space="0" w:color="000000"/>
                        </w:tcBorders>
                      </w:tcPr>
                      <w:p>
                        <w:pPr>
                          <w:pStyle w:val="TableParagraph"/>
                          <w:spacing w:line="302" w:lineRule="auto" w:before="21"/>
                          <w:ind w:left="2" w:right="1"/>
                          <w:jc w:val="left"/>
                          <w:rPr>
                            <w:rFonts w:ascii="宋体" w:hAnsi="宋体" w:cs="宋体" w:eastAsia="宋体" w:hint="default"/>
                            <w:sz w:val="18"/>
                            <w:szCs w:val="18"/>
                          </w:rPr>
                        </w:pPr>
                        <w:r>
                          <w:rPr>
                            <w:rFonts w:ascii="Times New Roman" w:hAnsi="Times New Roman" w:cs="Times New Roman" w:eastAsia="Times New Roman" w:hint="default"/>
                            <w:sz w:val="18"/>
                            <w:szCs w:val="18"/>
                          </w:rPr>
                          <w:t>1962</w:t>
                        </w:r>
                        <w:r>
                          <w:rPr>
                            <w:rFonts w:ascii="宋体" w:hAnsi="宋体" w:cs="宋体" w:eastAsia="宋体" w:hint="default"/>
                            <w:sz w:val="18"/>
                            <w:szCs w:val="18"/>
                          </w:rPr>
                          <w:t>年出生，山东大学经济学硕士；</w:t>
                        </w:r>
                        <w:r>
                          <w:rPr>
                            <w:rFonts w:ascii="Times New Roman" w:hAnsi="Times New Roman" w:cs="Times New Roman" w:eastAsia="Times New Roman" w:hint="default"/>
                            <w:sz w:val="18"/>
                            <w:szCs w:val="18"/>
                          </w:rPr>
                          <w:t>2010</w:t>
                        </w:r>
                        <w:r>
                          <w:rPr>
                            <w:rFonts w:ascii="宋体" w:hAnsi="宋体" w:cs="宋体" w:eastAsia="宋体" w:hint="default"/>
                            <w:sz w:val="18"/>
                            <w:szCs w:val="18"/>
                          </w:rPr>
                          <w:t>年至</w:t>
                        </w:r>
                        <w:r>
                          <w:rPr>
                            <w:rFonts w:ascii="Times New Roman" w:hAnsi="Times New Roman" w:cs="Times New Roman" w:eastAsia="Times New Roman" w:hint="default"/>
                            <w:sz w:val="18"/>
                            <w:szCs w:val="18"/>
                          </w:rPr>
                          <w:t>2015</w:t>
                        </w:r>
                        <w:r>
                          <w:rPr>
                            <w:rFonts w:ascii="宋体" w:hAnsi="宋体" w:cs="宋体" w:eastAsia="宋体" w:hint="default"/>
                            <w:sz w:val="18"/>
                            <w:szCs w:val="18"/>
                          </w:rPr>
                          <w:t>年任深圳市贝尔信科技有限公司董事；</w:t>
                        </w:r>
                        <w:r>
                          <w:rPr>
                            <w:rFonts w:ascii="Times New Roman" w:hAnsi="Times New Roman" w:cs="Times New Roman" w:eastAsia="Times New Roman" w:hint="default"/>
                            <w:sz w:val="18"/>
                            <w:szCs w:val="18"/>
                          </w:rPr>
                          <w:t>2010</w:t>
                        </w:r>
                        <w:r>
                          <w:rPr>
                            <w:rFonts w:ascii="宋体" w:hAnsi="宋体" w:cs="宋体" w:eastAsia="宋体" w:hint="default"/>
                            <w:sz w:val="18"/>
                            <w:szCs w:val="18"/>
                          </w:rPr>
                          <w:t>年 </w:t>
                        </w:r>
                        <w:r>
                          <w:rPr>
                            <w:rFonts w:ascii="宋体" w:hAnsi="宋体" w:cs="宋体" w:eastAsia="宋体" w:hint="default"/>
                            <w:spacing w:val="-1"/>
                            <w:sz w:val="18"/>
                            <w:szCs w:val="18"/>
                          </w:rPr>
                          <w:t>至</w:t>
                        </w:r>
                        <w:r>
                          <w:rPr>
                            <w:rFonts w:ascii="Times New Roman" w:hAnsi="Times New Roman" w:cs="Times New Roman" w:eastAsia="Times New Roman" w:hint="default"/>
                            <w:spacing w:val="-1"/>
                            <w:sz w:val="18"/>
                            <w:szCs w:val="18"/>
                          </w:rPr>
                          <w:t>2016</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月任成都中洲投资有限公司董事；</w:t>
                        </w:r>
                        <w:r>
                          <w:rPr>
                            <w:rFonts w:ascii="Times New Roman" w:hAnsi="Times New Roman" w:cs="Times New Roman" w:eastAsia="Times New Roman" w:hint="default"/>
                            <w:spacing w:val="-1"/>
                            <w:sz w:val="18"/>
                            <w:szCs w:val="18"/>
                          </w:rPr>
                          <w:t>2014</w:t>
                        </w:r>
                        <w:r>
                          <w:rPr>
                            <w:rFonts w:ascii="宋体" w:hAnsi="宋体" w:cs="宋体" w:eastAsia="宋体" w:hint="default"/>
                            <w:spacing w:val="-1"/>
                            <w:sz w:val="18"/>
                            <w:szCs w:val="18"/>
                          </w:rPr>
                          <w:t>年至</w:t>
                        </w:r>
                        <w:r>
                          <w:rPr>
                            <w:rFonts w:ascii="Times New Roman" w:hAnsi="Times New Roman" w:cs="Times New Roman" w:eastAsia="Times New Roman" w:hint="default"/>
                            <w:spacing w:val="-1"/>
                            <w:sz w:val="18"/>
                            <w:szCs w:val="18"/>
                          </w:rPr>
                          <w:t>2016</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10</w:t>
                        </w:r>
                        <w:r>
                          <w:rPr>
                            <w:rFonts w:ascii="宋体" w:hAnsi="宋体" w:cs="宋体" w:eastAsia="宋体" w:hint="default"/>
                            <w:spacing w:val="-1"/>
                            <w:sz w:val="18"/>
                            <w:szCs w:val="18"/>
                          </w:rPr>
                          <w:t>月任深圳市中洲科技有限公司董事</w:t>
                        </w:r>
                        <w:r>
                          <w:rPr>
                            <w:rFonts w:ascii="宋体" w:hAnsi="宋体" w:cs="宋体" w:eastAsia="宋体" w:hint="default"/>
                            <w:spacing w:val="-56"/>
                            <w:sz w:val="18"/>
                            <w:szCs w:val="18"/>
                          </w:rPr>
                          <w:t> </w:t>
                        </w:r>
                        <w:r>
                          <w:rPr>
                            <w:rFonts w:ascii="宋体" w:hAnsi="宋体" w:cs="宋体" w:eastAsia="宋体" w:hint="default"/>
                            <w:sz w:val="18"/>
                            <w:szCs w:val="18"/>
                          </w:rPr>
                          <w:t>长；</w:t>
                        </w: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2</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2016</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月任深圳市甘美科技有限公司执行（常务）董事；</w:t>
                        </w:r>
                        <w:r>
                          <w:rPr>
                            <w:rFonts w:ascii="Times New Roman" w:hAnsi="Times New Roman" w:cs="Times New Roman" w:eastAsia="Times New Roman" w:hint="default"/>
                            <w:sz w:val="18"/>
                            <w:szCs w:val="18"/>
                          </w:rPr>
                          <w:t>2014</w:t>
                        </w:r>
                        <w:r>
                          <w:rPr>
                            <w:rFonts w:ascii="宋体" w:hAnsi="宋体" w:cs="宋体" w:eastAsia="宋体" w:hint="default"/>
                            <w:sz w:val="18"/>
                            <w:szCs w:val="18"/>
                          </w:rPr>
                          <w:t>年</w:t>
                        </w:r>
                        <w:r>
                          <w:rPr>
                            <w:rFonts w:ascii="Times New Roman" w:hAnsi="Times New Roman" w:cs="Times New Roman" w:eastAsia="Times New Roman" w:hint="default"/>
                            <w:sz w:val="18"/>
                            <w:szCs w:val="18"/>
                          </w:rPr>
                          <w:t>7</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9 </w:t>
                        </w:r>
                        <w:r>
                          <w:rPr>
                            <w:rFonts w:ascii="宋体" w:hAnsi="宋体" w:cs="宋体" w:eastAsia="宋体" w:hint="default"/>
                            <w:spacing w:val="-1"/>
                            <w:sz w:val="18"/>
                            <w:szCs w:val="18"/>
                          </w:rPr>
                          <w:t>月任深圳市中洲创业投资有限公司执行（常务）董事、总经理；</w:t>
                        </w:r>
                        <w:r>
                          <w:rPr>
                            <w:rFonts w:ascii="Times New Roman" w:hAnsi="Times New Roman" w:cs="Times New Roman" w:eastAsia="Times New Roman" w:hint="default"/>
                            <w:spacing w:val="-1"/>
                            <w:sz w:val="18"/>
                            <w:szCs w:val="18"/>
                          </w:rPr>
                          <w:t>2011</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月至</w:t>
                        </w:r>
                        <w:r>
                          <w:rPr>
                            <w:rFonts w:ascii="Times New Roman" w:hAnsi="Times New Roman" w:cs="Times New Roman" w:eastAsia="Times New Roman" w:hint="default"/>
                            <w:spacing w:val="-1"/>
                            <w:sz w:val="18"/>
                            <w:szCs w:val="18"/>
                          </w:rPr>
                          <w:t>2017</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11</w:t>
                        </w:r>
                        <w:r>
                          <w:rPr>
                            <w:rFonts w:ascii="宋体" w:hAnsi="宋体" w:cs="宋体" w:eastAsia="宋体" w:hint="default"/>
                            <w:spacing w:val="-1"/>
                            <w:sz w:val="18"/>
                            <w:szCs w:val="18"/>
                          </w:rPr>
                          <w:t>月任深圳市</w:t>
                        </w:r>
                        <w:r>
                          <w:rPr>
                            <w:rFonts w:ascii="宋体" w:hAnsi="宋体" w:cs="宋体" w:eastAsia="宋体" w:hint="default"/>
                            <w:spacing w:val="-58"/>
                            <w:sz w:val="18"/>
                            <w:szCs w:val="18"/>
                          </w:rPr>
                          <w:t> </w:t>
                        </w:r>
                        <w:r>
                          <w:rPr>
                            <w:rFonts w:ascii="宋体" w:hAnsi="宋体" w:cs="宋体" w:eastAsia="宋体" w:hint="default"/>
                            <w:sz w:val="18"/>
                            <w:szCs w:val="18"/>
                          </w:rPr>
                          <w:t>阳光之路生物材料科技有限公司董事；</w:t>
                        </w:r>
                        <w:r>
                          <w:rPr>
                            <w:rFonts w:ascii="宋体" w:hAnsi="宋体" w:cs="宋体" w:eastAsia="宋体" w:hint="default"/>
                            <w:spacing w:val="-19"/>
                            <w:sz w:val="18"/>
                            <w:szCs w:val="18"/>
                          </w:rPr>
                          <w:t> </w:t>
                        </w:r>
                        <w:r>
                          <w:rPr>
                            <w:rFonts w:ascii="Times New Roman" w:hAnsi="Times New Roman" w:cs="Times New Roman" w:eastAsia="Times New Roman" w:hint="default"/>
                            <w:sz w:val="18"/>
                            <w:szCs w:val="18"/>
                          </w:rPr>
                          <w:t>2009</w:t>
                        </w:r>
                        <w:r>
                          <w:rPr>
                            <w:rFonts w:ascii="宋体" w:hAnsi="宋体" w:cs="宋体" w:eastAsia="宋体" w:hint="default"/>
                            <w:sz w:val="18"/>
                            <w:szCs w:val="18"/>
                          </w:rPr>
                          <w:t>年至今任湖北红土创业投资有限公司董事；</w:t>
                        </w:r>
                        <w:r>
                          <w:rPr>
                            <w:rFonts w:ascii="Times New Roman" w:hAnsi="Times New Roman" w:cs="Times New Roman" w:eastAsia="Times New Roman" w:hint="default"/>
                            <w:sz w:val="18"/>
                            <w:szCs w:val="18"/>
                          </w:rPr>
                          <w:t>2011</w:t>
                        </w:r>
                        <w:r>
                          <w:rPr>
                            <w:rFonts w:ascii="宋体" w:hAnsi="宋体" w:cs="宋体" w:eastAsia="宋体" w:hint="default"/>
                            <w:sz w:val="18"/>
                            <w:szCs w:val="18"/>
                          </w:rPr>
                          <w:t>年至 今任深圳中洲集团有限公司副总裁、副董事长；</w:t>
                        </w:r>
                        <w:r>
                          <w:rPr>
                            <w:rFonts w:ascii="Times New Roman" w:hAnsi="Times New Roman" w:cs="Times New Roman" w:eastAsia="Times New Roman" w:hint="default"/>
                            <w:sz w:val="18"/>
                            <w:szCs w:val="18"/>
                          </w:rPr>
                          <w:t>2013</w:t>
                        </w:r>
                        <w:r>
                          <w:rPr>
                            <w:rFonts w:ascii="宋体" w:hAnsi="宋体" w:cs="宋体" w:eastAsia="宋体" w:hint="default"/>
                            <w:sz w:val="18"/>
                            <w:szCs w:val="18"/>
                          </w:rPr>
                          <w:t>年至今任深圳市中洲商业管理有限公司执行 董事，深圳市中洲投资控股股份有限公司董事；</w:t>
                        </w:r>
                        <w:r>
                          <w:rPr>
                            <w:rFonts w:ascii="Times New Roman" w:hAnsi="Times New Roman" w:cs="Times New Roman" w:eastAsia="Times New Roman" w:hint="default"/>
                            <w:sz w:val="18"/>
                            <w:szCs w:val="18"/>
                          </w:rPr>
                          <w:t>2014</w:t>
                        </w:r>
                        <w:r>
                          <w:rPr>
                            <w:rFonts w:ascii="宋体" w:hAnsi="宋体" w:cs="宋体" w:eastAsia="宋体" w:hint="default"/>
                            <w:sz w:val="18"/>
                            <w:szCs w:val="18"/>
                          </w:rPr>
                          <w:t>年至今任深圳协利纸业有限公司副董事长， 深圳市中洲装饰工程有限公司执行董事、总经理，深圳市前海阳诚实业发展有限公司执行董事、 总经理；</w:t>
                        </w:r>
                        <w:r>
                          <w:rPr>
                            <w:rFonts w:ascii="宋体" w:hAnsi="宋体" w:cs="宋体" w:eastAsia="宋体" w:hint="default"/>
                            <w:spacing w:val="-19"/>
                            <w:sz w:val="18"/>
                            <w:szCs w:val="18"/>
                          </w:rPr>
                          <w:t> </w:t>
                        </w:r>
                        <w:r>
                          <w:rPr>
                            <w:rFonts w:ascii="Times New Roman" w:hAnsi="Times New Roman" w:cs="Times New Roman" w:eastAsia="Times New Roman" w:hint="default"/>
                            <w:sz w:val="18"/>
                            <w:szCs w:val="18"/>
                          </w:rPr>
                          <w:t>2015</w:t>
                        </w:r>
                        <w:r>
                          <w:rPr>
                            <w:rFonts w:ascii="宋体" w:hAnsi="宋体" w:cs="宋体" w:eastAsia="宋体" w:hint="default"/>
                            <w:sz w:val="18"/>
                            <w:szCs w:val="18"/>
                          </w:rPr>
                          <w:t>年至今任深圳市中洲投资有限公司董事长、总经理，惠莞高速公路（惠州）投资有 限公司监事；</w:t>
                        </w:r>
                        <w:r>
                          <w:rPr>
                            <w:rFonts w:ascii="Times New Roman" w:hAnsi="Times New Roman" w:cs="Times New Roman" w:eastAsia="Times New Roman" w:hint="default"/>
                            <w:sz w:val="18"/>
                            <w:szCs w:val="18"/>
                          </w:rPr>
                          <w:t>2016</w:t>
                        </w:r>
                        <w:r>
                          <w:rPr>
                            <w:rFonts w:ascii="宋体" w:hAnsi="宋体" w:cs="宋体" w:eastAsia="宋体" w:hint="default"/>
                            <w:sz w:val="18"/>
                            <w:szCs w:val="18"/>
                          </w:rPr>
                          <w:t>年至今任深圳天常发展有限公司执行董事、总经理，深圳天常股权投资管理有 限公司执行董事、总经理，深圳中洲产业投资管理有限公司董事，青岛市源洲投资有限公司董事 长兼总经理；</w:t>
                        </w:r>
                        <w:r>
                          <w:rPr>
                            <w:rFonts w:ascii="Times New Roman" w:hAnsi="Times New Roman" w:cs="Times New Roman" w:eastAsia="Times New Roman" w:hint="default"/>
                            <w:sz w:val="18"/>
                            <w:szCs w:val="18"/>
                          </w:rPr>
                          <w:t>2017</w:t>
                        </w:r>
                        <w:r>
                          <w:rPr>
                            <w:rFonts w:ascii="宋体" w:hAnsi="宋体" w:cs="宋体" w:eastAsia="宋体" w:hint="default"/>
                            <w:sz w:val="18"/>
                            <w:szCs w:val="18"/>
                          </w:rPr>
                          <w:t>年至今任深圳中洲股权投资基金管理有限公司董事，深圳中洲金控投资有限公 司董事；</w:t>
                        </w:r>
                        <w:r>
                          <w:rPr>
                            <w:rFonts w:ascii="Times New Roman" w:hAnsi="Times New Roman" w:cs="Times New Roman" w:eastAsia="Times New Roman" w:hint="default"/>
                            <w:sz w:val="18"/>
                            <w:szCs w:val="18"/>
                          </w:rPr>
                          <w:t>2011</w:t>
                        </w:r>
                        <w:r>
                          <w:rPr>
                            <w:rFonts w:ascii="宋体" w:hAnsi="宋体" w:cs="宋体" w:eastAsia="宋体" w:hint="default"/>
                            <w:sz w:val="18"/>
                            <w:szCs w:val="18"/>
                          </w:rPr>
                          <w:t>年至今任公司董事。</w:t>
                        </w:r>
                      </w:p>
                    </w:tc>
                  </w:tr>
                  <w:tr>
                    <w:trPr>
                      <w:trHeight w:val="1283"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王仁东</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656"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77"/>
                          <w:jc w:val="both"/>
                          <w:rPr>
                            <w:rFonts w:ascii="宋体" w:hAnsi="宋体" w:cs="宋体" w:eastAsia="宋体" w:hint="default"/>
                            <w:sz w:val="18"/>
                            <w:szCs w:val="18"/>
                          </w:rPr>
                        </w:pPr>
                        <w:r>
                          <w:rPr>
                            <w:rFonts w:ascii="Times New Roman" w:hAnsi="Times New Roman" w:cs="Times New Roman" w:eastAsia="Times New Roman" w:hint="default"/>
                            <w:sz w:val="18"/>
                            <w:szCs w:val="18"/>
                          </w:rPr>
                          <w:t>1961</w:t>
                        </w:r>
                        <w:r>
                          <w:rPr>
                            <w:rFonts w:ascii="宋体" w:hAnsi="宋体" w:cs="宋体" w:eastAsia="宋体" w:hint="default"/>
                            <w:sz w:val="18"/>
                            <w:szCs w:val="18"/>
                          </w:rPr>
                          <w:t>年出生，华中科技大学工学硕士；</w:t>
                        </w:r>
                        <w:r>
                          <w:rPr>
                            <w:rFonts w:ascii="Times New Roman" w:hAnsi="Times New Roman" w:cs="Times New Roman" w:eastAsia="Times New Roman" w:hint="default"/>
                            <w:sz w:val="18"/>
                            <w:szCs w:val="18"/>
                          </w:rPr>
                          <w:t>1989</w:t>
                        </w:r>
                        <w:r>
                          <w:rPr>
                            <w:rFonts w:ascii="宋体" w:hAnsi="宋体" w:cs="宋体" w:eastAsia="宋体" w:hint="default"/>
                            <w:sz w:val="18"/>
                            <w:szCs w:val="18"/>
                          </w:rPr>
                          <w:t>年至</w:t>
                        </w:r>
                        <w:r>
                          <w:rPr>
                            <w:rFonts w:ascii="Times New Roman" w:hAnsi="Times New Roman" w:cs="Times New Roman" w:eastAsia="Times New Roman" w:hint="default"/>
                            <w:sz w:val="18"/>
                            <w:szCs w:val="18"/>
                          </w:rPr>
                          <w:t>2017</w:t>
                        </w:r>
                        <w:r>
                          <w:rPr>
                            <w:rFonts w:ascii="宋体" w:hAnsi="宋体" w:cs="宋体" w:eastAsia="宋体" w:hint="default"/>
                            <w:sz w:val="18"/>
                            <w:szCs w:val="18"/>
                          </w:rPr>
                          <w:t>年历任深圳南山热电股份有限公司开发部部 长、工程部部长、技改办主任、副总工程师、总经理助理、总工程师、公司监事会监事；</w:t>
                        </w:r>
                        <w:r>
                          <w:rPr>
                            <w:rFonts w:ascii="Times New Roman" w:hAnsi="Times New Roman" w:cs="Times New Roman" w:eastAsia="Times New Roman" w:hint="default"/>
                            <w:sz w:val="18"/>
                            <w:szCs w:val="18"/>
                          </w:rPr>
                          <w:t>2016</w:t>
                        </w:r>
                        <w:r>
                          <w:rPr>
                            <w:rFonts w:ascii="宋体" w:hAnsi="宋体" w:cs="宋体" w:eastAsia="宋体" w:hint="default"/>
                            <w:sz w:val="18"/>
                            <w:szCs w:val="18"/>
                          </w:rPr>
                          <w:t>年 至今任深圳市资产管理学会监事长；</w:t>
                        </w:r>
                        <w:r>
                          <w:rPr>
                            <w:rFonts w:ascii="Times New Roman" w:hAnsi="Times New Roman" w:cs="Times New Roman" w:eastAsia="Times New Roman" w:hint="default"/>
                            <w:sz w:val="18"/>
                            <w:szCs w:val="18"/>
                          </w:rPr>
                          <w:t>2018</w:t>
                        </w:r>
                        <w:r>
                          <w:rPr>
                            <w:rFonts w:ascii="宋体" w:hAnsi="宋体" w:cs="宋体" w:eastAsia="宋体" w:hint="default"/>
                            <w:sz w:val="18"/>
                            <w:szCs w:val="18"/>
                          </w:rPr>
                          <w:t>年至今任深圳南山热电股份有限公司南山热电厂顾问； </w:t>
                        </w: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12</w:t>
                        </w:r>
                        <w:r>
                          <w:rPr>
                            <w:rFonts w:ascii="宋体" w:hAnsi="宋体" w:cs="宋体" w:eastAsia="宋体" w:hint="default"/>
                            <w:sz w:val="18"/>
                            <w:szCs w:val="18"/>
                          </w:rPr>
                          <w:t>日起担任公司董事。</w:t>
                        </w:r>
                      </w:p>
                    </w:tc>
                  </w:tr>
                  <w:tr>
                    <w:trPr>
                      <w:trHeight w:val="971"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徐先达</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656"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2"/>
                          <w:jc w:val="both"/>
                          <w:rPr>
                            <w:rFonts w:ascii="宋体" w:hAnsi="宋体" w:cs="宋体" w:eastAsia="宋体" w:hint="default"/>
                            <w:sz w:val="18"/>
                            <w:szCs w:val="18"/>
                          </w:rPr>
                        </w:pPr>
                        <w:r>
                          <w:rPr>
                            <w:rFonts w:ascii="Times New Roman" w:hAnsi="Times New Roman" w:cs="Times New Roman" w:eastAsia="Times New Roman" w:hint="default"/>
                            <w:spacing w:val="-2"/>
                            <w:sz w:val="18"/>
                            <w:szCs w:val="18"/>
                          </w:rPr>
                          <w:t>1964</w:t>
                        </w:r>
                        <w:r>
                          <w:rPr>
                            <w:rFonts w:ascii="宋体" w:hAnsi="宋体" w:cs="宋体" w:eastAsia="宋体" w:hint="default"/>
                            <w:spacing w:val="-2"/>
                            <w:sz w:val="18"/>
                            <w:szCs w:val="18"/>
                          </w:rPr>
                          <w:t>年出生，清华大学高级管理人员工商管理硕士（</w:t>
                        </w:r>
                        <w:r>
                          <w:rPr>
                            <w:rFonts w:ascii="Times New Roman" w:hAnsi="Times New Roman" w:cs="Times New Roman" w:eastAsia="Times New Roman" w:hint="default"/>
                            <w:spacing w:val="-2"/>
                            <w:sz w:val="18"/>
                            <w:szCs w:val="18"/>
                          </w:rPr>
                          <w:t>EMBA</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2005</w:t>
                        </w:r>
                        <w:r>
                          <w:rPr>
                            <w:rFonts w:ascii="宋体" w:hAnsi="宋体" w:cs="宋体" w:eastAsia="宋体" w:hint="default"/>
                            <w:spacing w:val="-2"/>
                            <w:sz w:val="18"/>
                            <w:szCs w:val="18"/>
                          </w:rPr>
                          <w:t>年至今任百丽国际控股有限公</w:t>
                        </w:r>
                        <w:r>
                          <w:rPr>
                            <w:rFonts w:ascii="宋体" w:hAnsi="宋体" w:cs="宋体" w:eastAsia="宋体" w:hint="default"/>
                            <w:spacing w:val="-84"/>
                            <w:sz w:val="18"/>
                            <w:szCs w:val="18"/>
                          </w:rPr>
                          <w:t> </w:t>
                        </w:r>
                        <w:r>
                          <w:rPr>
                            <w:rFonts w:ascii="宋体" w:hAnsi="宋体" w:cs="宋体" w:eastAsia="宋体" w:hint="default"/>
                            <w:spacing w:val="-1"/>
                            <w:sz w:val="18"/>
                            <w:szCs w:val="18"/>
                          </w:rPr>
                          <w:t>司副总经理；</w:t>
                        </w:r>
                        <w:r>
                          <w:rPr>
                            <w:rFonts w:ascii="Times New Roman" w:hAnsi="Times New Roman" w:cs="Times New Roman" w:eastAsia="Times New Roman" w:hint="default"/>
                            <w:spacing w:val="-1"/>
                            <w:sz w:val="18"/>
                            <w:szCs w:val="18"/>
                          </w:rPr>
                          <w:t>2011</w:t>
                        </w:r>
                        <w:r>
                          <w:rPr>
                            <w:rFonts w:ascii="宋体" w:hAnsi="宋体" w:cs="宋体" w:eastAsia="宋体" w:hint="default"/>
                            <w:spacing w:val="-1"/>
                            <w:sz w:val="18"/>
                            <w:szCs w:val="18"/>
                          </w:rPr>
                          <w:t>年至今任广亿贸易（深圳）有限公司执行董事、总经理；</w:t>
                        </w:r>
                        <w:r>
                          <w:rPr>
                            <w:rFonts w:ascii="Times New Roman" w:hAnsi="Times New Roman" w:cs="Times New Roman" w:eastAsia="Times New Roman" w:hint="default"/>
                            <w:spacing w:val="-1"/>
                            <w:sz w:val="18"/>
                            <w:szCs w:val="18"/>
                          </w:rPr>
                          <w:t>2018</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9</w:t>
                        </w:r>
                        <w:r>
                          <w:rPr>
                            <w:rFonts w:ascii="宋体" w:hAnsi="宋体" w:cs="宋体" w:eastAsia="宋体" w:hint="default"/>
                            <w:spacing w:val="-1"/>
                            <w:sz w:val="18"/>
                            <w:szCs w:val="18"/>
                          </w:rPr>
                          <w:t>月</w:t>
                        </w:r>
                        <w:r>
                          <w:rPr>
                            <w:rFonts w:ascii="Times New Roman" w:hAnsi="Times New Roman" w:cs="Times New Roman" w:eastAsia="Times New Roman" w:hint="default"/>
                            <w:spacing w:val="-1"/>
                            <w:sz w:val="18"/>
                            <w:szCs w:val="18"/>
                          </w:rPr>
                          <w:t>12</w:t>
                        </w:r>
                        <w:r>
                          <w:rPr>
                            <w:rFonts w:ascii="宋体" w:hAnsi="宋体" w:cs="宋体" w:eastAsia="宋体" w:hint="default"/>
                            <w:spacing w:val="-1"/>
                            <w:sz w:val="18"/>
                            <w:szCs w:val="18"/>
                          </w:rPr>
                          <w:t>日起担任</w:t>
                        </w:r>
                        <w:r>
                          <w:rPr>
                            <w:rFonts w:ascii="宋体" w:hAnsi="宋体" w:cs="宋体" w:eastAsia="宋体" w:hint="default"/>
                            <w:spacing w:val="-60"/>
                            <w:sz w:val="18"/>
                            <w:szCs w:val="18"/>
                          </w:rPr>
                          <w:t> </w:t>
                        </w:r>
                        <w:r>
                          <w:rPr>
                            <w:rFonts w:ascii="宋体" w:hAnsi="宋体" w:cs="宋体" w:eastAsia="宋体" w:hint="default"/>
                            <w:spacing w:val="-60"/>
                            <w:sz w:val="18"/>
                            <w:szCs w:val="18"/>
                          </w:rPr>
                        </w:r>
                        <w:r>
                          <w:rPr>
                            <w:rFonts w:ascii="宋体" w:hAnsi="宋体" w:cs="宋体" w:eastAsia="宋体" w:hint="default"/>
                            <w:sz w:val="18"/>
                            <w:szCs w:val="18"/>
                          </w:rPr>
                          <w:t>公司独立董事。</w:t>
                        </w:r>
                      </w:p>
                    </w:tc>
                  </w:tr>
                  <w:tr>
                    <w:trPr>
                      <w:trHeight w:val="1596"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高海军</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656"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0"/>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1969</w:t>
                        </w:r>
                        <w:r>
                          <w:rPr>
                            <w:rFonts w:ascii="宋体" w:hAnsi="宋体" w:cs="宋体" w:eastAsia="宋体" w:hint="default"/>
                            <w:spacing w:val="-1"/>
                            <w:sz w:val="18"/>
                            <w:szCs w:val="18"/>
                          </w:rPr>
                          <w:t>年出生，注册会计师；</w:t>
                        </w:r>
                        <w:r>
                          <w:rPr>
                            <w:rFonts w:ascii="Times New Roman" w:hAnsi="Times New Roman" w:cs="Times New Roman" w:eastAsia="Times New Roman" w:hint="default"/>
                            <w:spacing w:val="-1"/>
                            <w:sz w:val="18"/>
                            <w:szCs w:val="18"/>
                          </w:rPr>
                          <w:t>2011</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12</w:t>
                        </w:r>
                        <w:r>
                          <w:rPr>
                            <w:rFonts w:ascii="宋体" w:hAnsi="宋体" w:cs="宋体" w:eastAsia="宋体" w:hint="default"/>
                            <w:spacing w:val="-1"/>
                            <w:sz w:val="18"/>
                            <w:szCs w:val="18"/>
                          </w:rPr>
                          <w:t>月至</w:t>
                        </w:r>
                        <w:r>
                          <w:rPr>
                            <w:rFonts w:ascii="Times New Roman" w:hAnsi="Times New Roman" w:cs="Times New Roman" w:eastAsia="Times New Roman" w:hint="default"/>
                            <w:spacing w:val="-1"/>
                            <w:sz w:val="18"/>
                            <w:szCs w:val="18"/>
                          </w:rPr>
                          <w:t>2014</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月任深圳市精密达机械有限公司副总经理、董事</w:t>
                        </w:r>
                        <w:r>
                          <w:rPr>
                            <w:rFonts w:ascii="宋体" w:hAnsi="宋体" w:cs="宋体" w:eastAsia="宋体" w:hint="default"/>
                            <w:spacing w:val="-55"/>
                            <w:sz w:val="18"/>
                            <w:szCs w:val="18"/>
                          </w:rPr>
                          <w:t> </w:t>
                        </w:r>
                        <w:r>
                          <w:rPr>
                            <w:rFonts w:ascii="宋体" w:hAnsi="宋体" w:cs="宋体" w:eastAsia="宋体" w:hint="default"/>
                            <w:spacing w:val="-55"/>
                            <w:sz w:val="18"/>
                            <w:szCs w:val="18"/>
                          </w:rPr>
                        </w:r>
                        <w:r>
                          <w:rPr>
                            <w:rFonts w:ascii="宋体" w:hAnsi="宋体" w:cs="宋体" w:eastAsia="宋体" w:hint="default"/>
                            <w:sz w:val="18"/>
                            <w:szCs w:val="18"/>
                          </w:rPr>
                          <w:t>会秘书、财务总监；</w:t>
                        </w:r>
                        <w:r>
                          <w:rPr>
                            <w:rFonts w:ascii="Times New Roman" w:hAnsi="Times New Roman" w:cs="Times New Roman" w:eastAsia="Times New Roman" w:hint="default"/>
                            <w:sz w:val="18"/>
                            <w:szCs w:val="18"/>
                          </w:rPr>
                          <w:t>2015</w:t>
                        </w:r>
                        <w:r>
                          <w:rPr>
                            <w:rFonts w:ascii="宋体" w:hAnsi="宋体" w:cs="宋体" w:eastAsia="宋体" w:hint="default"/>
                            <w:sz w:val="18"/>
                            <w:szCs w:val="18"/>
                          </w:rPr>
                          <w:t>年</w:t>
                        </w:r>
                        <w:r>
                          <w:rPr>
                            <w:rFonts w:ascii="Times New Roman" w:hAnsi="Times New Roman" w:cs="Times New Roman" w:eastAsia="Times New Roman" w:hint="default"/>
                            <w:sz w:val="18"/>
                            <w:szCs w:val="18"/>
                          </w:rPr>
                          <w:t>3</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4</w:t>
                        </w:r>
                        <w:r>
                          <w:rPr>
                            <w:rFonts w:ascii="宋体" w:hAnsi="宋体" w:cs="宋体" w:eastAsia="宋体" w:hint="default"/>
                            <w:sz w:val="18"/>
                            <w:szCs w:val="18"/>
                          </w:rPr>
                          <w:t>月任深圳瑞和建筑装饰股份有限公司副总经理兼投资总 监；</w:t>
                        </w:r>
                        <w:r>
                          <w:rPr>
                            <w:rFonts w:ascii="Times New Roman" w:hAnsi="Times New Roman" w:cs="Times New Roman" w:eastAsia="Times New Roman" w:hint="default"/>
                            <w:sz w:val="18"/>
                            <w:szCs w:val="18"/>
                          </w:rPr>
                          <w:t>2017</w:t>
                        </w:r>
                        <w:r>
                          <w:rPr>
                            <w:rFonts w:ascii="宋体" w:hAnsi="宋体" w:cs="宋体" w:eastAsia="宋体" w:hint="default"/>
                            <w:sz w:val="18"/>
                            <w:szCs w:val="18"/>
                          </w:rPr>
                          <w:t>年至今任深圳市中幼国际教育科技有限公司副总裁兼财务中心总经理，宁波圣莱达电器 股份有限公司独立董事，深圳市英唐智能控制股份有限公司独立董事；</w:t>
                        </w:r>
                        <w:r>
                          <w:rPr>
                            <w:rFonts w:ascii="Times New Roman" w:hAnsi="Times New Roman" w:cs="Times New Roman" w:eastAsia="Times New Roman" w:hint="default"/>
                            <w:sz w:val="18"/>
                            <w:szCs w:val="18"/>
                          </w:rPr>
                          <w:t>2018</w:t>
                        </w:r>
                        <w:r>
                          <w:rPr>
                            <w:rFonts w:ascii="宋体" w:hAnsi="宋体" w:cs="宋体" w:eastAsia="宋体" w:hint="default"/>
                            <w:sz w:val="18"/>
                            <w:szCs w:val="18"/>
                          </w:rPr>
                          <w:t>年至今任广东佳兆业 佳云科技股份有限公司独立董事，</w:t>
                        </w: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12</w:t>
                        </w:r>
                        <w:r>
                          <w:rPr>
                            <w:rFonts w:ascii="宋体" w:hAnsi="宋体" w:cs="宋体" w:eastAsia="宋体" w:hint="default"/>
                            <w:sz w:val="18"/>
                            <w:szCs w:val="18"/>
                          </w:rPr>
                          <w:t>日起担任公司独立董事。</w:t>
                        </w:r>
                      </w:p>
                    </w:tc>
                  </w:tr>
                  <w:tr>
                    <w:trPr>
                      <w:trHeight w:val="1283"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郭雳</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7656"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0"/>
                          <w:ind w:left="2" w:right="-12"/>
                          <w:jc w:val="left"/>
                          <w:rPr>
                            <w:rFonts w:ascii="宋体" w:hAnsi="宋体" w:cs="宋体" w:eastAsia="宋体" w:hint="default"/>
                            <w:sz w:val="18"/>
                            <w:szCs w:val="18"/>
                          </w:rPr>
                        </w:pPr>
                        <w:r>
                          <w:rPr>
                            <w:rFonts w:ascii="Times New Roman" w:hAnsi="Times New Roman" w:cs="Times New Roman" w:eastAsia="Times New Roman" w:hint="default"/>
                            <w:sz w:val="18"/>
                            <w:szCs w:val="18"/>
                          </w:rPr>
                          <w:t>1979</w:t>
                        </w:r>
                        <w:r>
                          <w:rPr>
                            <w:rFonts w:ascii="宋体" w:hAnsi="宋体" w:cs="宋体" w:eastAsia="宋体" w:hint="default"/>
                            <w:sz w:val="18"/>
                            <w:szCs w:val="18"/>
                          </w:rPr>
                          <w:t>年出生，中国政法大学法学硕士；</w:t>
                        </w: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月至</w:t>
                        </w:r>
                        <w:r>
                          <w:rPr>
                            <w:rFonts w:ascii="Times New Roman" w:hAnsi="Times New Roman" w:cs="Times New Roman" w:eastAsia="Times New Roman" w:hint="default"/>
                            <w:sz w:val="18"/>
                            <w:szCs w:val="18"/>
                          </w:rPr>
                          <w:t>2013</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月任广东竞德律师事务所律师助理、 执业律师；</w:t>
                        </w:r>
                        <w:r>
                          <w:rPr>
                            <w:rFonts w:ascii="Times New Roman" w:hAnsi="Times New Roman" w:cs="Times New Roman" w:eastAsia="Times New Roman" w:hint="default"/>
                            <w:sz w:val="18"/>
                            <w:szCs w:val="18"/>
                          </w:rPr>
                          <w:t>2010</w:t>
                        </w:r>
                        <w:r>
                          <w:rPr>
                            <w:rFonts w:ascii="宋体" w:hAnsi="宋体" w:cs="宋体" w:eastAsia="宋体" w:hint="default"/>
                            <w:sz w:val="18"/>
                            <w:szCs w:val="18"/>
                          </w:rPr>
                          <w:t>年至今任深圳市金和动迁投资管理有限公司监事；</w:t>
                        </w:r>
                        <w:r>
                          <w:rPr>
                            <w:rFonts w:ascii="Times New Roman" w:hAnsi="Times New Roman" w:cs="Times New Roman" w:eastAsia="Times New Roman" w:hint="default"/>
                            <w:sz w:val="18"/>
                            <w:szCs w:val="18"/>
                          </w:rPr>
                          <w:t>2014</w:t>
                        </w:r>
                        <w:r>
                          <w:rPr>
                            <w:rFonts w:ascii="宋体" w:hAnsi="宋体" w:cs="宋体" w:eastAsia="宋体" w:hint="default"/>
                            <w:sz w:val="18"/>
                            <w:szCs w:val="18"/>
                          </w:rPr>
                          <w:t>年至今任北京德恒（深圳 律师事务所合伙人、执业律师，深圳市悟童教育发展有限公司监事；</w:t>
                        </w: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12</w:t>
                        </w:r>
                        <w:r>
                          <w:rPr>
                            <w:rFonts w:ascii="宋体" w:hAnsi="宋体" w:cs="宋体" w:eastAsia="宋体" w:hint="default"/>
                            <w:sz w:val="18"/>
                            <w:szCs w:val="18"/>
                          </w:rPr>
                          <w:t>日起担任公司独 立董事。</w:t>
                        </w:r>
                      </w:p>
                    </w:tc>
                  </w:tr>
                  <w:tr>
                    <w:trPr>
                      <w:trHeight w:val="659"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于雪磊</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7656"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5"/>
                          <w:jc w:val="left"/>
                          <w:rPr>
                            <w:rFonts w:ascii="宋体" w:hAnsi="宋体" w:cs="宋体" w:eastAsia="宋体" w:hint="default"/>
                            <w:sz w:val="18"/>
                            <w:szCs w:val="18"/>
                          </w:rPr>
                        </w:pPr>
                        <w:r>
                          <w:rPr>
                            <w:rFonts w:ascii="Times New Roman" w:hAnsi="Times New Roman" w:cs="Times New Roman" w:eastAsia="Times New Roman" w:hint="default"/>
                            <w:sz w:val="18"/>
                            <w:szCs w:val="18"/>
                          </w:rPr>
                          <w:t>1981</w:t>
                        </w:r>
                        <w:r>
                          <w:rPr>
                            <w:rFonts w:ascii="宋体" w:hAnsi="宋体" w:cs="宋体" w:eastAsia="宋体" w:hint="default"/>
                            <w:sz w:val="18"/>
                            <w:szCs w:val="18"/>
                          </w:rPr>
                          <w:t>年出生，中专学历；</w:t>
                        </w:r>
                        <w:r>
                          <w:rPr>
                            <w:rFonts w:ascii="宋体" w:hAnsi="宋体" w:cs="宋体" w:eastAsia="宋体" w:hint="default"/>
                            <w:spacing w:val="-19"/>
                            <w:sz w:val="18"/>
                            <w:szCs w:val="18"/>
                          </w:rPr>
                          <w:t> </w:t>
                        </w:r>
                        <w:r>
                          <w:rPr>
                            <w:rFonts w:ascii="宋体" w:hAnsi="宋体" w:cs="宋体" w:eastAsia="宋体" w:hint="default"/>
                            <w:sz w:val="18"/>
                            <w:szCs w:val="18"/>
                          </w:rPr>
                          <w:t>2011</w:t>
                        </w:r>
                        <w:r>
                          <w:rPr>
                            <w:rFonts w:ascii="宋体" w:hAnsi="宋体" w:cs="宋体" w:eastAsia="宋体" w:hint="default"/>
                            <w:sz w:val="18"/>
                            <w:szCs w:val="18"/>
                          </w:rPr>
                          <w:t>年至今任深圳市博讯投资有限公司监事；</w:t>
                        </w:r>
                        <w:r>
                          <w:rPr>
                            <w:rFonts w:ascii="Times New Roman" w:hAnsi="Times New Roman" w:cs="Times New Roman" w:eastAsia="Times New Roman" w:hint="default"/>
                            <w:sz w:val="18"/>
                            <w:szCs w:val="18"/>
                          </w:rPr>
                          <w:t>2006</w:t>
                        </w:r>
                        <w:r>
                          <w:rPr>
                            <w:rFonts w:ascii="宋体" w:hAnsi="宋体" w:cs="宋体" w:eastAsia="宋体" w:hint="default"/>
                            <w:sz w:val="18"/>
                            <w:szCs w:val="18"/>
                          </w:rPr>
                          <w:t>年至今任公司技术支 持部总监。</w:t>
                        </w:r>
                      </w:p>
                    </w:tc>
                  </w:tr>
                  <w:tr>
                    <w:trPr>
                      <w:trHeight w:val="659"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郁小娇</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职工代表监事</w:t>
                        </w:r>
                      </w:p>
                    </w:tc>
                    <w:tc>
                      <w:tcPr>
                        <w:tcW w:w="7656"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76"/>
                          <w:jc w:val="left"/>
                          <w:rPr>
                            <w:rFonts w:ascii="宋体" w:hAnsi="宋体" w:cs="宋体" w:eastAsia="宋体" w:hint="default"/>
                            <w:sz w:val="18"/>
                            <w:szCs w:val="18"/>
                          </w:rPr>
                        </w:pPr>
                        <w:r>
                          <w:rPr>
                            <w:rFonts w:ascii="Times New Roman" w:hAnsi="Times New Roman" w:cs="Times New Roman" w:eastAsia="Times New Roman" w:hint="default"/>
                            <w:sz w:val="18"/>
                            <w:szCs w:val="18"/>
                          </w:rPr>
                          <w:t>1981</w:t>
                        </w:r>
                        <w:r>
                          <w:rPr>
                            <w:rFonts w:ascii="宋体" w:hAnsi="宋体" w:cs="宋体" w:eastAsia="宋体" w:hint="default"/>
                            <w:sz w:val="18"/>
                            <w:szCs w:val="18"/>
                          </w:rPr>
                          <w:t>年出生，毕业于重庆大学计算机通信工程专业；</w:t>
                        </w:r>
                        <w:r>
                          <w:rPr>
                            <w:rFonts w:ascii="Times New Roman" w:hAnsi="Times New Roman" w:cs="Times New Roman" w:eastAsia="Times New Roman" w:hint="default"/>
                            <w:sz w:val="18"/>
                            <w:szCs w:val="18"/>
                          </w:rPr>
                          <w:t>2008</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月起在本公司工作，现任公司采购 部工程师。</w:t>
                        </w:r>
                      </w:p>
                    </w:tc>
                  </w:tr>
                  <w:tr>
                    <w:trPr>
                      <w:trHeight w:val="659"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徐宁</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7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1978</w:t>
                        </w:r>
                        <w:r>
                          <w:rPr>
                            <w:rFonts w:ascii="宋体" w:hAnsi="宋体" w:cs="宋体" w:eastAsia="宋体" w:hint="default"/>
                            <w:sz w:val="18"/>
                            <w:szCs w:val="18"/>
                          </w:rPr>
                          <w:t>年出生，深圳大学会计学专业学士；</w:t>
                        </w:r>
                        <w:r>
                          <w:rPr>
                            <w:rFonts w:ascii="Times New Roman" w:hAnsi="Times New Roman" w:cs="Times New Roman" w:eastAsia="Times New Roman" w:hint="default"/>
                            <w:sz w:val="18"/>
                            <w:szCs w:val="18"/>
                          </w:rPr>
                          <w:t>2014</w:t>
                        </w:r>
                        <w:r>
                          <w:rPr>
                            <w:rFonts w:ascii="宋体" w:hAnsi="宋体" w:cs="宋体" w:eastAsia="宋体" w:hint="default"/>
                            <w:sz w:val="18"/>
                            <w:szCs w:val="18"/>
                          </w:rPr>
                          <w:t>年至今任惠州市领尚电子科技有限公司监事；</w:t>
                        </w:r>
                        <w:r>
                          <w:rPr>
                            <w:rFonts w:ascii="Times New Roman" w:hAnsi="Times New Roman" w:cs="Times New Roman" w:eastAsia="Times New Roman" w:hint="default"/>
                            <w:sz w:val="18"/>
                            <w:szCs w:val="18"/>
                          </w:rPr>
                          <w:t>2011</w:t>
                        </w:r>
                      </w:p>
                      <w:p>
                        <w:pPr>
                          <w:pStyle w:val="TableParagraph"/>
                          <w:spacing w:line="240" w:lineRule="auto" w:before="63"/>
                          <w:ind w:left="2" w:right="0"/>
                          <w:jc w:val="left"/>
                          <w:rPr>
                            <w:rFonts w:ascii="宋体" w:hAnsi="宋体" w:cs="宋体" w:eastAsia="宋体" w:hint="default"/>
                            <w:sz w:val="18"/>
                            <w:szCs w:val="18"/>
                          </w:rPr>
                        </w:pPr>
                        <w:r>
                          <w:rPr>
                            <w:rFonts w:ascii="宋体" w:hAnsi="宋体" w:cs="宋体" w:eastAsia="宋体" w:hint="default"/>
                            <w:sz w:val="18"/>
                            <w:szCs w:val="18"/>
                          </w:rPr>
                          <w:t>年至今任公司财务部经理。</w:t>
                        </w:r>
                      </w:p>
                    </w:tc>
                  </w:tr>
                  <w:tr>
                    <w:trPr>
                      <w:trHeight w:val="971"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万波</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656"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2"/>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1979</w:t>
                        </w:r>
                        <w:r>
                          <w:rPr>
                            <w:rFonts w:ascii="宋体" w:hAnsi="宋体" w:cs="宋体" w:eastAsia="宋体" w:hint="default"/>
                            <w:spacing w:val="-2"/>
                            <w:sz w:val="18"/>
                            <w:szCs w:val="18"/>
                          </w:rPr>
                          <w:t>年出生，上海交通大学安泰经济与管理学院高级管理人员工商管理硕士（</w:t>
                        </w:r>
                        <w:r>
                          <w:rPr>
                            <w:rFonts w:ascii="Times New Roman" w:hAnsi="Times New Roman" w:cs="Times New Roman" w:eastAsia="Times New Roman" w:hint="default"/>
                            <w:spacing w:val="-2"/>
                            <w:sz w:val="18"/>
                            <w:szCs w:val="18"/>
                          </w:rPr>
                          <w:t>EMBA</w:t>
                        </w: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2017</w:t>
                        </w:r>
                        <w:r>
                          <w:rPr>
                            <w:rFonts w:ascii="宋体" w:hAnsi="宋体" w:cs="宋体" w:eastAsia="宋体" w:hint="default"/>
                            <w:spacing w:val="-2"/>
                            <w:sz w:val="18"/>
                            <w:szCs w:val="18"/>
                          </w:rPr>
                          <w:t>年</w:t>
                        </w:r>
                        <w:r>
                          <w:rPr>
                            <w:rFonts w:ascii="Times New Roman" w:hAnsi="Times New Roman" w:cs="Times New Roman" w:eastAsia="Times New Roman" w:hint="default"/>
                            <w:spacing w:val="-2"/>
                            <w:sz w:val="18"/>
                            <w:szCs w:val="18"/>
                          </w:rPr>
                          <w:t>12</w:t>
                        </w:r>
                        <w:r>
                          <w:rPr>
                            <w:rFonts w:ascii="Times New Roman" w:hAnsi="Times New Roman" w:cs="Times New Roman" w:eastAsia="Times New Roman" w:hint="default"/>
                            <w:spacing w:val="-37"/>
                            <w:sz w:val="18"/>
                            <w:szCs w:val="18"/>
                          </w:rPr>
                          <w:t> </w:t>
                        </w:r>
                        <w:r>
                          <w:rPr>
                            <w:rFonts w:ascii="宋体" w:hAnsi="宋体" w:cs="宋体" w:eastAsia="宋体" w:hint="default"/>
                            <w:sz w:val="18"/>
                            <w:szCs w:val="18"/>
                          </w:rPr>
                          <w:t>月至今任中世顺科技（北京）股份有限公司董事；</w:t>
                        </w:r>
                        <w:r>
                          <w:rPr>
                            <w:rFonts w:ascii="Times New Roman" w:hAnsi="Times New Roman" w:cs="Times New Roman" w:eastAsia="Times New Roman" w:hint="default"/>
                            <w:sz w:val="18"/>
                            <w:szCs w:val="18"/>
                          </w:rPr>
                          <w:t>2006</w:t>
                        </w:r>
                        <w:r>
                          <w:rPr>
                            <w:rFonts w:ascii="宋体" w:hAnsi="宋体" w:cs="宋体" w:eastAsia="宋体" w:hint="default"/>
                            <w:sz w:val="18"/>
                            <w:szCs w:val="18"/>
                          </w:rPr>
                          <w:t>年至今担任公司行业应用事业部总经理， </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8</w:t>
                        </w:r>
                        <w:r>
                          <w:rPr>
                            <w:rFonts w:ascii="宋体" w:hAnsi="宋体" w:cs="宋体" w:eastAsia="宋体" w:hint="default"/>
                            <w:sz w:val="18"/>
                            <w:szCs w:val="18"/>
                          </w:rPr>
                          <w:t>月</w:t>
                        </w:r>
                        <w:r>
                          <w:rPr>
                            <w:rFonts w:ascii="Times New Roman" w:hAnsi="Times New Roman" w:cs="Times New Roman" w:eastAsia="Times New Roman" w:hint="default"/>
                            <w:sz w:val="18"/>
                            <w:szCs w:val="18"/>
                          </w:rPr>
                          <w:t>23</w:t>
                        </w:r>
                        <w:r>
                          <w:rPr>
                            <w:rFonts w:ascii="宋体" w:hAnsi="宋体" w:cs="宋体" w:eastAsia="宋体" w:hint="default"/>
                            <w:sz w:val="18"/>
                            <w:szCs w:val="18"/>
                          </w:rPr>
                          <w:t>日起担任公司副总经理。</w:t>
                        </w:r>
                      </w:p>
                    </w:tc>
                  </w:tr>
                  <w:tr>
                    <w:trPr>
                      <w:trHeight w:val="660"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张玉洁</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76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1"/>
                            <w:sz w:val="18"/>
                            <w:szCs w:val="18"/>
                          </w:rPr>
                          <w:t>1981</w:t>
                        </w:r>
                        <w:r>
                          <w:rPr>
                            <w:rFonts w:ascii="宋体" w:hAnsi="宋体" w:cs="宋体" w:eastAsia="宋体" w:hint="default"/>
                            <w:spacing w:val="-1"/>
                            <w:sz w:val="18"/>
                            <w:szCs w:val="18"/>
                          </w:rPr>
                          <w:t>年出生，中欧国际工商管理学院工商管理硕士；</w:t>
                        </w:r>
                        <w:r>
                          <w:rPr>
                            <w:rFonts w:ascii="Times New Roman" w:hAnsi="Times New Roman" w:cs="Times New Roman" w:eastAsia="Times New Roman" w:hint="default"/>
                            <w:spacing w:val="-1"/>
                            <w:sz w:val="18"/>
                            <w:szCs w:val="18"/>
                          </w:rPr>
                          <w:t>2011</w:t>
                        </w:r>
                        <w:r>
                          <w:rPr>
                            <w:rFonts w:ascii="宋体" w:hAnsi="宋体" w:cs="宋体" w:eastAsia="宋体" w:hint="default"/>
                            <w:spacing w:val="-1"/>
                            <w:sz w:val="18"/>
                            <w:szCs w:val="18"/>
                          </w:rPr>
                          <w:t>年至今任公司大客户部总经理，</w:t>
                        </w:r>
                        <w:r>
                          <w:rPr>
                            <w:rFonts w:ascii="Times New Roman" w:hAnsi="Times New Roman" w:cs="Times New Roman" w:eastAsia="Times New Roman" w:hint="default"/>
                            <w:spacing w:val="-1"/>
                            <w:sz w:val="18"/>
                            <w:szCs w:val="18"/>
                          </w:rPr>
                          <w:t>2017</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8</w:t>
                        </w:r>
                      </w:p>
                      <w:p>
                        <w:pPr>
                          <w:pStyle w:val="TableParagraph"/>
                          <w:spacing w:line="240" w:lineRule="auto" w:before="63"/>
                          <w:ind w:left="2" w:right="0"/>
                          <w:jc w:val="left"/>
                          <w:rPr>
                            <w:rFonts w:ascii="宋体" w:hAnsi="宋体" w:cs="宋体" w:eastAsia="宋体" w:hint="default"/>
                            <w:sz w:val="18"/>
                            <w:szCs w:val="18"/>
                          </w:rPr>
                        </w:pPr>
                        <w:r>
                          <w:rPr>
                            <w:rFonts w:ascii="宋体" w:hAnsi="宋体" w:cs="宋体" w:eastAsia="宋体" w:hint="default"/>
                            <w:sz w:val="18"/>
                            <w:szCs w:val="18"/>
                          </w:rPr>
                          <w:t>月</w:t>
                        </w:r>
                        <w:r>
                          <w:rPr>
                            <w:rFonts w:ascii="Times New Roman" w:hAnsi="Times New Roman" w:cs="Times New Roman" w:eastAsia="Times New Roman" w:hint="default"/>
                            <w:sz w:val="18"/>
                            <w:szCs w:val="18"/>
                          </w:rPr>
                          <w:t>23</w:t>
                        </w:r>
                        <w:r>
                          <w:rPr>
                            <w:rFonts w:ascii="宋体" w:hAnsi="宋体" w:cs="宋体" w:eastAsia="宋体" w:hint="default"/>
                            <w:sz w:val="18"/>
                            <w:szCs w:val="18"/>
                          </w:rPr>
                          <w:t>日起担任公司副总经理，</w:t>
                        </w: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9</w:t>
                        </w:r>
                        <w:r>
                          <w:rPr>
                            <w:rFonts w:ascii="宋体" w:hAnsi="宋体" w:cs="宋体" w:eastAsia="宋体" w:hint="default"/>
                            <w:sz w:val="18"/>
                            <w:szCs w:val="18"/>
                          </w:rPr>
                          <w:t>月</w:t>
                        </w:r>
                        <w:r>
                          <w:rPr>
                            <w:rFonts w:ascii="Times New Roman" w:hAnsi="Times New Roman" w:cs="Times New Roman" w:eastAsia="Times New Roman" w:hint="default"/>
                            <w:sz w:val="18"/>
                            <w:szCs w:val="18"/>
                          </w:rPr>
                          <w:t>15</w:t>
                        </w:r>
                        <w:r>
                          <w:rPr>
                            <w:rFonts w:ascii="宋体" w:hAnsi="宋体" w:cs="宋体" w:eastAsia="宋体" w:hint="default"/>
                            <w:sz w:val="18"/>
                            <w:szCs w:val="18"/>
                          </w:rPr>
                          <w:t>日起担任公司上海分公司负责人。</w:t>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p>
      <w:pPr>
        <w:pStyle w:val="BodyText"/>
        <w:spacing w:line="240" w:lineRule="auto" w:before="44"/>
        <w:ind w:left="5856" w:right="1049"/>
        <w:jc w:val="right"/>
      </w:pPr>
      <w:r>
        <w:rPr/>
        <w:t>）</w:t>
      </w:r>
    </w:p>
    <w:p>
      <w:pPr>
        <w:spacing w:after="0" w:line="240" w:lineRule="auto"/>
        <w:jc w:val="right"/>
        <w:sectPr>
          <w:pgSz w:w="11910" w:h="16840"/>
          <w:pgMar w:header="747" w:footer="979" w:top="1060" w:bottom="1160" w:left="980" w:right="0"/>
        </w:sectPr>
      </w:pPr>
    </w:p>
    <w:p>
      <w:pPr>
        <w:spacing w:line="240" w:lineRule="auto" w:before="11"/>
        <w:rPr>
          <w:rFonts w:ascii="宋体" w:hAnsi="宋体" w:cs="宋体" w:eastAsia="宋体" w:hint="default"/>
          <w:sz w:val="27"/>
          <w:szCs w:val="27"/>
        </w:rPr>
      </w:pPr>
    </w:p>
    <w:p>
      <w:pPr>
        <w:pStyle w:val="BodyText"/>
        <w:spacing w:line="240" w:lineRule="auto" w:before="44"/>
        <w:ind w:left="5856" w:right="1049"/>
        <w:jc w:val="right"/>
      </w:pPr>
      <w:r>
        <w:rPr/>
        <w:pict>
          <v:shape style="position:absolute;margin-left:56.34pt;margin-top:.411714pt;width:483.15pt;height:64.95pt;mso-position-horizontal-relative:page;mso-position-vertical-relative:paragraph;z-index:17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10"/>
                    <w:gridCol w:w="1276"/>
                    <w:gridCol w:w="7656"/>
                  </w:tblGrid>
                  <w:tr>
                    <w:trPr>
                      <w:trHeight w:val="1284" w:hRule="exact"/>
                    </w:trPr>
                    <w:tc>
                      <w:tcPr>
                        <w:tcW w:w="7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张晔</w:t>
                        </w:r>
                      </w:p>
                    </w:tc>
                    <w:tc>
                      <w:tcPr>
                        <w:tcW w:w="127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财务负责人</w:t>
                        </w:r>
                      </w:p>
                    </w:tc>
                    <w:tc>
                      <w:tcPr>
                        <w:tcW w:w="7656" w:type="dxa"/>
                        <w:tcBorders>
                          <w:top w:val="single" w:sz="6" w:space="0" w:color="000000"/>
                          <w:left w:val="single" w:sz="6" w:space="0" w:color="000000"/>
                          <w:bottom w:val="single" w:sz="6" w:space="0" w:color="000000"/>
                          <w:right w:val="single" w:sz="6" w:space="0" w:color="000000"/>
                        </w:tcBorders>
                      </w:tcPr>
                      <w:p>
                        <w:pPr>
                          <w:pStyle w:val="TableParagraph"/>
                          <w:spacing w:line="300" w:lineRule="auto" w:before="21"/>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1967</w:t>
                        </w:r>
                        <w:r>
                          <w:rPr>
                            <w:rFonts w:ascii="宋体" w:hAnsi="宋体" w:cs="宋体" w:eastAsia="宋体" w:hint="default"/>
                            <w:sz w:val="18"/>
                            <w:szCs w:val="18"/>
                          </w:rPr>
                          <w:t>年出生，陕西财经学院会计专业学士，拥有会计师、中国注册会计师资格；</w:t>
                        </w:r>
                        <w:r>
                          <w:rPr>
                            <w:rFonts w:ascii="Times New Roman" w:hAnsi="Times New Roman" w:cs="Times New Roman" w:eastAsia="Times New Roman" w:hint="default"/>
                            <w:sz w:val="18"/>
                            <w:szCs w:val="18"/>
                          </w:rPr>
                          <w:t>2011</w:t>
                        </w:r>
                        <w:r>
                          <w:rPr>
                            <w:rFonts w:ascii="宋体" w:hAnsi="宋体" w:cs="宋体" w:eastAsia="宋体" w:hint="default"/>
                            <w:sz w:val="18"/>
                            <w:szCs w:val="18"/>
                          </w:rPr>
                          <w:t>年至</w:t>
                        </w:r>
                        <w:r>
                          <w:rPr>
                            <w:rFonts w:ascii="Times New Roman" w:hAnsi="Times New Roman" w:cs="Times New Roman" w:eastAsia="Times New Roman" w:hint="default"/>
                            <w:sz w:val="18"/>
                            <w:szCs w:val="18"/>
                          </w:rPr>
                          <w:t>2018</w:t>
                        </w:r>
                        <w:r>
                          <w:rPr>
                            <w:rFonts w:ascii="宋体" w:hAnsi="宋体" w:cs="宋体" w:eastAsia="宋体" w:hint="default"/>
                            <w:sz w:val="18"/>
                            <w:szCs w:val="18"/>
                          </w:rPr>
                          <w:t>年 历任深圳市兴飞科技有限公司副总经理兼财务负责人及顾问等职务；</w:t>
                        </w:r>
                        <w:r>
                          <w:rPr>
                            <w:rFonts w:ascii="Times New Roman" w:hAnsi="Times New Roman" w:cs="Times New Roman" w:eastAsia="Times New Roman" w:hint="default"/>
                            <w:sz w:val="18"/>
                            <w:szCs w:val="18"/>
                          </w:rPr>
                          <w:t>2004</w:t>
                        </w:r>
                        <w:r>
                          <w:rPr>
                            <w:rFonts w:ascii="宋体" w:hAnsi="宋体" w:cs="宋体" w:eastAsia="宋体" w:hint="default"/>
                            <w:sz w:val="18"/>
                            <w:szCs w:val="18"/>
                          </w:rPr>
                          <w:t>年至</w:t>
                        </w:r>
                        <w:r>
                          <w:rPr>
                            <w:rFonts w:ascii="Times New Roman" w:hAnsi="Times New Roman" w:cs="Times New Roman" w:eastAsia="Times New Roman" w:hint="default"/>
                            <w:sz w:val="18"/>
                            <w:szCs w:val="18"/>
                          </w:rPr>
                          <w:t>2011</w:t>
                        </w:r>
                        <w:r>
                          <w:rPr>
                            <w:rFonts w:ascii="宋体" w:hAnsi="宋体" w:cs="宋体" w:eastAsia="宋体" w:hint="default"/>
                            <w:sz w:val="18"/>
                            <w:szCs w:val="18"/>
                          </w:rPr>
                          <w:t>年，历任中兴 </w:t>
                        </w:r>
                        <w:r>
                          <w:rPr>
                            <w:rFonts w:ascii="宋体" w:hAnsi="宋体" w:cs="宋体" w:eastAsia="宋体" w:hint="default"/>
                            <w:spacing w:val="-1"/>
                            <w:sz w:val="18"/>
                            <w:szCs w:val="18"/>
                          </w:rPr>
                          <w:t>通讯股份有限公司总账科科长、总部子公司财务管理平台负责人、审计部部长等职务；</w:t>
                        </w:r>
                        <w:r>
                          <w:rPr>
                            <w:rFonts w:ascii="Times New Roman" w:hAnsi="Times New Roman" w:cs="Times New Roman" w:eastAsia="Times New Roman" w:hint="default"/>
                            <w:spacing w:val="-1"/>
                            <w:sz w:val="18"/>
                            <w:szCs w:val="18"/>
                          </w:rPr>
                          <w:t>2019</w:t>
                        </w:r>
                        <w:r>
                          <w:rPr>
                            <w:rFonts w:ascii="宋体" w:hAnsi="宋体" w:cs="宋体" w:eastAsia="宋体" w:hint="default"/>
                            <w:spacing w:val="-1"/>
                            <w:sz w:val="18"/>
                            <w:szCs w:val="18"/>
                          </w:rPr>
                          <w:t>年</w:t>
                        </w: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月</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16</w:t>
                        </w:r>
                        <w:r>
                          <w:rPr>
                            <w:rFonts w:ascii="宋体" w:hAnsi="宋体" w:cs="宋体" w:eastAsia="宋体" w:hint="default"/>
                            <w:sz w:val="18"/>
                            <w:szCs w:val="18"/>
                          </w:rPr>
                          <w:t>日起担任公司财务负责人。</w:t>
                        </w:r>
                      </w:p>
                    </w:tc>
                  </w:tr>
                </w:tbl>
                <w:p>
                  <w:pPr/>
                </w:p>
              </w:txbxContent>
            </v:textbox>
            <w10:wrap type="none"/>
          </v:shape>
        </w:pict>
      </w:r>
      <w:r>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2"/>
          <w:szCs w:val="22"/>
        </w:rPr>
      </w:pPr>
    </w:p>
    <w:p>
      <w:pPr>
        <w:pStyle w:val="BodyText"/>
        <w:spacing w:line="240" w:lineRule="auto" w:before="44"/>
        <w:ind w:right="1134"/>
        <w:jc w:val="left"/>
      </w:pPr>
      <w:r>
        <w:rPr/>
        <w:t>在股东单位任职情况</w:t>
      </w:r>
    </w:p>
    <w:p>
      <w:pPr>
        <w:pStyle w:val="BodyText"/>
        <w:spacing w:line="240" w:lineRule="auto" w:before="116"/>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202"/>
        <w:gridCol w:w="2910"/>
        <w:gridCol w:w="1559"/>
        <w:gridCol w:w="1560"/>
        <w:gridCol w:w="750"/>
        <w:gridCol w:w="1588"/>
      </w:tblGrid>
      <w:tr>
        <w:trPr>
          <w:trHeight w:val="714" w:hRule="exact"/>
        </w:trPr>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5"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2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09" w:right="0"/>
              <w:jc w:val="left"/>
              <w:rPr>
                <w:rFonts w:ascii="宋体" w:hAnsi="宋体" w:cs="宋体" w:eastAsia="宋体" w:hint="default"/>
                <w:sz w:val="18"/>
                <w:szCs w:val="18"/>
              </w:rPr>
            </w:pPr>
            <w:r>
              <w:rPr>
                <w:rFonts w:ascii="宋体" w:hAnsi="宋体" w:cs="宋体" w:eastAsia="宋体" w:hint="default"/>
                <w:sz w:val="18"/>
                <w:szCs w:val="18"/>
              </w:rPr>
              <w:t>股东单位名称</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93" w:right="53" w:hanging="540"/>
              <w:jc w:val="left"/>
              <w:rPr>
                <w:rFonts w:ascii="宋体" w:hAnsi="宋体" w:cs="宋体" w:eastAsia="宋体" w:hint="default"/>
                <w:sz w:val="18"/>
                <w:szCs w:val="18"/>
              </w:rPr>
            </w:pPr>
            <w:r>
              <w:rPr>
                <w:rFonts w:ascii="宋体" w:hAnsi="宋体" w:cs="宋体" w:eastAsia="宋体" w:hint="default"/>
                <w:sz w:val="18"/>
                <w:szCs w:val="18"/>
              </w:rPr>
              <w:t>在股东单位担任的 职务</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任期起始日期</w:t>
            </w:r>
          </w:p>
        </w:tc>
        <w:tc>
          <w:tcPr>
            <w:tcW w:w="7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99" w:right="98"/>
              <w:jc w:val="left"/>
              <w:rPr>
                <w:rFonts w:ascii="宋体" w:hAnsi="宋体" w:cs="宋体" w:eastAsia="宋体" w:hint="default"/>
                <w:sz w:val="18"/>
                <w:szCs w:val="18"/>
              </w:rPr>
            </w:pPr>
            <w:r>
              <w:rPr>
                <w:rFonts w:ascii="宋体" w:hAnsi="宋体" w:cs="宋体" w:eastAsia="宋体" w:hint="default"/>
                <w:sz w:val="18"/>
                <w:szCs w:val="18"/>
              </w:rPr>
              <w:t>任期终 止日期</w:t>
            </w:r>
          </w:p>
        </w:tc>
        <w:tc>
          <w:tcPr>
            <w:tcW w:w="15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38" w:right="67" w:hanging="270"/>
              <w:jc w:val="left"/>
              <w:rPr>
                <w:rFonts w:ascii="宋体" w:hAnsi="宋体" w:cs="宋体" w:eastAsia="宋体" w:hint="default"/>
                <w:sz w:val="18"/>
                <w:szCs w:val="18"/>
              </w:rPr>
            </w:pPr>
            <w:r>
              <w:rPr>
                <w:rFonts w:ascii="宋体" w:hAnsi="宋体" w:cs="宋体" w:eastAsia="宋体" w:hint="default"/>
                <w:sz w:val="18"/>
                <w:szCs w:val="18"/>
              </w:rPr>
              <w:t>在股东单位是否领 取报酬津贴</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GUO</w:t>
            </w:r>
            <w:r>
              <w:rPr>
                <w:rFonts w:ascii="Times New Roman"/>
                <w:spacing w:val="-2"/>
                <w:sz w:val="18"/>
              </w:rPr>
              <w:t> </w:t>
            </w:r>
            <w:r>
              <w:rPr>
                <w:rFonts w:ascii="Times New Roman"/>
                <w:sz w:val="18"/>
              </w:rPr>
              <w:t>SONG</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香港优博讯科技控股集团有限公司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5"/>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50" w:type="dxa"/>
            <w:tcBorders>
              <w:top w:val="single" w:sz="4" w:space="0" w:color="000000"/>
              <w:left w:val="single" w:sz="4" w:space="0" w:color="000000"/>
              <w:bottom w:val="single" w:sz="4" w:space="0" w:color="000000"/>
              <w:right w:val="single" w:sz="4" w:space="0" w:color="000000"/>
            </w:tcBorders>
          </w:tcPr>
          <w:p>
            <w:pP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51"/>
        <w:ind w:right="1134"/>
        <w:jc w:val="left"/>
      </w:pPr>
      <w:r>
        <w:rPr/>
        <w:t>在其他单位任职情况</w:t>
      </w:r>
    </w:p>
    <w:p>
      <w:pPr>
        <w:pStyle w:val="BodyText"/>
        <w:spacing w:line="240" w:lineRule="auto" w:before="117"/>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1202"/>
        <w:gridCol w:w="2910"/>
        <w:gridCol w:w="1559"/>
        <w:gridCol w:w="1560"/>
        <w:gridCol w:w="744"/>
        <w:gridCol w:w="1594"/>
      </w:tblGrid>
      <w:tr>
        <w:trPr>
          <w:trHeight w:val="714" w:hRule="exact"/>
        </w:trPr>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5" w:right="0"/>
              <w:jc w:val="left"/>
              <w:rPr>
                <w:rFonts w:ascii="宋体" w:hAnsi="宋体" w:cs="宋体" w:eastAsia="宋体" w:hint="default"/>
                <w:sz w:val="18"/>
                <w:szCs w:val="18"/>
              </w:rPr>
            </w:pPr>
            <w:r>
              <w:rPr>
                <w:rFonts w:ascii="宋体" w:hAnsi="宋体" w:cs="宋体" w:eastAsia="宋体" w:hint="default"/>
                <w:sz w:val="18"/>
                <w:szCs w:val="18"/>
              </w:rPr>
              <w:t>任职人员姓名</w:t>
            </w:r>
          </w:p>
        </w:tc>
        <w:tc>
          <w:tcPr>
            <w:tcW w:w="29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09" w:right="0"/>
              <w:jc w:val="left"/>
              <w:rPr>
                <w:rFonts w:ascii="宋体" w:hAnsi="宋体" w:cs="宋体" w:eastAsia="宋体" w:hint="default"/>
                <w:sz w:val="18"/>
                <w:szCs w:val="18"/>
              </w:rPr>
            </w:pPr>
            <w:r>
              <w:rPr>
                <w:rFonts w:ascii="宋体" w:hAnsi="宋体" w:cs="宋体" w:eastAsia="宋体" w:hint="default"/>
                <w:sz w:val="18"/>
                <w:szCs w:val="18"/>
              </w:rPr>
              <w:t>其他单位名称</w:t>
            </w:r>
          </w:p>
        </w:tc>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93" w:right="53" w:hanging="540"/>
              <w:jc w:val="left"/>
              <w:rPr>
                <w:rFonts w:ascii="宋体" w:hAnsi="宋体" w:cs="宋体" w:eastAsia="宋体" w:hint="default"/>
                <w:sz w:val="18"/>
                <w:szCs w:val="18"/>
              </w:rPr>
            </w:pPr>
            <w:r>
              <w:rPr>
                <w:rFonts w:ascii="宋体" w:hAnsi="宋体" w:cs="宋体" w:eastAsia="宋体" w:hint="default"/>
                <w:sz w:val="18"/>
                <w:szCs w:val="18"/>
              </w:rPr>
              <w:t>在其他单位担任的 职务</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任期起始日期</w:t>
            </w:r>
          </w:p>
        </w:tc>
        <w:tc>
          <w:tcPr>
            <w:tcW w:w="7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95" w:right="96"/>
              <w:jc w:val="left"/>
              <w:rPr>
                <w:rFonts w:ascii="宋体" w:hAnsi="宋体" w:cs="宋体" w:eastAsia="宋体" w:hint="default"/>
                <w:sz w:val="18"/>
                <w:szCs w:val="18"/>
              </w:rPr>
            </w:pPr>
            <w:r>
              <w:rPr>
                <w:rFonts w:ascii="宋体" w:hAnsi="宋体" w:cs="宋体" w:eastAsia="宋体" w:hint="default"/>
                <w:sz w:val="18"/>
                <w:szCs w:val="18"/>
              </w:rPr>
              <w:t>任期终 止日期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42" w:right="71" w:hanging="270"/>
              <w:jc w:val="left"/>
              <w:rPr>
                <w:rFonts w:ascii="宋体" w:hAnsi="宋体" w:cs="宋体" w:eastAsia="宋体" w:hint="default"/>
                <w:sz w:val="18"/>
                <w:szCs w:val="18"/>
              </w:rPr>
            </w:pPr>
            <w:r>
              <w:rPr>
                <w:rFonts w:ascii="宋体" w:hAnsi="宋体" w:cs="宋体" w:eastAsia="宋体" w:hint="default"/>
                <w:sz w:val="18"/>
                <w:szCs w:val="18"/>
              </w:rPr>
              <w:t>在其他单位是否领 取报酬津贴</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GUO</w:t>
            </w:r>
            <w:r>
              <w:rPr>
                <w:rFonts w:ascii="Times New Roman"/>
                <w:spacing w:val="-2"/>
                <w:sz w:val="18"/>
              </w:rPr>
              <w:t> </w:t>
            </w:r>
            <w:r>
              <w:rPr>
                <w:rFonts w:ascii="Times New Roman"/>
                <w:sz w:val="18"/>
              </w:rPr>
              <w:t>SONG</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寰泰发展有限公司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GUO</w:t>
            </w:r>
            <w:r>
              <w:rPr>
                <w:rFonts w:ascii="Times New Roman"/>
                <w:spacing w:val="-2"/>
                <w:sz w:val="18"/>
              </w:rPr>
              <w:t> </w:t>
            </w:r>
            <w:r>
              <w:rPr>
                <w:rFonts w:ascii="Times New Roman"/>
                <w:sz w:val="18"/>
              </w:rPr>
              <w:t>SONG</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深圳市博通思创咨询有限公司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董事长、总经理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GUO</w:t>
            </w:r>
            <w:r>
              <w:rPr>
                <w:rFonts w:ascii="Times New Roman"/>
                <w:spacing w:val="-2"/>
                <w:sz w:val="18"/>
              </w:rPr>
              <w:t> </w:t>
            </w:r>
            <w:r>
              <w:rPr>
                <w:rFonts w:ascii="Times New Roman"/>
                <w:sz w:val="18"/>
              </w:rPr>
              <w:t>SONG</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宏泰实业有限公司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GUO</w:t>
            </w:r>
            <w:r>
              <w:rPr>
                <w:rFonts w:ascii="Times New Roman"/>
                <w:spacing w:val="-2"/>
                <w:sz w:val="18"/>
              </w:rPr>
              <w:t> </w:t>
            </w:r>
            <w:r>
              <w:rPr>
                <w:rFonts w:ascii="Times New Roman"/>
                <w:sz w:val="18"/>
              </w:rPr>
              <w:t>SONG</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博远企业有限公司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GUO</w:t>
            </w:r>
            <w:r>
              <w:rPr>
                <w:rFonts w:ascii="Times New Roman"/>
                <w:spacing w:val="-2"/>
                <w:sz w:val="18"/>
              </w:rPr>
              <w:t> </w:t>
            </w:r>
            <w:r>
              <w:rPr>
                <w:rFonts w:ascii="Times New Roman"/>
                <w:sz w:val="18"/>
              </w:rPr>
              <w:t>SONG</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深圳市博通智能科技有限公司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董事长、总经理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LIU</w:t>
            </w:r>
            <w:r>
              <w:rPr>
                <w:rFonts w:ascii="Times New Roman"/>
                <w:spacing w:val="-2"/>
                <w:sz w:val="18"/>
              </w:rPr>
              <w:t> </w:t>
            </w:r>
            <w:r>
              <w:rPr>
                <w:rFonts w:ascii="Times New Roman"/>
                <w:sz w:val="18"/>
              </w:rPr>
              <w:t>DAN</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卓泰实业有限公司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LIU</w:t>
            </w:r>
            <w:r>
              <w:rPr>
                <w:rFonts w:ascii="Times New Roman"/>
                <w:spacing w:val="-2"/>
                <w:sz w:val="18"/>
              </w:rPr>
              <w:t> </w:t>
            </w:r>
            <w:r>
              <w:rPr>
                <w:rFonts w:ascii="Times New Roman"/>
                <w:sz w:val="18"/>
              </w:rPr>
              <w:t>DAN</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深圳市博通思创咨询有限公司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LIU</w:t>
            </w:r>
            <w:r>
              <w:rPr>
                <w:rFonts w:ascii="Times New Roman"/>
                <w:spacing w:val="-2"/>
                <w:sz w:val="18"/>
              </w:rPr>
              <w:t> </w:t>
            </w:r>
            <w:r>
              <w:rPr>
                <w:rFonts w:ascii="Times New Roman"/>
                <w:sz w:val="18"/>
              </w:rPr>
              <w:t>DAN</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深圳市瑞柏泰电子有限公司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LIU</w:t>
            </w:r>
            <w:r>
              <w:rPr>
                <w:rFonts w:ascii="Times New Roman"/>
                <w:spacing w:val="-2"/>
                <w:sz w:val="18"/>
              </w:rPr>
              <w:t> </w:t>
            </w:r>
            <w:r>
              <w:rPr>
                <w:rFonts w:ascii="Times New Roman"/>
                <w:sz w:val="18"/>
              </w:rPr>
              <w:t>DAN</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深圳市天眼智通科技有限公司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LIU</w:t>
            </w:r>
            <w:r>
              <w:rPr>
                <w:rFonts w:ascii="Times New Roman"/>
                <w:spacing w:val="-2"/>
                <w:sz w:val="18"/>
              </w:rPr>
              <w:t> </w:t>
            </w:r>
            <w:r>
              <w:rPr>
                <w:rFonts w:ascii="Times New Roman"/>
                <w:sz w:val="18"/>
              </w:rPr>
              <w:t>DAN</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深圳市博通智能科技有限公司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刘镇</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深圳市天眼智通科技有限公司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湖北红土创业投资有限公司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深圳中洲集团有限公司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副总裁、副董事长</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5"/>
              <w:jc w:val="center"/>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深圳市中洲商业管理有限公司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深圳市中洲投资控股股份有限公司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深圳协利纸业有限公司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副董事长</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深圳市中洲装饰工程有限公司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执行董事、总经理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深圳市前海阳诚实业发展有限公司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执行董事、总经理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深圳市中洲投资有限公司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董事长、总经理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pacing w:val="-2"/>
                <w:sz w:val="18"/>
                <w:szCs w:val="18"/>
              </w:rPr>
              <w:t>惠莞高速公路（惠州）投资有限公司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深圳天常发展有限公司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执行董事、总经理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深圳天常股权投资管理有限公司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执行董事、总经理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202"/>
        <w:gridCol w:w="2910"/>
        <w:gridCol w:w="1559"/>
        <w:gridCol w:w="1560"/>
        <w:gridCol w:w="744"/>
        <w:gridCol w:w="1594"/>
      </w:tblGrid>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深圳中洲产业投资管理有限公司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青岛市源洲投资有限公司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董事长兼总经理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77"/>
              <w:jc w:val="left"/>
              <w:rPr>
                <w:rFonts w:ascii="宋体" w:hAnsi="宋体" w:cs="宋体" w:eastAsia="宋体" w:hint="default"/>
                <w:sz w:val="18"/>
                <w:szCs w:val="18"/>
              </w:rPr>
            </w:pPr>
            <w:r>
              <w:rPr>
                <w:rFonts w:ascii="宋体" w:hAnsi="宋体" w:cs="宋体" w:eastAsia="宋体" w:hint="default"/>
                <w:sz w:val="18"/>
                <w:szCs w:val="18"/>
              </w:rPr>
              <w:t>深圳中洲股权投资基金管理有限公 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深圳中洲金控投资有限公司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王仁东</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深圳市资产管理学会</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监事长</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王仁东</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77"/>
              <w:jc w:val="left"/>
              <w:rPr>
                <w:rFonts w:ascii="宋体" w:hAnsi="宋体" w:cs="宋体" w:eastAsia="宋体" w:hint="default"/>
                <w:sz w:val="18"/>
                <w:szCs w:val="18"/>
              </w:rPr>
            </w:pPr>
            <w:r>
              <w:rPr>
                <w:rFonts w:ascii="宋体" w:hAnsi="宋体" w:cs="宋体" w:eastAsia="宋体" w:hint="default"/>
                <w:sz w:val="18"/>
                <w:szCs w:val="18"/>
              </w:rPr>
              <w:t>深圳南山热电股份有限公司南山热 电厂</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顾问</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徐先达</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百丽国际控股有限公司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徐先达</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广亿贸易（深圳）有限公司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执行董事、总经理</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高海军</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深圳市中幼国际教育科技有限公司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高海军</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宁波圣莱达电器股份有限公司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高海军</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深圳市英唐智能控制股份有限公司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高海军</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广东佳兆业佳云科技股份有限公司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郭雳</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深圳市金和动迁投资管理有限公司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郭雳</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北京德恒（深圳）律师事务所</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合伙人、执业律师</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郭雳</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深圳市悟童教育发展有限公司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于雪磊</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深圳市博讯投资有限公司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徐宁</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惠州市领尚电子科技有限公司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万波</w:t>
            </w:r>
          </w:p>
        </w:tc>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中世顺科技（北京）股份有限公司</w:t>
            </w:r>
          </w:p>
        </w:tc>
        <w:tc>
          <w:tcPr>
            <w:tcW w:w="1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4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51"/>
        <w:ind w:right="1134"/>
        <w:jc w:val="left"/>
      </w:pPr>
      <w:r>
        <w:rPr/>
        <w:t>公司现任及报告期内离任董事、监事和高级管理人员近三年证券监管机构处罚的情况</w:t>
      </w:r>
    </w:p>
    <w:p>
      <w:pPr>
        <w:pStyle w:val="BodyText"/>
        <w:spacing w:line="240" w:lineRule="auto" w:before="117"/>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1134"/>
        <w:jc w:val="left"/>
        <w:rPr>
          <w:b w:val="0"/>
          <w:bCs w:val="0"/>
        </w:rPr>
      </w:pPr>
      <w:bookmarkStart w:name="四、董事、监事、高级管理人员报酬情况" w:id="123"/>
      <w:bookmarkEnd w:id="123"/>
      <w:r>
        <w:rPr>
          <w:b w:val="0"/>
          <w:bCs w:val="0"/>
        </w:rPr>
      </w:r>
      <w:r>
        <w:rPr/>
        <w:t>四、董事、监事、高级管理人员报酬情况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1134"/>
        <w:jc w:val="left"/>
      </w:pPr>
      <w:r>
        <w:rPr/>
        <w:t>董事、监事、高级管理人员报酬的决策程序、确定依据、实际支付情况</w:t>
      </w:r>
    </w:p>
    <w:p>
      <w:pPr>
        <w:pStyle w:val="BodyText"/>
        <w:spacing w:line="300" w:lineRule="auto" w:before="115"/>
        <w:ind w:left="514" w:right="0"/>
        <w:jc w:val="left"/>
      </w:pPr>
      <w:r>
        <w:rPr>
          <w:rFonts w:ascii="Times New Roman" w:hAnsi="Times New Roman" w:cs="Times New Roman" w:eastAsia="Times New Roman" w:hint="default"/>
        </w:rPr>
        <w:t>1</w:t>
      </w:r>
      <w:r>
        <w:rPr/>
        <w:t>、董事、监事、高级管理人员报酬的决策程序 </w:t>
      </w:r>
      <w:r>
        <w:rPr>
          <w:spacing w:val="-2"/>
        </w:rPr>
        <w:t>由公司董事会薪酬与考核委员会研究制订公司董事、监事和高级管理人员的薪酬政策、方案，股东大会审议董事、监事</w:t>
      </w:r>
    </w:p>
    <w:p>
      <w:pPr>
        <w:pStyle w:val="BodyText"/>
        <w:spacing w:line="316" w:lineRule="auto" w:before="31"/>
        <w:ind w:right="0"/>
        <w:jc w:val="left"/>
      </w:pPr>
      <w:r>
        <w:rPr>
          <w:spacing w:val="-2"/>
        </w:rPr>
        <w:t>薪酬，董事会审议高级管理人员薪酬，公司人力资源部、财务部配合董事会薪酬与考核委员会进行公司董事、监事、高级管</w:t>
      </w:r>
      <w:r>
        <w:rPr>
          <w:spacing w:val="-66"/>
        </w:rPr>
        <w:t> </w:t>
      </w:r>
      <w:r>
        <w:rPr>
          <w:spacing w:val="-66"/>
        </w:rPr>
      </w:r>
      <w:r>
        <w:rPr/>
        <w:t>理人员薪酬方案的具体实施。</w:t>
      </w:r>
    </w:p>
    <w:p>
      <w:pPr>
        <w:pStyle w:val="BodyText"/>
        <w:spacing w:line="300" w:lineRule="auto" w:before="19"/>
        <w:ind w:left="514" w:right="0"/>
        <w:jc w:val="left"/>
      </w:pPr>
      <w:r>
        <w:rPr>
          <w:rFonts w:ascii="Times New Roman" w:hAnsi="Times New Roman" w:cs="Times New Roman" w:eastAsia="Times New Roman" w:hint="default"/>
        </w:rPr>
        <w:t>2</w:t>
      </w:r>
      <w:r>
        <w:rPr/>
        <w:t>、董事、监事、高级管理人员报酬的确立依据 </w:t>
      </w:r>
      <w:r>
        <w:rPr>
          <w:spacing w:val="-2"/>
        </w:rPr>
        <w:t>根据公司内部董事、内部监事与高级管理人员所承担的责任、风险、压力等，确定不同的薪酬标准，基础薪酬按照其在</w:t>
      </w:r>
    </w:p>
    <w:p>
      <w:pPr>
        <w:pStyle w:val="BodyText"/>
        <w:spacing w:line="316" w:lineRule="auto" w:before="31"/>
        <w:ind w:right="0"/>
        <w:jc w:val="left"/>
      </w:pPr>
      <w:r>
        <w:rPr>
          <w:spacing w:val="-2"/>
        </w:rPr>
        <w:t>公司内部担任的职务，根据岗位责任等级、能力等级确定，每月发放；绩效年薪以公司年度经营目标和个人年度绩效考核目</w:t>
      </w:r>
      <w:r>
        <w:rPr>
          <w:spacing w:val="-66"/>
        </w:rPr>
        <w:t> </w:t>
      </w:r>
      <w:r>
        <w:rPr>
          <w:spacing w:val="-66"/>
        </w:rPr>
      </w:r>
      <w:r>
        <w:rPr/>
        <w:t>标指标完成情况为考核基础。独立董事津贴数额由公司股东大会审议决定。</w:t>
      </w:r>
    </w:p>
    <w:p>
      <w:pPr>
        <w:pStyle w:val="BodyText"/>
        <w:spacing w:line="300" w:lineRule="auto" w:before="19"/>
        <w:ind w:left="514" w:right="2472"/>
        <w:jc w:val="left"/>
      </w:pPr>
      <w:r>
        <w:rPr>
          <w:rFonts w:ascii="Times New Roman" w:hAnsi="Times New Roman" w:cs="Times New Roman" w:eastAsia="Times New Roman" w:hint="default"/>
        </w:rPr>
        <w:t>3</w:t>
      </w:r>
      <w:r>
        <w:rPr/>
        <w:t>、董事、监事和高级管理人员报酬的实际支付情况 公司按照董事、监事、高级管理人员薪酬的决策程序与确定依据支付薪酬，实际支付情况详见下表。</w:t>
      </w:r>
    </w:p>
    <w:p>
      <w:pPr>
        <w:spacing w:line="240" w:lineRule="auto" w:before="13"/>
        <w:rPr>
          <w:rFonts w:ascii="宋体" w:hAnsi="宋体" w:cs="宋体" w:eastAsia="宋体" w:hint="default"/>
          <w:sz w:val="25"/>
          <w:szCs w:val="25"/>
        </w:rPr>
      </w:pPr>
    </w:p>
    <w:p>
      <w:pPr>
        <w:pStyle w:val="BodyText"/>
        <w:spacing w:line="240" w:lineRule="auto" w:before="44"/>
        <w:ind w:right="1134"/>
        <w:jc w:val="left"/>
      </w:pPr>
      <w:r>
        <w:rPr/>
        <w:t>公司报告期内董事、监事和高级管理人员报酬情况</w:t>
      </w:r>
    </w:p>
    <w:p>
      <w:pPr>
        <w:pStyle w:val="BodyText"/>
        <w:spacing w:line="240" w:lineRule="auto" w:before="117"/>
        <w:ind w:left="5856" w:right="1130"/>
        <w:jc w:val="right"/>
      </w:pPr>
      <w:r>
        <w:rPr/>
        <w:t>单位：万元</w:t>
      </w:r>
    </w:p>
    <w:p>
      <w:pPr>
        <w:spacing w:after="0" w:line="240" w:lineRule="auto"/>
        <w:jc w:val="righ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70"/>
        <w:gridCol w:w="2742"/>
        <w:gridCol w:w="851"/>
        <w:gridCol w:w="850"/>
        <w:gridCol w:w="1277"/>
        <w:gridCol w:w="1276"/>
        <w:gridCol w:w="1207"/>
      </w:tblGrid>
      <w:tr>
        <w:trPr>
          <w:trHeight w:val="714"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2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9"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0"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92" w:right="91"/>
              <w:jc w:val="left"/>
              <w:rPr>
                <w:rFonts w:ascii="宋体" w:hAnsi="宋体" w:cs="宋体" w:eastAsia="宋体" w:hint="default"/>
                <w:sz w:val="18"/>
                <w:szCs w:val="18"/>
              </w:rPr>
            </w:pPr>
            <w:r>
              <w:rPr>
                <w:rFonts w:ascii="宋体" w:hAnsi="宋体" w:cs="宋体" w:eastAsia="宋体" w:hint="default"/>
                <w:sz w:val="18"/>
                <w:szCs w:val="18"/>
              </w:rPr>
              <w:t>从公司获得的 税前报酬总额</w:t>
            </w:r>
          </w:p>
        </w:tc>
        <w:tc>
          <w:tcPr>
            <w:tcW w:w="12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7" w:right="59"/>
              <w:jc w:val="left"/>
              <w:rPr>
                <w:rFonts w:ascii="宋体" w:hAnsi="宋体" w:cs="宋体" w:eastAsia="宋体" w:hint="default"/>
                <w:sz w:val="18"/>
                <w:szCs w:val="18"/>
              </w:rPr>
            </w:pPr>
            <w:r>
              <w:rPr>
                <w:rFonts w:ascii="宋体" w:hAnsi="宋体" w:cs="宋体" w:eastAsia="宋体" w:hint="default"/>
                <w:sz w:val="18"/>
                <w:szCs w:val="18"/>
              </w:rPr>
              <w:t>是否在公司关 联方获取报酬</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GUO</w:t>
            </w:r>
            <w:r>
              <w:rPr>
                <w:rFonts w:ascii="Times New Roman"/>
                <w:spacing w:val="-2"/>
                <w:sz w:val="18"/>
              </w:rPr>
              <w:t> </w:t>
            </w:r>
            <w:r>
              <w:rPr>
                <w:rFonts w:ascii="Times New Roman"/>
                <w:sz w:val="18"/>
              </w:rPr>
              <w:t>SONG</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董事长、总经理</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56.9</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LIU</w:t>
            </w:r>
            <w:r>
              <w:rPr>
                <w:rFonts w:ascii="Times New Roman"/>
                <w:spacing w:val="-2"/>
                <w:sz w:val="18"/>
              </w:rPr>
              <w:t> </w:t>
            </w:r>
            <w:r>
              <w:rPr>
                <w:rFonts w:ascii="Times New Roman"/>
                <w:sz w:val="18"/>
              </w:rPr>
              <w:t>DAN</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副董事长、副总经理</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34.5</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仝文定</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董事、副总经理</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60.41</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刘镇</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董事、董事会秘书</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28.8</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申成文</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57</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王仁东</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徐先达</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高海军</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郭雳</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于雪磊</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22.59</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郁小娇</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职工代表监事</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14.11</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徐宁</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21.94</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万波</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副总经理、优博讯研究院院长</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23.84</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张玉洁</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副总经理、上海分公司负责人</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女</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64.2</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陈雪飞</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5.51</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杨彦彰</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邹雪城</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5.95</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李挥</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55</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5.95</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屈先富</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49</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5.95</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王勤红</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33.43</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王滨</w:t>
            </w:r>
          </w:p>
        </w:tc>
        <w:tc>
          <w:tcPr>
            <w:tcW w:w="2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副总经理、财务负责人</w:t>
            </w:r>
          </w:p>
        </w:tc>
        <w:tc>
          <w:tcPr>
            <w:tcW w:w="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男</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54</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29.43</w:t>
            </w: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7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413.51</w:t>
            </w:r>
          </w:p>
        </w:tc>
        <w:tc>
          <w:tcPr>
            <w:tcW w:w="12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1134"/>
        <w:jc w:val="left"/>
      </w:pPr>
      <w:r>
        <w:rPr/>
        <w:t>公司董事、高级管理人员报告期内被授予的股权激励情况</w:t>
      </w:r>
    </w:p>
    <w:p>
      <w:pPr>
        <w:pStyle w:val="BodyText"/>
        <w:spacing w:line="240" w:lineRule="auto" w:before="117"/>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1134"/>
        <w:jc w:val="left"/>
        <w:rPr>
          <w:b w:val="0"/>
          <w:bCs w:val="0"/>
        </w:rPr>
      </w:pPr>
      <w:bookmarkStart w:name="五、公司员工情况" w:id="124"/>
      <w:bookmarkEnd w:id="124"/>
      <w:r>
        <w:rPr>
          <w:b w:val="0"/>
          <w:bCs w:val="0"/>
        </w:rPr>
      </w:r>
      <w:r>
        <w:rPr/>
        <w:t>五、公司员工情况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员工数量、专业构成及教育程度" w:id="125"/>
      <w:bookmarkEnd w:id="125"/>
      <w:r>
        <w:rPr>
          <w:b w:val="0"/>
          <w:bCs w:val="0"/>
        </w:rPr>
      </w:r>
      <w:r>
        <w:rPr>
          <w:rFonts w:ascii="Times New Roman" w:hAnsi="Times New Roman" w:cs="Times New Roman" w:eastAsia="Times New Roman" w:hint="default"/>
        </w:rPr>
        <w:t>1</w:t>
      </w:r>
      <w:r>
        <w:rPr/>
        <w:t>、员工数量、专业构成及教育程度</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470</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176</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646</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646</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4779"/>
        <w:gridCol w:w="4790"/>
      </w:tblGrid>
      <w:tr>
        <w:trPr>
          <w:trHeight w:val="397"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407"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4" w:right="0"/>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582"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149</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3"/>
                <w:sz w:val="18"/>
              </w:rPr>
              <w:t>116</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301</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管理人员</w:t>
            </w:r>
          </w:p>
        </w:tc>
        <w:tc>
          <w:tcPr>
            <w:tcW w:w="4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w:t>
            </w:r>
          </w:p>
        </w:tc>
      </w:tr>
      <w:tr>
        <w:trPr>
          <w:trHeight w:val="407"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646</w:t>
            </w:r>
          </w:p>
        </w:tc>
      </w:tr>
      <w:tr>
        <w:trPr>
          <w:trHeight w:val="392"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7"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2"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28"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博士研究生</w:t>
            </w:r>
          </w:p>
        </w:tc>
        <w:tc>
          <w:tcPr>
            <w:tcW w:w="4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硕士研究生</w:t>
            </w:r>
          </w:p>
        </w:tc>
        <w:tc>
          <w:tcPr>
            <w:tcW w:w="4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4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268</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大专及大专以下</w:t>
            </w:r>
          </w:p>
        </w:tc>
        <w:tc>
          <w:tcPr>
            <w:tcW w:w="4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347</w:t>
            </w:r>
          </w:p>
        </w:tc>
      </w:tr>
      <w:tr>
        <w:trPr>
          <w:trHeight w:val="402" w:hRule="exact"/>
        </w:trPr>
        <w:tc>
          <w:tcPr>
            <w:tcW w:w="47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646</w:t>
            </w:r>
          </w:p>
        </w:tc>
      </w:tr>
    </w:tbl>
    <w:p>
      <w:pPr>
        <w:spacing w:line="240" w:lineRule="auto" w:before="3"/>
        <w:rPr>
          <w:rFonts w:ascii="宋体" w:hAnsi="宋体" w:cs="宋体" w:eastAsia="宋体" w:hint="default"/>
          <w:b/>
          <w:bCs/>
          <w:sz w:val="19"/>
          <w:szCs w:val="19"/>
        </w:rPr>
      </w:pPr>
    </w:p>
    <w:p>
      <w:pPr>
        <w:pStyle w:val="Heading3"/>
        <w:spacing w:line="240" w:lineRule="auto" w:before="35"/>
        <w:ind w:right="1134"/>
        <w:jc w:val="left"/>
        <w:rPr>
          <w:b w:val="0"/>
          <w:bCs w:val="0"/>
        </w:rPr>
      </w:pPr>
      <w:bookmarkStart w:name="2、薪酬政策" w:id="126"/>
      <w:bookmarkEnd w:id="126"/>
      <w:r>
        <w:rPr>
          <w:b w:val="0"/>
          <w:bCs w:val="0"/>
        </w:rPr>
      </w:r>
      <w:r>
        <w:rPr>
          <w:rFonts w:ascii="Times New Roman" w:hAnsi="Times New Roman" w:cs="Times New Roman" w:eastAsia="Times New Roman" w:hint="default"/>
        </w:rPr>
        <w:t>2</w:t>
      </w:r>
      <w:r>
        <w:rPr/>
        <w:t>、薪酬政策</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032" w:firstLine="360"/>
        <w:jc w:val="left"/>
      </w:pPr>
      <w:r>
        <w:rPr>
          <w:spacing w:val="-2"/>
        </w:rPr>
        <w:t>公司根据员工从事的工作岗位、责任、能力、贡献、职称确定薪资标准，按月向员工发放薪酬。薪资构成包括：基本工</w:t>
      </w:r>
      <w:r>
        <w:rPr/>
        <w:t> 资、绩效工资、岗位工资、地域补贴、年终奖、住房公积金和其他。公司每年根据员工的工作技能和工作绩效、知识积累、 </w:t>
      </w:r>
      <w:r>
        <w:rPr>
          <w:spacing w:val="-2"/>
        </w:rPr>
        <w:t>成果表现、公司上一年经营状况，核发年终奖励和专项奖励，保持公司的薪酬竞争力。公司对经营活动中为公司创造成绩显</w:t>
      </w:r>
      <w:r>
        <w:rPr>
          <w:spacing w:val="-66"/>
        </w:rPr>
        <w:t> </w:t>
      </w:r>
      <w:r>
        <w:rPr>
          <w:spacing w:val="-66"/>
        </w:rPr>
      </w:r>
      <w:r>
        <w:rPr>
          <w:spacing w:val="-2"/>
        </w:rPr>
        <w:t>著者、促进公司经营管理，提高经济效益方面成绩突出者或做出其他重大贡献者，公司会进行特别奖励或根据岗位的需求晋</w:t>
      </w:r>
      <w:r>
        <w:rPr>
          <w:spacing w:val="-66"/>
        </w:rPr>
        <w:t> </w:t>
      </w:r>
      <w:r>
        <w:rPr>
          <w:spacing w:val="-66"/>
        </w:rPr>
      </w:r>
      <w:r>
        <w:rPr>
          <w:spacing w:val="-2"/>
        </w:rPr>
        <w:t>升。对不同类别的岗位，公司采取有差异的薪酬结构；对于某些特殊的岗位采用特殊的处理方式；公司适当向能力突出的优</w:t>
      </w:r>
      <w:r>
        <w:rPr>
          <w:spacing w:val="-66"/>
        </w:rPr>
        <w:t> </w:t>
      </w:r>
      <w:r>
        <w:rPr>
          <w:spacing w:val="-66"/>
        </w:rPr>
      </w:r>
      <w:r>
        <w:rPr/>
        <w:t>秀人才和责任重大、技术含量高的关键岗位倾斜。</w:t>
      </w:r>
    </w:p>
    <w:p>
      <w:pPr>
        <w:spacing w:line="240" w:lineRule="auto" w:before="7"/>
        <w:rPr>
          <w:rFonts w:ascii="宋体" w:hAnsi="宋体" w:cs="宋体" w:eastAsia="宋体" w:hint="default"/>
          <w:sz w:val="22"/>
          <w:szCs w:val="22"/>
        </w:rPr>
      </w:pPr>
    </w:p>
    <w:p>
      <w:pPr>
        <w:pStyle w:val="Heading3"/>
        <w:spacing w:line="240" w:lineRule="auto"/>
        <w:ind w:right="1134"/>
        <w:jc w:val="left"/>
        <w:rPr>
          <w:b w:val="0"/>
          <w:bCs w:val="0"/>
        </w:rPr>
      </w:pPr>
      <w:bookmarkStart w:name="3、培训计划" w:id="127"/>
      <w:bookmarkEnd w:id="127"/>
      <w:r>
        <w:rPr>
          <w:b w:val="0"/>
          <w:bCs w:val="0"/>
        </w:rPr>
      </w:r>
      <w:r>
        <w:rPr>
          <w:rFonts w:ascii="Times New Roman" w:hAnsi="Times New Roman" w:cs="Times New Roman" w:eastAsia="Times New Roman" w:hint="default"/>
        </w:rPr>
        <w:t>3</w:t>
      </w:r>
      <w:r>
        <w:rPr/>
        <w:t>、培训计划</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0" w:firstLine="360"/>
        <w:jc w:val="left"/>
      </w:pPr>
      <w:r>
        <w:rPr>
          <w:spacing w:val="-2"/>
        </w:rPr>
        <w:t>根据公司人力资源发展战略，在持续开展常规培训的同时，进一步加大关键人才培养和知识积累力度，确保员工的素质</w:t>
      </w:r>
      <w:r>
        <w:rPr/>
        <w:t> 和技能水平能够满足公司业务发展需要。</w:t>
      </w:r>
    </w:p>
    <w:p>
      <w:pPr>
        <w:pStyle w:val="BodyText"/>
        <w:spacing w:line="307" w:lineRule="auto" w:before="19"/>
        <w:ind w:right="0" w:firstLine="360"/>
        <w:jc w:val="left"/>
      </w:pPr>
      <w:r>
        <w:rPr>
          <w:spacing w:val="-3"/>
        </w:rPr>
        <w:t>通过全面的培训需求调查，制定各级培训计划并按计划实施。公司培训按照分层分类开展，从层级上分为</w:t>
      </w:r>
      <w:r>
        <w:rPr>
          <w:rFonts w:ascii="Times New Roman" w:hAnsi="Times New Roman" w:cs="Times New Roman" w:eastAsia="Times New Roman" w:hint="default"/>
          <w:spacing w:val="-3"/>
        </w:rPr>
        <w:t>:</w:t>
      </w:r>
      <w:r>
        <w:rPr>
          <w:rFonts w:ascii="Times New Roman" w:hAnsi="Times New Roman" w:cs="Times New Roman" w:eastAsia="Times New Roman" w:hint="default"/>
          <w:spacing w:val="6"/>
        </w:rPr>
        <w:t> </w:t>
      </w:r>
      <w:r>
        <w:rPr/>
        <w:t>公司级培训、 部门级培训、项目级培训；从类别上分为</w:t>
      </w:r>
      <w:r>
        <w:rPr>
          <w:rFonts w:ascii="Times New Roman" w:hAnsi="Times New Roman" w:cs="Times New Roman" w:eastAsia="Times New Roman" w:hint="default"/>
        </w:rPr>
        <w:t>:</w:t>
      </w:r>
      <w:r>
        <w:rPr>
          <w:rFonts w:ascii="Times New Roman" w:hAnsi="Times New Roman" w:cs="Times New Roman" w:eastAsia="Times New Roman" w:hint="default"/>
          <w:spacing w:val="15"/>
        </w:rPr>
        <w:t> </w:t>
      </w:r>
      <w:r>
        <w:rPr/>
        <w:t>管理类培训、技术类培训、专业类培训、新员工培训。针对关键人才，重点开展 </w:t>
      </w:r>
      <w:r>
        <w:rPr>
          <w:spacing w:val="-2"/>
        </w:rPr>
        <w:t>了管理干部培养、导师培养、校招生培养等项目，有效提高公司员工整体素质，并进一步推动了公司人才梯队建设，为公司</w:t>
      </w:r>
      <w:r>
        <w:rPr>
          <w:spacing w:val="-66"/>
        </w:rPr>
        <w:t> </w:t>
      </w:r>
      <w:r>
        <w:rPr>
          <w:spacing w:val="-66"/>
        </w:rPr>
      </w:r>
      <w:r>
        <w:rPr/>
        <w:t>发展储备优秀人才。</w:t>
      </w:r>
    </w:p>
    <w:p>
      <w:pPr>
        <w:pStyle w:val="BodyText"/>
        <w:spacing w:line="240" w:lineRule="auto" w:before="26"/>
        <w:ind w:left="514" w:right="1134"/>
        <w:jc w:val="left"/>
      </w:pPr>
      <w:r>
        <w:rPr/>
        <w:t>同时大力开展知识积累工作，优化公司级、部门级知识库，为公司体系化、流程化提供支持。</w:t>
      </w:r>
    </w:p>
    <w:p>
      <w:pPr>
        <w:spacing w:line="240" w:lineRule="auto" w:before="12"/>
        <w:rPr>
          <w:rFonts w:ascii="宋体" w:hAnsi="宋体" w:cs="宋体" w:eastAsia="宋体" w:hint="default"/>
          <w:sz w:val="26"/>
          <w:szCs w:val="26"/>
        </w:rPr>
      </w:pPr>
    </w:p>
    <w:p>
      <w:pPr>
        <w:pStyle w:val="Heading3"/>
        <w:spacing w:line="240" w:lineRule="auto"/>
        <w:ind w:right="1134"/>
        <w:jc w:val="left"/>
        <w:rPr>
          <w:b w:val="0"/>
          <w:bCs w:val="0"/>
        </w:rPr>
      </w:pPr>
      <w:bookmarkStart w:name="4、劳务外包情况" w:id="128"/>
      <w:bookmarkEnd w:id="128"/>
      <w:r>
        <w:rPr>
          <w:b w:val="0"/>
          <w:bCs w:val="0"/>
        </w:rPr>
      </w:r>
      <w:r>
        <w:rPr>
          <w:rFonts w:ascii="Times New Roman" w:hAnsi="Times New Roman" w:cs="Times New Roman" w:eastAsia="Times New Roman" w:hint="default"/>
        </w:rPr>
        <w:t>4</w:t>
      </w:r>
      <w:r>
        <w:rPr/>
        <w:t>、劳务外包情况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1473"/>
        <w:jc w:val="center"/>
        <w:rPr>
          <w:b w:val="0"/>
          <w:bCs w:val="0"/>
        </w:rPr>
      </w:pPr>
      <w:bookmarkStart w:name="第九节 公司治理" w:id="129"/>
      <w:bookmarkEnd w:id="129"/>
      <w:r>
        <w:rPr>
          <w:b w:val="0"/>
          <w:bCs w:val="0"/>
        </w:rPr>
      </w:r>
      <w:bookmarkStart w:name="_bookmark8" w:id="130"/>
      <w:bookmarkEnd w:id="130"/>
      <w:r>
        <w:rPr>
          <w:b w:val="0"/>
          <w:bCs w:val="0"/>
        </w:rPr>
      </w:r>
      <w:r>
        <w:rPr/>
        <w:t>第九节</w:t>
      </w:r>
      <w:r>
        <w:rPr>
          <w:spacing w:val="-5"/>
        </w:rPr>
        <w:t> </w:t>
      </w:r>
      <w:r>
        <w:rPr/>
        <w:t>公司治理</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0"/>
        <w:jc w:val="both"/>
        <w:rPr>
          <w:b w:val="0"/>
          <w:bCs w:val="0"/>
        </w:rPr>
      </w:pPr>
      <w:bookmarkStart w:name="一、公司治理的基本状况" w:id="131"/>
      <w:bookmarkEnd w:id="131"/>
      <w:r>
        <w:rPr>
          <w:b w:val="0"/>
          <w:bCs w:val="0"/>
        </w:rPr>
      </w:r>
      <w:r>
        <w:rPr/>
        <w:t>一、公司治理的基本状况</w:t>
      </w:r>
      <w:r>
        <w:rPr>
          <w:b w:val="0"/>
          <w:bCs w:val="0"/>
        </w:rPr>
      </w:r>
    </w:p>
    <w:p>
      <w:pPr>
        <w:spacing w:line="240" w:lineRule="auto" w:before="6"/>
        <w:rPr>
          <w:rFonts w:ascii="宋体" w:hAnsi="宋体" w:cs="宋体" w:eastAsia="宋体" w:hint="default"/>
          <w:b/>
          <w:bCs/>
          <w:sz w:val="26"/>
          <w:szCs w:val="26"/>
        </w:rPr>
      </w:pPr>
    </w:p>
    <w:p>
      <w:pPr>
        <w:pStyle w:val="BodyText"/>
        <w:spacing w:line="240" w:lineRule="auto"/>
        <w:ind w:left="514" w:right="0"/>
        <w:jc w:val="left"/>
      </w:pPr>
      <w:r>
        <w:rPr>
          <w:spacing w:val="-4"/>
        </w:rPr>
        <w:t>报告期内，公司严格按照《公司法》、《证券法》、《上市公司治理准则》、《深圳证券交易所创业板股票上市规则》、</w:t>
      </w:r>
    </w:p>
    <w:p>
      <w:pPr>
        <w:pStyle w:val="BodyText"/>
        <w:spacing w:line="316" w:lineRule="auto" w:before="76"/>
        <w:ind w:right="1032"/>
        <w:jc w:val="left"/>
      </w:pPr>
      <w:r>
        <w:rPr/>
        <w:t>《深圳证券交易所创业板上市公司规范运作指引》和其他有关法律、法规、规范性文件的要求，不断地完善公司治理结构， </w:t>
      </w:r>
      <w:r>
        <w:rPr>
          <w:spacing w:val="-2"/>
        </w:rPr>
        <w:t>建立健全公司内部控制制度，以进一步提高公司治理水平。公司治理的实际状况符合中国证监会、深圳证券交易所等发布的</w:t>
      </w:r>
      <w:r>
        <w:rPr>
          <w:spacing w:val="-66"/>
        </w:rPr>
        <w:t> </w:t>
      </w:r>
      <w:r>
        <w:rPr>
          <w:spacing w:val="-66"/>
        </w:rPr>
      </w:r>
      <w:r>
        <w:rPr/>
        <w:t>有关法规、规范性文件的要求。</w:t>
      </w:r>
    </w:p>
    <w:p>
      <w:pPr>
        <w:pStyle w:val="BodyText"/>
        <w:spacing w:line="316" w:lineRule="auto" w:before="19"/>
        <w:ind w:left="444" w:right="1134"/>
        <w:jc w:val="left"/>
      </w:pPr>
      <w:r>
        <w:rPr/>
        <w:t>（一）关于股东与股东大会 </w:t>
      </w:r>
      <w:r>
        <w:rPr>
          <w:spacing w:val="-1"/>
        </w:rPr>
        <w:t>公司严格按照《公司法》、《上市公司股东大会规则》、《公司章程》、《股东大会议事规则》和深圳证券交易所创业</w:t>
      </w:r>
    </w:p>
    <w:p>
      <w:pPr>
        <w:pStyle w:val="BodyText"/>
        <w:spacing w:line="316" w:lineRule="auto" w:before="19"/>
        <w:ind w:right="1131"/>
        <w:jc w:val="both"/>
      </w:pPr>
      <w:r>
        <w:rPr>
          <w:spacing w:val="-2"/>
        </w:rPr>
        <w:t>板的相关规定和要求，规范股东大会的召集、召开和表决程序。报告期内，公司召开了一次年度股东大会和三次临时股东大</w:t>
      </w:r>
      <w:r>
        <w:rPr>
          <w:spacing w:val="-66"/>
        </w:rPr>
        <w:t> </w:t>
      </w:r>
      <w:r>
        <w:rPr>
          <w:spacing w:val="-66"/>
        </w:rPr>
      </w:r>
      <w:r>
        <w:rPr>
          <w:spacing w:val="-2"/>
        </w:rPr>
        <w:t>会，均由公司董事会召集召开，董事长主持，部分董监高列席会议，邀请见证律师进行现场见证并出具了法律意见书。在股</w:t>
      </w:r>
      <w:r>
        <w:rPr>
          <w:spacing w:val="-66"/>
        </w:rPr>
        <w:t> </w:t>
      </w:r>
      <w:r>
        <w:rPr>
          <w:spacing w:val="-66"/>
        </w:rPr>
      </w:r>
      <w:r>
        <w:rPr/>
        <w:t>东大会上能够保证各位股东有充分的发言权，确保全体股东特别是中小股东享有平等地位，充分行使自己的权力。</w:t>
      </w:r>
    </w:p>
    <w:p>
      <w:pPr>
        <w:pStyle w:val="BodyText"/>
        <w:spacing w:line="312" w:lineRule="auto" w:before="19"/>
        <w:ind w:right="1130" w:firstLine="145"/>
        <w:jc w:val="both"/>
      </w:pPr>
      <w:r>
        <w:rPr>
          <w:spacing w:val="-1"/>
        </w:rPr>
        <w:t>报告期内，本公司召开的股东大会不存在违反《上市公司股东大会规则》的情形，公司未发生单独或合并持有本公司有表</w:t>
      </w:r>
      <w:r>
        <w:rPr/>
        <w:t> </w:t>
      </w:r>
      <w:r>
        <w:rPr>
          <w:spacing w:val="-1"/>
        </w:rPr>
        <w:t>决权股份总数</w:t>
      </w:r>
      <w:r>
        <w:rPr>
          <w:rFonts w:ascii="Times New Roman" w:hAnsi="Times New Roman" w:cs="Times New Roman" w:eastAsia="Times New Roman" w:hint="default"/>
          <w:spacing w:val="-1"/>
        </w:rPr>
        <w:t>10%</w:t>
      </w:r>
      <w:r>
        <w:rPr>
          <w:spacing w:val="-1"/>
        </w:rPr>
        <w:t>以上的股东请求召开临时股东大会的情形，也无应监事会提议召开的股东大会。按照《公司法》、《公司</w:t>
      </w:r>
      <w:r>
        <w:rPr>
          <w:spacing w:val="-88"/>
        </w:rPr>
        <w:t> </w:t>
      </w:r>
      <w:r>
        <w:rPr>
          <w:spacing w:val="-88"/>
        </w:rPr>
      </w:r>
      <w:r>
        <w:rPr>
          <w:spacing w:val="-2"/>
        </w:rPr>
        <w:t>章程》的规定应由股东大会审议的重大事项，本公司均通过股东大会审议，不存在绕过股东大会的情况，也不存在先实施后</w:t>
      </w:r>
      <w:r>
        <w:rPr>
          <w:spacing w:val="-66"/>
        </w:rPr>
        <w:t> </w:t>
      </w:r>
      <w:r>
        <w:rPr>
          <w:spacing w:val="-66"/>
        </w:rPr>
      </w:r>
      <w:r>
        <w:rPr/>
        <w:t>审议的情况。</w:t>
      </w:r>
    </w:p>
    <w:p>
      <w:pPr>
        <w:pStyle w:val="BodyText"/>
        <w:spacing w:line="316" w:lineRule="auto" w:before="22"/>
        <w:ind w:left="444" w:right="1134"/>
        <w:jc w:val="left"/>
      </w:pPr>
      <w:r>
        <w:rPr/>
        <w:t>（二）关于公司与控股股东及实际控制人 </w:t>
      </w:r>
      <w:r>
        <w:rPr>
          <w:spacing w:val="-1"/>
        </w:rPr>
        <w:t>公司控股股东、实际控制人严格按照《上市公司治理准则》、《深圳证券交易所创业板股票上市规则》、《深圳证券交</w:t>
      </w:r>
    </w:p>
    <w:p>
      <w:pPr>
        <w:pStyle w:val="BodyText"/>
        <w:spacing w:line="319" w:lineRule="auto" w:before="19"/>
        <w:ind w:right="1032"/>
        <w:jc w:val="left"/>
      </w:pPr>
      <w:r>
        <w:rPr>
          <w:spacing w:val="-2"/>
        </w:rPr>
        <w:t>易所创业板上市公司规范运作指引》、《公司章程》等规定和要求，规范自己的行为，不存在超越股东大会直接或间接干预</w:t>
      </w:r>
      <w:r>
        <w:rPr>
          <w:spacing w:val="-67"/>
        </w:rPr>
        <w:t> </w:t>
      </w:r>
      <w:r>
        <w:rPr>
          <w:spacing w:val="-67"/>
        </w:rPr>
      </w:r>
      <w:r>
        <w:rPr>
          <w:spacing w:val="-2"/>
        </w:rPr>
        <w:t>公司的决策和经营活动的行为，不存在损害公司及其他股东的利益的情形，不存在控股股东和实际控制人占用公司资金的现</w:t>
      </w:r>
      <w:r>
        <w:rPr>
          <w:spacing w:val="-64"/>
        </w:rPr>
        <w:t> </w:t>
      </w:r>
      <w:r>
        <w:rPr>
          <w:spacing w:val="-64"/>
        </w:rPr>
      </w:r>
      <w:r>
        <w:rPr/>
        <w:t>象，公司亦无为控股股东和实际控制人提供担保的情形。公司拥有独立完整的业务和自主经营能力，在业务、人员、资产、 机构、财务上独立于控股股东，公司董事会、监事会和内部机构独立运作。</w:t>
      </w:r>
    </w:p>
    <w:p>
      <w:pPr>
        <w:pStyle w:val="BodyText"/>
        <w:spacing w:line="316" w:lineRule="auto" w:before="17"/>
        <w:ind w:left="514" w:right="0" w:hanging="70"/>
        <w:jc w:val="left"/>
      </w:pPr>
      <w:r>
        <w:rPr/>
        <w:t>（三）关于董事和董事会 </w:t>
      </w:r>
      <w:r>
        <w:rPr>
          <w:spacing w:val="-2"/>
        </w:rPr>
        <w:t>公司董事会设董事</w:t>
      </w:r>
      <w:r>
        <w:rPr>
          <w:rFonts w:ascii="Times New Roman" w:hAnsi="Times New Roman" w:cs="Times New Roman" w:eastAsia="Times New Roman" w:hint="default"/>
          <w:spacing w:val="-2"/>
        </w:rPr>
        <w:t>9</w:t>
      </w:r>
      <w:r>
        <w:rPr>
          <w:spacing w:val="-2"/>
        </w:rPr>
        <w:t>名，其中独立董事</w:t>
      </w:r>
      <w:r>
        <w:rPr>
          <w:rFonts w:ascii="Times New Roman" w:hAnsi="Times New Roman" w:cs="Times New Roman" w:eastAsia="Times New Roman" w:hint="default"/>
          <w:spacing w:val="-2"/>
        </w:rPr>
        <w:t>3</w:t>
      </w:r>
      <w:r>
        <w:rPr>
          <w:spacing w:val="-2"/>
        </w:rPr>
        <w:t>名，董事会的人数及人员构成符合有关法律、法规和《公司章程》的要求，各位</w:t>
      </w:r>
    </w:p>
    <w:p>
      <w:pPr>
        <w:pStyle w:val="BodyText"/>
        <w:spacing w:line="316" w:lineRule="auto"/>
        <w:ind w:right="1133"/>
        <w:jc w:val="both"/>
      </w:pPr>
      <w:r>
        <w:rPr>
          <w:spacing w:val="-2"/>
        </w:rPr>
        <w:t>董事具有履行职务所必需的知识、技能和素质，能够严格按照公司《董事会议事规则》、《独立董事工作制度》等有关规定</w:t>
      </w:r>
      <w:r>
        <w:rPr>
          <w:spacing w:val="-70"/>
        </w:rPr>
        <w:t> </w:t>
      </w:r>
      <w:r>
        <w:rPr>
          <w:spacing w:val="-70"/>
        </w:rPr>
      </w:r>
      <w:r>
        <w:rPr>
          <w:spacing w:val="-2"/>
        </w:rPr>
        <w:t>开展工作，出席董事会、董事会专门委员会和股东大会，勤勉尽责地履行职责和义务，同时积极参加相关培训，熟悉相关法</w:t>
      </w:r>
      <w:r>
        <w:rPr>
          <w:spacing w:val="-66"/>
        </w:rPr>
        <w:t> </w:t>
      </w:r>
      <w:r>
        <w:rPr>
          <w:spacing w:val="-66"/>
        </w:rPr>
      </w:r>
      <w:r>
        <w:rPr/>
        <w:t>律法规。</w:t>
      </w:r>
    </w:p>
    <w:p>
      <w:pPr>
        <w:pStyle w:val="BodyText"/>
        <w:spacing w:line="316" w:lineRule="auto" w:before="19"/>
        <w:ind w:right="1131" w:firstLine="360"/>
        <w:jc w:val="both"/>
      </w:pPr>
      <w:r>
        <w:rPr>
          <w:spacing w:val="-2"/>
        </w:rPr>
        <w:t>公司董事会下设有战略委员会、薪酬与考核委员会、审计委员会和提名委员会四个专门委员会。专门委员会成员全部由</w:t>
      </w:r>
      <w:r>
        <w:rPr/>
        <w:t> </w:t>
      </w:r>
      <w:r>
        <w:rPr>
          <w:spacing w:val="-2"/>
        </w:rPr>
        <w:t>董事组成，除战略委员会由董事长担任主任委员以外，其他专门委员会均由独立董事担任主任委员；各委员会为董事会的决</w:t>
      </w:r>
      <w:r>
        <w:rPr>
          <w:spacing w:val="-66"/>
        </w:rPr>
        <w:t> </w:t>
      </w:r>
      <w:r>
        <w:rPr>
          <w:spacing w:val="-66"/>
        </w:rPr>
      </w:r>
      <w:r>
        <w:rPr>
          <w:spacing w:val="-2"/>
        </w:rPr>
        <w:t>策提供了科学和专业的意见和参考。各委员会依据《公司章程》和各委员会工作细则的规定履行职权，不受公司任何其他部</w:t>
      </w:r>
      <w:r>
        <w:rPr>
          <w:spacing w:val="-66"/>
        </w:rPr>
        <w:t> </w:t>
      </w:r>
      <w:r>
        <w:rPr>
          <w:spacing w:val="-66"/>
        </w:rPr>
      </w:r>
      <w:r>
        <w:rPr/>
        <w:t>门和个人的干预。</w:t>
      </w:r>
    </w:p>
    <w:p>
      <w:pPr>
        <w:pStyle w:val="BodyText"/>
        <w:spacing w:line="316" w:lineRule="auto" w:before="19"/>
        <w:ind w:left="444" w:right="0"/>
        <w:jc w:val="left"/>
      </w:pPr>
      <w:r>
        <w:rPr/>
        <w:t>（四）关于监事和监事会 </w:t>
      </w:r>
      <w:r>
        <w:rPr>
          <w:spacing w:val="-4"/>
        </w:rPr>
        <w:t>公司监事会设监事</w:t>
      </w:r>
      <w:r>
        <w:rPr>
          <w:rFonts w:ascii="Times New Roman" w:hAnsi="Times New Roman" w:cs="Times New Roman" w:eastAsia="Times New Roman" w:hint="default"/>
          <w:spacing w:val="-4"/>
        </w:rPr>
        <w:t>3</w:t>
      </w:r>
      <w:r>
        <w:rPr>
          <w:spacing w:val="-4"/>
        </w:rPr>
        <w:t>名，其中职工代表监事</w:t>
      </w:r>
      <w:r>
        <w:rPr>
          <w:rFonts w:ascii="Times New Roman" w:hAnsi="Times New Roman" w:cs="Times New Roman" w:eastAsia="Times New Roman" w:hint="default"/>
          <w:spacing w:val="-4"/>
        </w:rPr>
        <w:t>1</w:t>
      </w:r>
      <w:r>
        <w:rPr>
          <w:spacing w:val="-4"/>
        </w:rPr>
        <w:t>名，监事会的人数和构成符合法律、法规的要求。各位监事能够严格按照《公</w:t>
      </w:r>
    </w:p>
    <w:p>
      <w:pPr>
        <w:pStyle w:val="BodyText"/>
        <w:spacing w:line="316" w:lineRule="auto"/>
        <w:ind w:right="1132"/>
        <w:jc w:val="both"/>
      </w:pPr>
      <w:r>
        <w:rPr>
          <w:spacing w:val="-2"/>
        </w:rPr>
        <w:t>司章程》、《监事会议事规则》等要求，认真履行自己的职责，对公司重大事项、财务状况以及公司董事、高级管理人员履</w:t>
      </w:r>
      <w:r>
        <w:rPr>
          <w:spacing w:val="-67"/>
        </w:rPr>
        <w:t> </w:t>
      </w:r>
      <w:r>
        <w:rPr>
          <w:spacing w:val="-67"/>
        </w:rPr>
      </w:r>
      <w:r>
        <w:rPr>
          <w:spacing w:val="-2"/>
        </w:rPr>
        <w:t>行职责的合法合规性进行有效监督，维护公司及股东的合法权益。公司也采取了有效措施保障监事的知情权，保证各位监事</w:t>
      </w:r>
      <w:r>
        <w:rPr>
          <w:spacing w:val="-66"/>
        </w:rPr>
        <w:t> </w:t>
      </w:r>
      <w:r>
        <w:rPr>
          <w:spacing w:val="-66"/>
        </w:rPr>
      </w:r>
      <w:r>
        <w:rPr/>
        <w:t>能够独立有效地行使对董事、高级管理人员监督权。</w:t>
      </w:r>
    </w:p>
    <w:p>
      <w:pPr>
        <w:pStyle w:val="BodyText"/>
        <w:spacing w:line="319" w:lineRule="auto" w:before="19"/>
        <w:ind w:left="444" w:right="1134"/>
        <w:jc w:val="left"/>
      </w:pPr>
      <w:r>
        <w:rPr/>
        <w:t>（五）关于绩效评价与激励约束机制 </w:t>
      </w:r>
      <w:r>
        <w:rPr>
          <w:spacing w:val="-1"/>
        </w:rPr>
        <w:t>公司不断完善公正、透明的高级管理人员的绩效考核标准和激励约束机制。公司高级管理人员的聘任公开、透明，符合</w:t>
      </w:r>
    </w:p>
    <w:p>
      <w:pPr>
        <w:pStyle w:val="BodyText"/>
        <w:spacing w:line="240" w:lineRule="auto" w:before="17"/>
        <w:ind w:right="0"/>
        <w:jc w:val="both"/>
      </w:pPr>
      <w:r>
        <w:rPr/>
        <w:t>有关法律、法规的规定。</w:t>
      </w:r>
    </w:p>
    <w:p>
      <w:pPr>
        <w:pStyle w:val="BodyText"/>
        <w:spacing w:line="316" w:lineRule="auto" w:before="76"/>
        <w:ind w:left="444" w:right="1134"/>
        <w:jc w:val="left"/>
      </w:pPr>
      <w:r>
        <w:rPr/>
        <w:t>（六）关于信息披露与透明度 </w:t>
      </w:r>
      <w:r>
        <w:rPr>
          <w:spacing w:val="-1"/>
        </w:rPr>
        <w:t>公司高度重视信息披露与投资者关系管理工作，严格按照《上市公司信息披露管理办法》、深圳证券交易所创业板上市</w:t>
      </w:r>
    </w:p>
    <w:p>
      <w:pPr>
        <w:spacing w:after="0" w:line="316"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right="0"/>
        <w:jc w:val="left"/>
      </w:pPr>
      <w:r>
        <w:rPr>
          <w:spacing w:val="-7"/>
        </w:rPr>
        <w:t>公司的信息披露格式指引等规定的要求，真实、准确、及时、完整地披露有关信息。公司指定《证券时报》、《上海证券报》、</w:t>
      </w:r>
    </w:p>
    <w:p>
      <w:pPr>
        <w:pStyle w:val="BodyText"/>
        <w:spacing w:line="309" w:lineRule="auto" w:before="76"/>
        <w:ind w:right="0"/>
        <w:jc w:val="left"/>
      </w:pPr>
      <w:r>
        <w:rPr/>
        <w:t>《中国证券报》、《证券日报》为信息披露报纸，巨潮资讯网（</w:t>
      </w:r>
      <w:hyperlink r:id="rId14">
        <w:r>
          <w:rPr>
            <w:rFonts w:ascii="Times New Roman" w:hAnsi="Times New Roman" w:cs="Times New Roman" w:eastAsia="Times New Roman" w:hint="default"/>
          </w:rPr>
          <w:t>www.cninfo.com.cn</w:t>
        </w:r>
      </w:hyperlink>
      <w:r>
        <w:rPr/>
        <w:t>）为信息披露网站。公司上市以来，不</w:t>
      </w:r>
      <w:r>
        <w:rPr>
          <w:w w:val="99"/>
        </w:rPr>
        <w:t> </w:t>
      </w:r>
      <w:r>
        <w:rPr>
          <w:spacing w:val="-2"/>
        </w:rPr>
        <w:t>断尝试更加有效、充分地投资者关系管理工作，通过现场参观、投资者电话、电子邮箱、公司网站和投资者关系互动平台等</w:t>
      </w:r>
      <w:r>
        <w:rPr>
          <w:spacing w:val="-67"/>
        </w:rPr>
        <w:t> </w:t>
      </w:r>
      <w:r>
        <w:rPr>
          <w:spacing w:val="-67"/>
        </w:rPr>
      </w:r>
      <w:r>
        <w:rPr/>
        <w:t>多种方式与投资者进行沟通交流，提高公司的透明度和诚信度，保障全体股东的合法权益。</w:t>
      </w:r>
    </w:p>
    <w:p>
      <w:pPr>
        <w:pStyle w:val="BodyText"/>
        <w:spacing w:line="316" w:lineRule="auto" w:before="24"/>
        <w:ind w:left="454" w:right="0" w:hanging="83"/>
        <w:jc w:val="left"/>
      </w:pPr>
      <w:r>
        <w:rPr/>
        <w:t>（七）关于相关利益者 </w:t>
      </w:r>
      <w:r>
        <w:rPr>
          <w:spacing w:val="-3"/>
        </w:rPr>
        <w:t>公司充分尊重和维护相关利益者的合法权益，重视公司的社会责任，积极与相关利益者合作，加强与各方的沟通和交流，</w:t>
      </w:r>
    </w:p>
    <w:p>
      <w:pPr>
        <w:pStyle w:val="BodyText"/>
        <w:spacing w:line="240" w:lineRule="auto" w:before="19"/>
        <w:ind w:right="1134"/>
        <w:jc w:val="left"/>
      </w:pPr>
      <w:r>
        <w:rPr/>
        <w:t>实现股东、员工、社会等各方利益的协调平衡，共同推动公司持续、健康的发展。</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4"/>
          <w:szCs w:val="14"/>
        </w:rPr>
      </w:pPr>
    </w:p>
    <w:p>
      <w:pPr>
        <w:pStyle w:val="BodyText"/>
        <w:spacing w:line="240" w:lineRule="auto"/>
        <w:ind w:right="1134"/>
        <w:jc w:val="left"/>
      </w:pPr>
      <w:r>
        <w:rPr/>
        <w:t>公司治理的实际状况与中国证监会发布的有关上市公司治理的规范性文件是否存在重大差异</w:t>
      </w:r>
    </w:p>
    <w:p>
      <w:pPr>
        <w:pStyle w:val="BodyText"/>
        <w:spacing w:line="338" w:lineRule="auto" w:before="117"/>
        <w:ind w:right="355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公司治理的实际状况与中国证监会发布的有关上市公司治理的规范性文件不存在重大差异。</w:t>
      </w:r>
    </w:p>
    <w:p>
      <w:pPr>
        <w:spacing w:line="240" w:lineRule="auto" w:before="4"/>
        <w:rPr>
          <w:rFonts w:ascii="宋体" w:hAnsi="宋体" w:cs="宋体" w:eastAsia="宋体" w:hint="default"/>
          <w:sz w:val="19"/>
          <w:szCs w:val="19"/>
        </w:rPr>
      </w:pPr>
    </w:p>
    <w:p>
      <w:pPr>
        <w:pStyle w:val="Heading2"/>
        <w:spacing w:line="240" w:lineRule="auto"/>
        <w:ind w:right="1134"/>
        <w:jc w:val="left"/>
        <w:rPr>
          <w:b w:val="0"/>
          <w:bCs w:val="0"/>
        </w:rPr>
      </w:pPr>
      <w:bookmarkStart w:name="二、公司相对于控股股东在业务、人员、资产、机构、财务等方面的独立情况" w:id="132"/>
      <w:bookmarkEnd w:id="132"/>
      <w:r>
        <w:rPr>
          <w:b w:val="0"/>
          <w:bCs w:val="0"/>
        </w:rPr>
      </w:r>
      <w:r>
        <w:rPr/>
        <w:t>二、公司相对于控股股东在业务、人员、资产、机构、财务等方面的独立情况</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128" w:firstLine="360"/>
        <w:jc w:val="both"/>
      </w:pPr>
      <w:r>
        <w:rPr>
          <w:spacing w:val="-2"/>
        </w:rPr>
        <w:t>为防止控股股东及关联方占用公司资金，杜绝控股股东及关联方资金占用行为的发生，公司严格按照《公司法》、《证</w:t>
      </w:r>
      <w:r>
        <w:rPr/>
        <w:t> </w:t>
      </w:r>
      <w:r>
        <w:rPr>
          <w:spacing w:val="-5"/>
        </w:rPr>
        <w:t>券法》、《深圳证券交易所创业板股票上市规则》、《深圳证券交易所创业板上市公司规范运作指引》等有关法律法规和《公</w:t>
      </w:r>
      <w:r>
        <w:rPr>
          <w:spacing w:val="-81"/>
        </w:rPr>
        <w:t> </w:t>
      </w:r>
      <w:r>
        <w:rPr>
          <w:spacing w:val="-81"/>
        </w:rPr>
      </w:r>
      <w:r>
        <w:rPr>
          <w:spacing w:val="-2"/>
        </w:rPr>
        <w:t>司章程》的要求规范运作，在业务、人员、资产、机构和财务等方面与公司股东完全分开，具有独立完整的资产、业务体系</w:t>
      </w:r>
      <w:r>
        <w:rPr>
          <w:spacing w:val="-72"/>
        </w:rPr>
        <w:t> </w:t>
      </w:r>
      <w:r>
        <w:rPr>
          <w:spacing w:val="-72"/>
        </w:rPr>
      </w:r>
      <w:r>
        <w:rPr/>
        <w:t>及面向市场自主经营的能力。</w:t>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6"/>
          <w:szCs w:val="26"/>
        </w:rPr>
      </w:pPr>
    </w:p>
    <w:p>
      <w:pPr>
        <w:pStyle w:val="Heading2"/>
        <w:spacing w:line="240" w:lineRule="auto"/>
        <w:ind w:right="1134"/>
        <w:jc w:val="left"/>
        <w:rPr>
          <w:b w:val="0"/>
          <w:bCs w:val="0"/>
        </w:rPr>
      </w:pPr>
      <w:bookmarkStart w:name="三、同业竞争情况" w:id="133"/>
      <w:bookmarkEnd w:id="133"/>
      <w:r>
        <w:rPr>
          <w:b w:val="0"/>
          <w:bCs w:val="0"/>
        </w:rPr>
      </w:r>
      <w:r>
        <w:rPr/>
        <w:t>三、同业竞争情况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23"/>
          <w:szCs w:val="23"/>
        </w:rPr>
      </w:pPr>
    </w:p>
    <w:p>
      <w:pPr>
        <w:pStyle w:val="Heading2"/>
        <w:spacing w:line="240" w:lineRule="auto"/>
        <w:ind w:right="1134"/>
        <w:jc w:val="left"/>
        <w:rPr>
          <w:b w:val="0"/>
          <w:bCs w:val="0"/>
        </w:rPr>
      </w:pPr>
      <w:bookmarkStart w:name="四、报告期内召开的年度股东大会和临时股东大会的有关情况" w:id="134"/>
      <w:bookmarkEnd w:id="134"/>
      <w:r>
        <w:rPr>
          <w:b w:val="0"/>
          <w:bCs w:val="0"/>
        </w:rPr>
      </w:r>
      <w:r>
        <w:rPr/>
        <w:t>四、报告期内召开的年度股东大会和临时股东大会的有关情况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本报告期股东大会情况" w:id="135"/>
      <w:bookmarkEnd w:id="135"/>
      <w:r>
        <w:rPr>
          <w:b w:val="0"/>
          <w:bCs w:val="0"/>
        </w:rPr>
      </w:r>
      <w:r>
        <w:rPr>
          <w:rFonts w:ascii="Times New Roman" w:hAnsi="Times New Roman" w:cs="Times New Roman" w:eastAsia="Times New Roman" w:hint="default"/>
        </w:rPr>
        <w:t>1</w:t>
      </w:r>
      <w:r>
        <w:rPr/>
        <w:t>、本报告期股东大会情况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1"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2" w:right="0"/>
              <w:jc w:val="left"/>
              <w:rPr>
                <w:rFonts w:ascii="宋体" w:hAnsi="宋体" w:cs="宋体" w:eastAsia="宋体" w:hint="default"/>
                <w:sz w:val="18"/>
                <w:szCs w:val="18"/>
              </w:rPr>
            </w:pPr>
            <w:r>
              <w:rPr>
                <w:rFonts w:ascii="宋体" w:hAnsi="宋体" w:cs="宋体" w:eastAsia="宋体" w:hint="default"/>
                <w:sz w:val="18"/>
                <w:szCs w:val="18"/>
              </w:rPr>
              <w:t>会议类型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3" w:right="0"/>
              <w:jc w:val="left"/>
              <w:rPr>
                <w:rFonts w:ascii="宋体" w:hAnsi="宋体" w:cs="宋体" w:eastAsia="宋体" w:hint="default"/>
                <w:sz w:val="18"/>
                <w:szCs w:val="18"/>
              </w:rPr>
            </w:pPr>
            <w:r>
              <w:rPr>
                <w:rFonts w:ascii="宋体" w:hAnsi="宋体" w:cs="宋体" w:eastAsia="宋体" w:hint="default"/>
                <w:sz w:val="18"/>
                <w:szCs w:val="18"/>
              </w:rPr>
              <w:t>投资者参与比例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披露索引</w:t>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年年度股东大 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年度股东大会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73.87%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5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20"/>
              <w:jc w:val="left"/>
              <w:rPr>
                <w:rFonts w:ascii="Times New Roman" w:hAnsi="Times New Roman" w:cs="Times New Roman" w:eastAsia="Times New Roman" w:hint="default"/>
                <w:sz w:val="18"/>
                <w:szCs w:val="18"/>
              </w:rPr>
            </w:pPr>
            <w:r>
              <w:rPr>
                <w:rFonts w:ascii="宋体" w:hAnsi="宋体" w:cs="宋体" w:eastAsia="宋体" w:hint="default"/>
                <w:spacing w:val="-10"/>
                <w:sz w:val="18"/>
                <w:szCs w:val="18"/>
              </w:rPr>
              <w:t>巨潮资讯网，公告编</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号：</w:t>
            </w:r>
            <w:r>
              <w:rPr>
                <w:rFonts w:ascii="Times New Roman" w:hAnsi="Times New Roman" w:cs="Times New Roman" w:eastAsia="Times New Roman" w:hint="default"/>
                <w:sz w:val="18"/>
                <w:szCs w:val="18"/>
              </w:rPr>
              <w:t>2018-040</w:t>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23.45%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5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59"/>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20"/>
              <w:jc w:val="left"/>
              <w:rPr>
                <w:rFonts w:ascii="Times New Roman" w:hAnsi="Times New Roman" w:cs="Times New Roman" w:eastAsia="Times New Roman" w:hint="default"/>
                <w:sz w:val="18"/>
                <w:szCs w:val="18"/>
              </w:rPr>
            </w:pPr>
            <w:r>
              <w:rPr>
                <w:rFonts w:ascii="宋体" w:hAnsi="宋体" w:cs="宋体" w:eastAsia="宋体" w:hint="default"/>
                <w:spacing w:val="-10"/>
                <w:sz w:val="18"/>
                <w:szCs w:val="18"/>
              </w:rPr>
              <w:t>巨潮资讯网，公告编</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号：</w:t>
            </w:r>
            <w:r>
              <w:rPr>
                <w:rFonts w:ascii="Times New Roman" w:hAnsi="Times New Roman" w:cs="Times New Roman" w:eastAsia="Times New Roman" w:hint="default"/>
                <w:sz w:val="18"/>
                <w:szCs w:val="18"/>
              </w:rPr>
              <w:t>2018-053</w:t>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73.17%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5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20"/>
              <w:jc w:val="left"/>
              <w:rPr>
                <w:rFonts w:ascii="Times New Roman" w:hAnsi="Times New Roman" w:cs="Times New Roman" w:eastAsia="Times New Roman" w:hint="default"/>
                <w:sz w:val="18"/>
                <w:szCs w:val="18"/>
              </w:rPr>
            </w:pPr>
            <w:r>
              <w:rPr>
                <w:rFonts w:ascii="宋体" w:hAnsi="宋体" w:cs="宋体" w:eastAsia="宋体" w:hint="default"/>
                <w:spacing w:val="-10"/>
                <w:sz w:val="18"/>
                <w:szCs w:val="18"/>
              </w:rPr>
              <w:t>巨潮资讯网，公告编</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号：</w:t>
            </w:r>
            <w:r>
              <w:rPr>
                <w:rFonts w:ascii="Times New Roman" w:hAnsi="Times New Roman" w:cs="Times New Roman" w:eastAsia="Times New Roman" w:hint="default"/>
                <w:sz w:val="18"/>
                <w:szCs w:val="18"/>
              </w:rPr>
              <w:t>2018-073</w:t>
            </w:r>
          </w:p>
        </w:tc>
      </w:tr>
      <w:tr>
        <w:trPr>
          <w:trHeight w:val="715"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22" w:right="77"/>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年第三次临时 股东大会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69.42%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53"/>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5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3" w:right="20"/>
              <w:jc w:val="left"/>
              <w:rPr>
                <w:rFonts w:ascii="Times New Roman" w:hAnsi="Times New Roman" w:cs="Times New Roman" w:eastAsia="Times New Roman" w:hint="default"/>
                <w:sz w:val="18"/>
                <w:szCs w:val="18"/>
              </w:rPr>
            </w:pPr>
            <w:r>
              <w:rPr>
                <w:rFonts w:ascii="宋体" w:hAnsi="宋体" w:cs="宋体" w:eastAsia="宋体" w:hint="default"/>
                <w:spacing w:val="-10"/>
                <w:sz w:val="18"/>
                <w:szCs w:val="18"/>
              </w:rPr>
              <w:t>巨潮资讯网，公告编</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号：</w:t>
            </w:r>
            <w:r>
              <w:rPr>
                <w:rFonts w:ascii="Times New Roman" w:hAnsi="Times New Roman" w:cs="Times New Roman" w:eastAsia="Times New Roman" w:hint="default"/>
                <w:sz w:val="18"/>
                <w:szCs w:val="18"/>
              </w:rPr>
              <w:t>2018-082</w:t>
            </w:r>
          </w:p>
        </w:tc>
      </w:tr>
    </w:tbl>
    <w:p>
      <w:pPr>
        <w:spacing w:line="240" w:lineRule="auto" w:before="3"/>
        <w:rPr>
          <w:rFonts w:ascii="宋体" w:hAnsi="宋体" w:cs="宋体" w:eastAsia="宋体" w:hint="default"/>
          <w:b/>
          <w:bCs/>
          <w:sz w:val="19"/>
          <w:szCs w:val="19"/>
        </w:rPr>
      </w:pPr>
    </w:p>
    <w:p>
      <w:pPr>
        <w:pStyle w:val="Heading3"/>
        <w:spacing w:line="240" w:lineRule="auto" w:before="35"/>
        <w:ind w:right="1134"/>
        <w:jc w:val="left"/>
        <w:rPr>
          <w:b w:val="0"/>
          <w:bCs w:val="0"/>
        </w:rPr>
      </w:pPr>
      <w:bookmarkStart w:name="2、表决权恢复的优先股股东请求召开临时股东大会" w:id="136"/>
      <w:bookmarkEnd w:id="136"/>
      <w:r>
        <w:rPr>
          <w:b w:val="0"/>
          <w:bCs w:val="0"/>
        </w:rPr>
      </w:r>
      <w:r>
        <w:rPr>
          <w:rFonts w:ascii="Times New Roman" w:hAnsi="Times New Roman" w:cs="Times New Roman" w:eastAsia="Times New Roman" w:hint="default"/>
        </w:rPr>
        <w:t>2</w:t>
      </w:r>
      <w:r>
        <w:rPr/>
        <w:t>、表决权恢复的优先股股东请求召开临时股东大会</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1134"/>
        <w:jc w:val="left"/>
        <w:rPr>
          <w:b w:val="0"/>
          <w:bCs w:val="0"/>
        </w:rPr>
      </w:pPr>
      <w:bookmarkStart w:name="五、报告期内独立董事履行职责的情况" w:id="137"/>
      <w:bookmarkEnd w:id="137"/>
      <w:r>
        <w:rPr>
          <w:b w:val="0"/>
          <w:bCs w:val="0"/>
        </w:rPr>
      </w:r>
      <w:r>
        <w:rPr/>
        <w:t>五、报告期内独立董事履行职责的情况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独立董事出席董事会及股东大会的情况" w:id="138"/>
      <w:bookmarkEnd w:id="138"/>
      <w:r>
        <w:rPr>
          <w:b w:val="0"/>
          <w:bCs w:val="0"/>
        </w:rPr>
      </w:r>
      <w:r>
        <w:rPr>
          <w:rFonts w:ascii="Times New Roman" w:hAnsi="Times New Roman" w:cs="Times New Roman" w:eastAsia="Times New Roman" w:hint="default"/>
        </w:rPr>
        <w:t>1</w:t>
      </w:r>
      <w:r>
        <w:rPr/>
        <w:t>、独立董事出席董事会及股东大会的情况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427"/>
        <w:gridCol w:w="1164"/>
        <w:gridCol w:w="1164"/>
        <w:gridCol w:w="1163"/>
        <w:gridCol w:w="1164"/>
        <w:gridCol w:w="1163"/>
        <w:gridCol w:w="1163"/>
        <w:gridCol w:w="1163"/>
      </w:tblGrid>
      <w:tr>
        <w:trPr>
          <w:trHeight w:val="402" w:hRule="exact"/>
        </w:trPr>
        <w:tc>
          <w:tcPr>
            <w:tcW w:w="9571"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026"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68"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5" w:right="36"/>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05" w:right="36" w:hanging="270"/>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5" w:right="35"/>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07" w:right="35" w:hanging="270"/>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485" w:right="35" w:hanging="450"/>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5" w:right="35"/>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395" w:right="35"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李挥</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屈先富</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邹雪城</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徐先达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高海军</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2</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郭雳</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pStyle w:val="BodyText"/>
        <w:spacing w:line="240" w:lineRule="auto" w:before="51"/>
        <w:ind w:right="0"/>
        <w:jc w:val="both"/>
      </w:pPr>
      <w:r>
        <w:rPr/>
        <w:t>连续两次未亲自出席董事会的说明</w:t>
      </w:r>
    </w:p>
    <w:p>
      <w:pPr>
        <w:spacing w:line="240" w:lineRule="auto" w:before="11"/>
        <w:rPr>
          <w:rFonts w:ascii="宋体" w:hAnsi="宋体" w:cs="宋体" w:eastAsia="宋体" w:hint="default"/>
          <w:sz w:val="26"/>
          <w:szCs w:val="26"/>
        </w:rPr>
      </w:pPr>
    </w:p>
    <w:p>
      <w:pPr>
        <w:pStyle w:val="Heading3"/>
        <w:spacing w:line="240" w:lineRule="auto"/>
        <w:ind w:right="0"/>
        <w:jc w:val="both"/>
        <w:rPr>
          <w:b w:val="0"/>
          <w:bCs w:val="0"/>
        </w:rPr>
      </w:pPr>
      <w:bookmarkStart w:name="2、独立董事对公司有关事项提出异议的情况" w:id="139"/>
      <w:bookmarkEnd w:id="139"/>
      <w:r>
        <w:rPr>
          <w:b w:val="0"/>
          <w:bCs w:val="0"/>
        </w:rPr>
      </w:r>
      <w:r>
        <w:rPr>
          <w:rFonts w:ascii="Times New Roman" w:hAnsi="Times New Roman" w:cs="Times New Roman" w:eastAsia="Times New Roman" w:hint="default"/>
        </w:rPr>
        <w:t>2</w:t>
      </w:r>
      <w:r>
        <w:rPr/>
        <w:t>、独立董事对公司有关事项提出异议的情况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both"/>
      </w:pPr>
      <w:r>
        <w:rPr/>
        <w:t>独立董事对公司有关事项是否提出异议</w:t>
      </w:r>
    </w:p>
    <w:p>
      <w:pPr>
        <w:pStyle w:val="BodyText"/>
        <w:spacing w:line="340" w:lineRule="auto" w:before="116"/>
        <w:ind w:right="697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报告期内独立董事对公司有关事项未提出异议。</w:t>
      </w:r>
    </w:p>
    <w:p>
      <w:pPr>
        <w:spacing w:line="240" w:lineRule="auto" w:before="12"/>
        <w:rPr>
          <w:rFonts w:ascii="宋体" w:hAnsi="宋体" w:cs="宋体" w:eastAsia="宋体" w:hint="default"/>
          <w:sz w:val="20"/>
          <w:szCs w:val="20"/>
        </w:rPr>
      </w:pPr>
    </w:p>
    <w:p>
      <w:pPr>
        <w:pStyle w:val="Heading3"/>
        <w:spacing w:line="240" w:lineRule="auto"/>
        <w:ind w:right="0"/>
        <w:jc w:val="both"/>
        <w:rPr>
          <w:b w:val="0"/>
          <w:bCs w:val="0"/>
        </w:rPr>
      </w:pPr>
      <w:bookmarkStart w:name="3、独立董事履行职责的其他说明" w:id="140"/>
      <w:bookmarkEnd w:id="140"/>
      <w:r>
        <w:rPr>
          <w:b w:val="0"/>
          <w:bCs w:val="0"/>
        </w:rPr>
      </w:r>
      <w:r>
        <w:rPr>
          <w:rFonts w:ascii="Times New Roman" w:hAnsi="Times New Roman" w:cs="Times New Roman" w:eastAsia="Times New Roman" w:hint="default"/>
        </w:rPr>
        <w:t>3</w:t>
      </w:r>
      <w:r>
        <w:rPr/>
        <w:t>、独立董事履行职责的其他说明</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0"/>
        <w:jc w:val="both"/>
      </w:pPr>
      <w:r>
        <w:rPr/>
        <w:t>独立董事对公司有关建议是否被采纳</w:t>
      </w:r>
    </w:p>
    <w:p>
      <w:pPr>
        <w:pStyle w:val="BodyText"/>
        <w:spacing w:line="338" w:lineRule="auto" w:before="116"/>
        <w:ind w:right="679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独立董事对公司有关建议被采纳或未被采纳的说明</w:t>
      </w:r>
    </w:p>
    <w:p>
      <w:pPr>
        <w:pStyle w:val="BodyText"/>
        <w:spacing w:line="240" w:lineRule="auto" w:before="42"/>
        <w:ind w:left="514" w:right="0"/>
        <w:jc w:val="left"/>
      </w:pPr>
      <w:r>
        <w:rPr>
          <w:spacing w:val="-7"/>
        </w:rPr>
        <w:t>报告期内，公司独立董事严格按照《公司法》、《证券法》、《股票上市规则》、《公司章程》、《独立董事工作制度》、</w:t>
      </w:r>
    </w:p>
    <w:p>
      <w:pPr>
        <w:pStyle w:val="BodyText"/>
        <w:spacing w:line="316" w:lineRule="auto" w:before="76"/>
        <w:ind w:right="1130"/>
        <w:jc w:val="both"/>
      </w:pPr>
      <w:r>
        <w:rPr>
          <w:spacing w:val="-2"/>
        </w:rPr>
        <w:t>《上市公司治理准则》及《深圳证券交易所创业板上市公司规范运作指引》及相关法律、法规等有关规定和要求，忠实、勤</w:t>
      </w:r>
      <w:r>
        <w:rPr>
          <w:spacing w:val="-68"/>
        </w:rPr>
        <w:t> </w:t>
      </w:r>
      <w:r>
        <w:rPr>
          <w:spacing w:val="-68"/>
        </w:rPr>
      </w:r>
      <w:r>
        <w:rPr>
          <w:spacing w:val="-2"/>
        </w:rPr>
        <w:t>勉地履行其职责，积极出席相关会议，利用自已的专业知识和经验对公司的战略发展、内部控制、重大经营决策、制度完善</w:t>
      </w:r>
      <w:r>
        <w:rPr>
          <w:spacing w:val="-66"/>
        </w:rPr>
        <w:t> </w:t>
      </w:r>
      <w:r>
        <w:rPr>
          <w:spacing w:val="-66"/>
        </w:rPr>
      </w:r>
      <w:r>
        <w:rPr>
          <w:spacing w:val="-2"/>
        </w:rPr>
        <w:t>等提供了专业性意见，对公司财务及生产经营活动、信息披露工作进行有效监督，为公司未来发展和规范运作及提升管理水</w:t>
      </w:r>
      <w:r>
        <w:rPr>
          <w:spacing w:val="-66"/>
        </w:rPr>
        <w:t> </w:t>
      </w:r>
      <w:r>
        <w:rPr>
          <w:spacing w:val="-66"/>
        </w:rPr>
      </w:r>
      <w:r>
        <w:rPr>
          <w:spacing w:val="-2"/>
        </w:rPr>
        <w:t>平起到了积极作用。对报告期内需要独立董事发表意见的事项出具了独立、公正意见，对公司董事会审议事项及其他事项未</w:t>
      </w:r>
      <w:r>
        <w:rPr>
          <w:spacing w:val="-66"/>
        </w:rPr>
        <w:t> </w:t>
      </w:r>
      <w:r>
        <w:rPr>
          <w:spacing w:val="-66"/>
        </w:rPr>
      </w:r>
      <w:r>
        <w:rPr/>
        <w:t>提出过异议。</w:t>
      </w:r>
    </w:p>
    <w:p>
      <w:pPr>
        <w:spacing w:line="240" w:lineRule="auto" w:before="10"/>
        <w:rPr>
          <w:rFonts w:ascii="宋体" w:hAnsi="宋体" w:cs="宋体" w:eastAsia="宋体" w:hint="default"/>
          <w:sz w:val="20"/>
          <w:szCs w:val="20"/>
        </w:rPr>
      </w:pPr>
    </w:p>
    <w:p>
      <w:pPr>
        <w:pStyle w:val="Heading2"/>
        <w:spacing w:line="240" w:lineRule="auto"/>
        <w:ind w:right="0"/>
        <w:jc w:val="both"/>
        <w:rPr>
          <w:b w:val="0"/>
          <w:bCs w:val="0"/>
        </w:rPr>
      </w:pPr>
      <w:bookmarkStart w:name="六、董事会下设专门委员会在报告期内履行职责情况" w:id="141"/>
      <w:bookmarkEnd w:id="141"/>
      <w:r>
        <w:rPr>
          <w:b w:val="0"/>
          <w:bCs w:val="0"/>
        </w:rPr>
      </w:r>
      <w:r>
        <w:rPr/>
        <w:t>六、董事会下设专门委员会在报告期内履行职责情况</w:t>
      </w:r>
      <w:r>
        <w:rPr>
          <w:b w:val="0"/>
          <w:bCs w:val="0"/>
        </w:rPr>
      </w:r>
    </w:p>
    <w:p>
      <w:pPr>
        <w:spacing w:line="240" w:lineRule="auto" w:before="1"/>
        <w:rPr>
          <w:rFonts w:ascii="宋体" w:hAnsi="宋体" w:cs="宋体" w:eastAsia="宋体" w:hint="default"/>
          <w:b/>
          <w:bCs/>
          <w:sz w:val="23"/>
          <w:szCs w:val="23"/>
        </w:rPr>
      </w:pPr>
    </w:p>
    <w:p>
      <w:pPr>
        <w:pStyle w:val="BodyText"/>
        <w:spacing w:line="240" w:lineRule="auto" w:before="44"/>
        <w:ind w:left="574" w:right="0"/>
        <w:jc w:val="left"/>
      </w:pPr>
      <w:r>
        <w:rPr/>
        <w:t>公司董事会下设审计委员会、提名委员会、薪酬与考核委员会、战略委员会。各专门委员会在报告期内的履职情况如</w:t>
      </w:r>
    </w:p>
    <w:p>
      <w:pPr>
        <w:pStyle w:val="BodyText"/>
        <w:spacing w:line="240" w:lineRule="auto" w:before="77"/>
        <w:ind w:right="1134"/>
        <w:jc w:val="left"/>
      </w:pPr>
      <w:r>
        <w:rPr/>
        <w:t>下：</w:t>
      </w:r>
    </w:p>
    <w:p>
      <w:pPr>
        <w:pStyle w:val="BodyText"/>
        <w:spacing w:line="300" w:lineRule="auto" w:before="76"/>
        <w:ind w:left="574" w:right="0"/>
        <w:jc w:val="left"/>
      </w:pPr>
      <w:r>
        <w:rPr>
          <w:rFonts w:ascii="Times New Roman" w:hAnsi="Times New Roman" w:cs="Times New Roman" w:eastAsia="Times New Roman" w:hint="default"/>
        </w:rPr>
        <w:t>1</w:t>
      </w:r>
      <w:r>
        <w:rPr/>
        <w:t>、审计委员会的履职情况 报告期内，董事会审计委员会严格按照相关法律法规及《公司章程》、《审计委员会工作细则》的有关规定积极开展</w:t>
      </w:r>
    </w:p>
    <w:p>
      <w:pPr>
        <w:pStyle w:val="BodyText"/>
        <w:spacing w:line="316" w:lineRule="auto" w:before="31"/>
        <w:ind w:right="0"/>
        <w:jc w:val="left"/>
      </w:pPr>
      <w:r>
        <w:rPr>
          <w:spacing w:val="-4"/>
        </w:rPr>
        <w:t>相关工作，认真履行职责，持续关注公司情况和重大事项进展，指导公司审计部在内部审计过程中应重点关注和检查的事项，</w:t>
      </w:r>
      <w:r>
        <w:rPr>
          <w:spacing w:val="-44"/>
        </w:rPr>
        <w:t> </w:t>
      </w:r>
      <w:r>
        <w:rPr>
          <w:spacing w:val="-44"/>
        </w:rPr>
      </w:r>
      <w:r>
        <w:rPr>
          <w:spacing w:val="-2"/>
        </w:rPr>
        <w:t>督促公司内部控制的有效执行。报告期内，审计委员会共召开了五次会议，对公司定期财务报告、内部控制情况、聘任审计</w:t>
      </w:r>
    </w:p>
    <w:p>
      <w:pPr>
        <w:spacing w:after="0" w:line="316"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right="1134"/>
        <w:jc w:val="left"/>
      </w:pPr>
      <w:r>
        <w:rPr/>
        <w:t>机构、募集资金存放与使用等专项进行了审议，并审议了审计部提交的工作总结及工作计划。</w:t>
      </w:r>
    </w:p>
    <w:p>
      <w:pPr>
        <w:pStyle w:val="BodyText"/>
        <w:spacing w:line="300" w:lineRule="auto" w:before="76"/>
        <w:ind w:left="574" w:right="0"/>
        <w:jc w:val="left"/>
      </w:pPr>
      <w:r>
        <w:rPr>
          <w:rFonts w:ascii="Times New Roman" w:hAnsi="Times New Roman" w:cs="Times New Roman" w:eastAsia="Times New Roman" w:hint="default"/>
        </w:rPr>
        <w:t>2</w:t>
      </w:r>
      <w:r>
        <w:rPr/>
        <w:t>、提名委员会履职情况 报告期内，提名委员会按照《提名委员会工作细则》的规定积极开展工作，认真履行职责。报告期内，提名委员会召</w:t>
      </w:r>
    </w:p>
    <w:p>
      <w:pPr>
        <w:pStyle w:val="BodyText"/>
        <w:spacing w:line="309" w:lineRule="auto" w:before="31"/>
        <w:ind w:left="574" w:right="0" w:hanging="420"/>
        <w:jc w:val="left"/>
      </w:pPr>
      <w:r>
        <w:rPr/>
        <w:t>开了一次会议，对于公司拟任独立董事的人选资格、公司董事会换届选举人选资格进行了审查，并提交董事会审议。 </w:t>
      </w:r>
      <w:r>
        <w:rPr>
          <w:rFonts w:ascii="Times New Roman" w:hAnsi="Times New Roman" w:cs="Times New Roman" w:eastAsia="Times New Roman" w:hint="default"/>
        </w:rPr>
        <w:t>3</w:t>
      </w:r>
      <w:r>
        <w:rPr/>
        <w:t>、薪酬与考核委员会履职情况 报告期内，薪酬与考核委员会严格按照相关法律法规及《公司章程》、《薪酬与考核委员会工作细则》的有关规定积</w:t>
      </w:r>
    </w:p>
    <w:p>
      <w:pPr>
        <w:pStyle w:val="BodyText"/>
        <w:spacing w:line="316" w:lineRule="auto" w:before="24"/>
        <w:ind w:right="0"/>
        <w:jc w:val="left"/>
      </w:pPr>
      <w:r>
        <w:rPr>
          <w:spacing w:val="-4"/>
        </w:rPr>
        <w:t>极开展相关工作，认真履行职责。报告期内，薪酬与考核委员会共召开了二次会议，听取了公司董事会和高管人员工作报告，</w:t>
      </w:r>
      <w:r>
        <w:rPr>
          <w:spacing w:val="-46"/>
        </w:rPr>
        <w:t> </w:t>
      </w:r>
      <w:r>
        <w:rPr>
          <w:spacing w:val="-46"/>
        </w:rPr>
      </w:r>
      <w:r>
        <w:rPr/>
        <w:t>认为其薪酬标准和年度薪酬总额的确定符合公司相关薪酬管理制度的规定。</w:t>
      </w:r>
    </w:p>
    <w:p>
      <w:pPr>
        <w:pStyle w:val="BodyText"/>
        <w:spacing w:line="340" w:lineRule="auto" w:before="19"/>
        <w:ind w:left="514" w:right="0" w:firstLine="60"/>
        <w:jc w:val="left"/>
      </w:pPr>
      <w:r>
        <w:rPr>
          <w:rFonts w:ascii="Times New Roman" w:hAnsi="Times New Roman" w:cs="Times New Roman" w:eastAsia="Times New Roman" w:hint="default"/>
        </w:rPr>
        <w:t>4</w:t>
      </w:r>
      <w:r>
        <w:rPr/>
        <w:t>、战略委员会履职情况 </w:t>
      </w:r>
      <w:r>
        <w:rPr>
          <w:spacing w:val="-4"/>
        </w:rPr>
        <w:t>报告期内，战略委员会严格按照相关法律法规及《公司章程》、《战略委员会工作细则》的有关规定积极开展相关工作，</w:t>
      </w:r>
    </w:p>
    <w:p>
      <w:pPr>
        <w:pStyle w:val="BodyText"/>
        <w:spacing w:line="240" w:lineRule="auto" w:before="1"/>
        <w:ind w:right="1134"/>
        <w:jc w:val="left"/>
      </w:pPr>
      <w:r>
        <w:rPr/>
        <w:t>认真履行职责。报告期内，战略委员会委员在其职责权限范围内协助董事会开展相关工作。</w:t>
      </w:r>
    </w:p>
    <w:p>
      <w:pPr>
        <w:spacing w:line="240" w:lineRule="auto" w:before="1"/>
        <w:rPr>
          <w:rFonts w:ascii="宋体" w:hAnsi="宋体" w:cs="宋体" w:eastAsia="宋体" w:hint="default"/>
          <w:sz w:val="25"/>
          <w:szCs w:val="25"/>
        </w:rPr>
      </w:pPr>
    </w:p>
    <w:p>
      <w:pPr>
        <w:pStyle w:val="Heading2"/>
        <w:spacing w:line="240" w:lineRule="auto"/>
        <w:ind w:right="1134"/>
        <w:jc w:val="left"/>
        <w:rPr>
          <w:b w:val="0"/>
          <w:bCs w:val="0"/>
        </w:rPr>
      </w:pPr>
      <w:bookmarkStart w:name="七、监事会工作情况" w:id="142"/>
      <w:bookmarkEnd w:id="142"/>
      <w:r>
        <w:rPr>
          <w:b w:val="0"/>
          <w:bCs w:val="0"/>
        </w:rPr>
      </w:r>
      <w:r>
        <w:rPr/>
        <w:t>七、监事会工作情况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4"/>
        <w:jc w:val="left"/>
      </w:pPr>
      <w:r>
        <w:rPr/>
        <w:t>监事会在报告期内的监督活动中发现公司是否存在风险</w:t>
      </w:r>
    </w:p>
    <w:p>
      <w:pPr>
        <w:pStyle w:val="BodyText"/>
        <w:spacing w:line="338" w:lineRule="auto" w:before="117"/>
        <w:ind w:right="7332"/>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 公司监事会对报告期内的监督事项无异议。</w:t>
      </w:r>
    </w:p>
    <w:p>
      <w:pPr>
        <w:spacing w:line="240" w:lineRule="auto" w:before="4"/>
        <w:rPr>
          <w:rFonts w:ascii="宋体" w:hAnsi="宋体" w:cs="宋体" w:eastAsia="宋体" w:hint="default"/>
          <w:sz w:val="19"/>
          <w:szCs w:val="19"/>
        </w:rPr>
      </w:pPr>
    </w:p>
    <w:p>
      <w:pPr>
        <w:pStyle w:val="Heading2"/>
        <w:spacing w:line="240" w:lineRule="auto"/>
        <w:ind w:right="1134"/>
        <w:jc w:val="left"/>
        <w:rPr>
          <w:b w:val="0"/>
          <w:bCs w:val="0"/>
        </w:rPr>
      </w:pPr>
      <w:bookmarkStart w:name="八、高级管理人员的考评及激励情况" w:id="143"/>
      <w:bookmarkEnd w:id="143"/>
      <w:r>
        <w:rPr>
          <w:b w:val="0"/>
          <w:bCs w:val="0"/>
        </w:rPr>
      </w:r>
      <w:r>
        <w:rPr/>
        <w:t>八、高级管理人员的考评及激励情况</w:t>
      </w:r>
      <w:r>
        <w:rPr>
          <w:b w:val="0"/>
          <w:bCs w:val="0"/>
        </w:rPr>
      </w:r>
    </w:p>
    <w:p>
      <w:pPr>
        <w:spacing w:line="240" w:lineRule="auto" w:before="7"/>
        <w:rPr>
          <w:rFonts w:ascii="宋体" w:hAnsi="宋体" w:cs="宋体" w:eastAsia="宋体" w:hint="default"/>
          <w:b/>
          <w:bCs/>
          <w:sz w:val="26"/>
          <w:szCs w:val="26"/>
        </w:rPr>
      </w:pPr>
    </w:p>
    <w:p>
      <w:pPr>
        <w:pStyle w:val="BodyText"/>
        <w:spacing w:line="319" w:lineRule="auto"/>
        <w:ind w:right="0" w:firstLine="360"/>
        <w:jc w:val="left"/>
      </w:pPr>
      <w:r>
        <w:rPr>
          <w:spacing w:val="-2"/>
        </w:rPr>
        <w:t>公司高级管理人员均由董事会聘任，董事会薪酬与考核委员会负责对公司高级管理人员的工作能力、履职情况、责任目</w:t>
      </w:r>
      <w:r>
        <w:rPr/>
        <w:t> 标完成情况等进行考评。</w:t>
      </w:r>
    </w:p>
    <w:p>
      <w:pPr>
        <w:spacing w:line="240" w:lineRule="auto" w:before="6"/>
        <w:rPr>
          <w:rFonts w:ascii="宋体" w:hAnsi="宋体" w:cs="宋体" w:eastAsia="宋体" w:hint="default"/>
          <w:sz w:val="20"/>
          <w:szCs w:val="20"/>
        </w:rPr>
      </w:pPr>
    </w:p>
    <w:p>
      <w:pPr>
        <w:pStyle w:val="Heading2"/>
        <w:spacing w:line="240" w:lineRule="auto"/>
        <w:ind w:right="1134"/>
        <w:jc w:val="left"/>
        <w:rPr>
          <w:b w:val="0"/>
          <w:bCs w:val="0"/>
        </w:rPr>
      </w:pPr>
      <w:bookmarkStart w:name="九、内部控制评价报告" w:id="144"/>
      <w:bookmarkEnd w:id="144"/>
      <w:r>
        <w:rPr>
          <w:b w:val="0"/>
          <w:bCs w:val="0"/>
        </w:rPr>
      </w:r>
      <w:r>
        <w:rPr/>
        <w:t>九、内部控制评价报告</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报告期内发现的内部控制重大缺陷的具体情况" w:id="145"/>
      <w:bookmarkEnd w:id="145"/>
      <w:r>
        <w:rPr>
          <w:b w:val="0"/>
          <w:bCs w:val="0"/>
        </w:rPr>
      </w:r>
      <w:r>
        <w:rPr>
          <w:rFonts w:ascii="Times New Roman" w:hAnsi="Times New Roman" w:cs="Times New Roman" w:eastAsia="Times New Roman" w:hint="default"/>
        </w:rPr>
        <w:t>1</w:t>
      </w:r>
      <w:r>
        <w:rPr/>
        <w:t>、报告期内发现的内部控制重大缺陷的具体情况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是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否</w:t>
      </w:r>
    </w:p>
    <w:p>
      <w:pPr>
        <w:spacing w:line="240" w:lineRule="auto" w:before="10"/>
        <w:rPr>
          <w:rFonts w:ascii="宋体" w:hAnsi="宋体" w:cs="宋体" w:eastAsia="宋体" w:hint="default"/>
          <w:sz w:val="25"/>
          <w:szCs w:val="25"/>
        </w:rPr>
      </w:pPr>
    </w:p>
    <w:p>
      <w:pPr>
        <w:pStyle w:val="Heading3"/>
        <w:spacing w:line="240" w:lineRule="auto"/>
        <w:ind w:right="1134"/>
        <w:jc w:val="left"/>
        <w:rPr>
          <w:b w:val="0"/>
          <w:bCs w:val="0"/>
        </w:rPr>
      </w:pPr>
      <w:bookmarkStart w:name="2、内控自我评价报告" w:id="146"/>
      <w:bookmarkEnd w:id="146"/>
      <w:r>
        <w:rPr>
          <w:b w:val="0"/>
          <w:bCs w:val="0"/>
        </w:rPr>
      </w:r>
      <w:r>
        <w:rPr>
          <w:rFonts w:ascii="Times New Roman" w:hAnsi="Times New Roman" w:cs="Times New Roman" w:eastAsia="Times New Roman" w:hint="default"/>
        </w:rPr>
        <w:t>2</w:t>
      </w:r>
      <w:r>
        <w:rPr/>
        <w:t>、内控自我评价报告</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2677"/>
        <w:gridCol w:w="3829"/>
        <w:gridCol w:w="3051"/>
      </w:tblGrid>
      <w:tr>
        <w:trPr>
          <w:trHeight w:val="402" w:hRule="exact"/>
        </w:trPr>
        <w:tc>
          <w:tcPr>
            <w:tcW w:w="2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8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52"/>
              <w:ind w:left="17"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162" w:hRule="exact"/>
        </w:trPr>
        <w:tc>
          <w:tcPr>
            <w:tcW w:w="2677" w:type="dxa"/>
            <w:tcBorders>
              <w:top w:val="single" w:sz="4" w:space="0" w:color="000000"/>
              <w:left w:val="single" w:sz="4" w:space="0" w:color="000000"/>
              <w:bottom w:val="nil" w:sz="6" w:space="0" w:color="auto"/>
              <w:right w:val="single" w:sz="4" w:space="0" w:color="000000"/>
            </w:tcBorders>
            <w:shd w:val="clear" w:color="auto" w:fill="D2D2D2"/>
          </w:tcPr>
          <w:p>
            <w:pPr/>
          </w:p>
        </w:tc>
        <w:tc>
          <w:tcPr>
            <w:tcW w:w="6880" w:type="dxa"/>
            <w:gridSpan w:val="2"/>
            <w:vMerge w:val="restart"/>
            <w:tcBorders>
              <w:top w:val="single" w:sz="4" w:space="0" w:color="000000"/>
              <w:left w:val="single" w:sz="9" w:space="0" w:color="D2D2D2"/>
              <w:right w:val="single" w:sz="4" w:space="0" w:color="000000"/>
            </w:tcBorders>
          </w:tcPr>
          <w:p>
            <w:pPr>
              <w:pStyle w:val="TableParagraph"/>
              <w:spacing w:line="300" w:lineRule="auto" w:before="52"/>
              <w:ind w:left="21" w:right="23"/>
              <w:jc w:val="left"/>
              <w:rPr>
                <w:rFonts w:ascii="宋体" w:hAnsi="宋体" w:cs="宋体" w:eastAsia="宋体" w:hint="default"/>
                <w:sz w:val="18"/>
                <w:szCs w:val="18"/>
              </w:rPr>
            </w:pPr>
            <w:r>
              <w:rPr>
                <w:rFonts w:ascii="宋体" w:hAnsi="宋体" w:cs="宋体" w:eastAsia="宋体" w:hint="default"/>
                <w:spacing w:val="-3"/>
                <w:sz w:val="18"/>
                <w:szCs w:val="18"/>
              </w:rPr>
              <w:t>参见公司指定信息披露网站巨潮资讯网（</w:t>
            </w:r>
            <w:hyperlink r:id="rId14">
              <w:r>
                <w:rPr>
                  <w:rFonts w:ascii="Times New Roman" w:hAnsi="Times New Roman" w:cs="Times New Roman" w:eastAsia="Times New Roman" w:hint="default"/>
                  <w:spacing w:val="-3"/>
                  <w:sz w:val="18"/>
                  <w:szCs w:val="18"/>
                </w:rPr>
                <w:t>www.cninfo.com.cn</w:t>
              </w:r>
            </w:hyperlink>
            <w:r>
              <w:rPr>
                <w:rFonts w:ascii="宋体" w:hAnsi="宋体" w:cs="宋体" w:eastAsia="宋体" w:hint="default"/>
                <w:spacing w:val="-3"/>
                <w:sz w:val="18"/>
                <w:szCs w:val="18"/>
              </w:rPr>
              <w:t>）上披露的《</w:t>
            </w:r>
            <w:r>
              <w:rPr>
                <w:rFonts w:ascii="Times New Roman" w:hAnsi="Times New Roman" w:cs="Times New Roman" w:eastAsia="Times New Roman" w:hint="default"/>
                <w:spacing w:val="-3"/>
                <w:sz w:val="18"/>
                <w:szCs w:val="18"/>
              </w:rPr>
              <w:t>2018 </w:t>
            </w:r>
            <w:r>
              <w:rPr>
                <w:rFonts w:ascii="宋体" w:hAnsi="宋体" w:cs="宋体" w:eastAsia="宋体" w:hint="default"/>
                <w:sz w:val="18"/>
                <w:szCs w:val="18"/>
              </w:rPr>
              <w:t>年度内部</w:t>
            </w:r>
            <w:r>
              <w:rPr>
                <w:rFonts w:ascii="宋体" w:hAnsi="宋体" w:cs="宋体" w:eastAsia="宋体" w:hint="default"/>
                <w:spacing w:val="-51"/>
                <w:sz w:val="18"/>
                <w:szCs w:val="18"/>
              </w:rPr>
              <w:t> </w:t>
            </w:r>
            <w:r>
              <w:rPr>
                <w:rFonts w:ascii="宋体" w:hAnsi="宋体" w:cs="宋体" w:eastAsia="宋体" w:hint="default"/>
                <w:sz w:val="18"/>
                <w:szCs w:val="18"/>
              </w:rPr>
              <w:t>控制自我评价报告》</w:t>
            </w:r>
          </w:p>
        </w:tc>
      </w:tr>
      <w:tr>
        <w:trPr>
          <w:trHeight w:val="391" w:hRule="exact"/>
        </w:trPr>
        <w:tc>
          <w:tcPr>
            <w:tcW w:w="267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880" w:type="dxa"/>
            <w:gridSpan w:val="2"/>
            <w:vMerge/>
            <w:tcBorders>
              <w:left w:val="single" w:sz="9" w:space="0" w:color="D2D2D2"/>
              <w:right w:val="single" w:sz="4" w:space="0" w:color="000000"/>
            </w:tcBorders>
          </w:tcPr>
          <w:p>
            <w:pPr/>
          </w:p>
        </w:tc>
      </w:tr>
      <w:tr>
        <w:trPr>
          <w:trHeight w:val="161" w:hRule="exact"/>
        </w:trPr>
        <w:tc>
          <w:tcPr>
            <w:tcW w:w="2677" w:type="dxa"/>
            <w:tcBorders>
              <w:top w:val="nil" w:sz="6" w:space="0" w:color="auto"/>
              <w:left w:val="single" w:sz="4" w:space="0" w:color="000000"/>
              <w:bottom w:val="single" w:sz="4" w:space="0" w:color="000000"/>
              <w:right w:val="single" w:sz="4" w:space="0" w:color="000000"/>
            </w:tcBorders>
            <w:shd w:val="clear" w:color="auto" w:fill="D2D2D2"/>
          </w:tcPr>
          <w:p>
            <w:pPr/>
          </w:p>
        </w:tc>
        <w:tc>
          <w:tcPr>
            <w:tcW w:w="6880" w:type="dxa"/>
            <w:gridSpan w:val="2"/>
            <w:vMerge/>
            <w:tcBorders>
              <w:left w:val="single" w:sz="9" w:space="0" w:color="D2D2D2"/>
              <w:bottom w:val="single" w:sz="4" w:space="0" w:color="000000"/>
              <w:right w:val="single" w:sz="4" w:space="0" w:color="000000"/>
            </w:tcBorders>
          </w:tcPr>
          <w:p>
            <w:pPr/>
          </w:p>
        </w:tc>
      </w:tr>
      <w:tr>
        <w:trPr>
          <w:trHeight w:val="714" w:hRule="exact"/>
        </w:trPr>
        <w:tc>
          <w:tcPr>
            <w:tcW w:w="2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34"/>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 司合并财务报表资产总额的比例</w:t>
            </w:r>
          </w:p>
        </w:tc>
        <w:tc>
          <w:tcPr>
            <w:tcW w:w="68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715" w:hRule="exact"/>
        </w:trPr>
        <w:tc>
          <w:tcPr>
            <w:tcW w:w="2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34"/>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 司合并财务报表营业收入的比例</w:t>
            </w:r>
          </w:p>
        </w:tc>
        <w:tc>
          <w:tcPr>
            <w:tcW w:w="6880" w:type="dxa"/>
            <w:gridSpan w:val="2"/>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955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1" w:hRule="exact"/>
        </w:trPr>
        <w:tc>
          <w:tcPr>
            <w:tcW w:w="2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4"/>
              <w:jc w:val="center"/>
              <w:rPr>
                <w:rFonts w:ascii="宋体" w:hAnsi="宋体" w:cs="宋体" w:eastAsia="宋体" w:hint="default"/>
                <w:sz w:val="18"/>
                <w:szCs w:val="18"/>
              </w:rPr>
            </w:pPr>
            <w:r>
              <w:rPr>
                <w:rFonts w:ascii="宋体" w:hAnsi="宋体" w:cs="宋体" w:eastAsia="宋体" w:hint="default"/>
                <w:sz w:val="18"/>
                <w:szCs w:val="18"/>
              </w:rPr>
              <w:t>类别</w:t>
            </w:r>
          </w:p>
        </w:tc>
        <w:tc>
          <w:tcPr>
            <w:tcW w:w="3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142" w:hRule="exact"/>
        </w:trPr>
        <w:tc>
          <w:tcPr>
            <w:tcW w:w="2677" w:type="dxa"/>
            <w:tcBorders>
              <w:top w:val="single" w:sz="4" w:space="0" w:color="000000"/>
              <w:left w:val="single" w:sz="4" w:space="0" w:color="000000"/>
              <w:bottom w:val="nil" w:sz="6" w:space="0" w:color="auto"/>
              <w:right w:val="single" w:sz="4" w:space="0" w:color="000000"/>
            </w:tcBorders>
            <w:shd w:val="clear" w:color="auto" w:fill="D2D2D2"/>
          </w:tcPr>
          <w:p>
            <w:pPr/>
          </w:p>
        </w:tc>
        <w:tc>
          <w:tcPr>
            <w:tcW w:w="3829" w:type="dxa"/>
            <w:vMerge w:val="restart"/>
            <w:tcBorders>
              <w:top w:val="single" w:sz="4" w:space="0" w:color="000000"/>
              <w:left w:val="single" w:sz="13" w:space="0" w:color="D2D2D2"/>
              <w:right w:val="single" w:sz="4" w:space="0" w:color="000000"/>
            </w:tcBorders>
          </w:tcPr>
          <w:p>
            <w:pPr>
              <w:pStyle w:val="TableParagraph"/>
              <w:spacing w:line="300" w:lineRule="auto" w:before="52"/>
              <w:ind w:left="17" w:right="59"/>
              <w:jc w:val="left"/>
              <w:rPr>
                <w:rFonts w:ascii="宋体" w:hAnsi="宋体" w:cs="宋体" w:eastAsia="宋体" w:hint="default"/>
                <w:sz w:val="18"/>
                <w:szCs w:val="18"/>
              </w:rPr>
            </w:pPr>
            <w:r>
              <w:rPr>
                <w:rFonts w:ascii="宋体" w:hAnsi="宋体" w:cs="宋体" w:eastAsia="宋体" w:hint="default"/>
                <w:sz w:val="18"/>
                <w:szCs w:val="18"/>
              </w:rPr>
              <w:t>重大缺陷：</w:t>
            </w:r>
            <w:r>
              <w:rPr>
                <w:rFonts w:ascii="Times New Roman" w:hAnsi="Times New Roman" w:cs="Times New Roman" w:eastAsia="Times New Roman" w:hint="default"/>
                <w:sz w:val="18"/>
                <w:szCs w:val="18"/>
              </w:rPr>
              <w:t>A</w:t>
            </w:r>
            <w:r>
              <w:rPr>
                <w:rFonts w:ascii="宋体" w:hAnsi="宋体" w:cs="宋体" w:eastAsia="宋体" w:hint="default"/>
                <w:sz w:val="18"/>
                <w:szCs w:val="18"/>
              </w:rPr>
              <w:t>、公司董事、监事和高级管理人员 舞弊并给企业造成重要损失和不利影响；</w:t>
            </w:r>
            <w:r>
              <w:rPr>
                <w:rFonts w:ascii="Times New Roman" w:hAnsi="Times New Roman" w:cs="Times New Roman" w:eastAsia="Times New Roman" w:hint="default"/>
                <w:sz w:val="18"/>
                <w:szCs w:val="18"/>
              </w:rPr>
              <w:t>B</w:t>
            </w:r>
            <w:r>
              <w:rPr>
                <w:rFonts w:ascii="宋体" w:hAnsi="宋体" w:cs="宋体" w:eastAsia="宋体" w:hint="default"/>
                <w:sz w:val="18"/>
                <w:szCs w:val="18"/>
              </w:rPr>
              <w:t>、控</w:t>
            </w:r>
          </w:p>
        </w:tc>
        <w:tc>
          <w:tcPr>
            <w:tcW w:w="3051" w:type="dxa"/>
            <w:vMerge w:val="restart"/>
            <w:tcBorders>
              <w:top w:val="single" w:sz="4" w:space="0" w:color="000000"/>
              <w:left w:val="single" w:sz="4" w:space="0" w:color="000000"/>
              <w:right w:val="single" w:sz="4" w:space="0" w:color="000000"/>
            </w:tcBorders>
          </w:tcPr>
          <w:p>
            <w:pPr>
              <w:pStyle w:val="TableParagraph"/>
              <w:spacing w:line="300" w:lineRule="auto" w:before="52"/>
              <w:ind w:left="22" w:right="20"/>
              <w:jc w:val="left"/>
              <w:rPr>
                <w:rFonts w:ascii="宋体" w:hAnsi="宋体" w:cs="宋体" w:eastAsia="宋体" w:hint="default"/>
                <w:sz w:val="18"/>
                <w:szCs w:val="18"/>
              </w:rPr>
            </w:pPr>
            <w:r>
              <w:rPr>
                <w:rFonts w:ascii="宋体" w:hAnsi="宋体" w:cs="宋体" w:eastAsia="宋体" w:hint="default"/>
                <w:spacing w:val="-1"/>
                <w:sz w:val="18"/>
                <w:szCs w:val="18"/>
              </w:rPr>
              <w:t>重大缺陷：</w:t>
            </w:r>
            <w:r>
              <w:rPr>
                <w:rFonts w:ascii="Times New Roman" w:hAnsi="Times New Roman" w:cs="Times New Roman" w:eastAsia="Times New Roman" w:hint="default"/>
                <w:spacing w:val="-1"/>
                <w:sz w:val="18"/>
                <w:szCs w:val="18"/>
              </w:rPr>
              <w:t>A</w:t>
            </w:r>
            <w:r>
              <w:rPr>
                <w:rFonts w:ascii="宋体" w:hAnsi="宋体" w:cs="宋体" w:eastAsia="宋体" w:hint="default"/>
                <w:spacing w:val="-1"/>
                <w:sz w:val="18"/>
                <w:szCs w:val="18"/>
              </w:rPr>
              <w:t>、关键业务的决策程序导</w:t>
            </w:r>
            <w:r>
              <w:rPr>
                <w:rFonts w:ascii="宋体" w:hAnsi="宋体" w:cs="宋体" w:eastAsia="宋体" w:hint="default"/>
                <w:sz w:val="18"/>
                <w:szCs w:val="18"/>
              </w:rPr>
              <w:t> 致重大的决策失误；</w:t>
            </w:r>
            <w:r>
              <w:rPr>
                <w:rFonts w:ascii="Times New Roman" w:hAnsi="Times New Roman" w:cs="Times New Roman" w:eastAsia="Times New Roman" w:hint="default"/>
                <w:sz w:val="18"/>
                <w:szCs w:val="18"/>
              </w:rPr>
              <w:t>B</w:t>
            </w:r>
            <w:r>
              <w:rPr>
                <w:rFonts w:ascii="宋体" w:hAnsi="宋体" w:cs="宋体" w:eastAsia="宋体" w:hint="default"/>
                <w:sz w:val="18"/>
                <w:szCs w:val="18"/>
              </w:rPr>
              <w:t>、严重违反国家</w:t>
            </w:r>
          </w:p>
        </w:tc>
      </w:tr>
      <w:tr>
        <w:trPr>
          <w:trHeight w:val="392" w:hRule="exact"/>
        </w:trPr>
        <w:tc>
          <w:tcPr>
            <w:tcW w:w="267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829" w:type="dxa"/>
            <w:vMerge/>
            <w:tcBorders>
              <w:left w:val="single" w:sz="13" w:space="0" w:color="D2D2D2"/>
              <w:right w:val="single" w:sz="4" w:space="0" w:color="000000"/>
            </w:tcBorders>
          </w:tcPr>
          <w:p>
            <w:pPr/>
          </w:p>
        </w:tc>
        <w:tc>
          <w:tcPr>
            <w:tcW w:w="3051" w:type="dxa"/>
            <w:vMerge/>
            <w:tcBorders>
              <w:left w:val="single" w:sz="4" w:space="0" w:color="000000"/>
              <w:right w:val="single" w:sz="4" w:space="0" w:color="000000"/>
            </w:tcBorders>
          </w:tcPr>
          <w:p>
            <w:pPr/>
          </w:p>
        </w:tc>
      </w:tr>
      <w:tr>
        <w:trPr>
          <w:trHeight w:val="140" w:hRule="exact"/>
        </w:trPr>
        <w:tc>
          <w:tcPr>
            <w:tcW w:w="2677" w:type="dxa"/>
            <w:tcBorders>
              <w:top w:val="nil" w:sz="6" w:space="0" w:color="auto"/>
              <w:left w:val="single" w:sz="4" w:space="0" w:color="000000"/>
              <w:bottom w:val="single" w:sz="4" w:space="0" w:color="000000"/>
              <w:right w:val="single" w:sz="4" w:space="0" w:color="000000"/>
            </w:tcBorders>
            <w:shd w:val="clear" w:color="auto" w:fill="D2D2D2"/>
          </w:tcPr>
          <w:p>
            <w:pPr/>
          </w:p>
        </w:tc>
        <w:tc>
          <w:tcPr>
            <w:tcW w:w="3829" w:type="dxa"/>
            <w:vMerge/>
            <w:tcBorders>
              <w:left w:val="single" w:sz="13" w:space="0" w:color="D2D2D2"/>
              <w:bottom w:val="single" w:sz="4" w:space="0" w:color="000000"/>
              <w:right w:val="single" w:sz="4" w:space="0" w:color="000000"/>
            </w:tcBorders>
          </w:tcPr>
          <w:p>
            <w:pPr/>
          </w:p>
        </w:tc>
        <w:tc>
          <w:tcPr>
            <w:tcW w:w="3051"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r>
        <w:rPr/>
        <w:pict>
          <v:group style="position:absolute;margin-left:383.980011pt;margin-top:166.099976pt;width:154.25pt;height:15.6pt;mso-position-horizontal-relative:page;mso-position-vertical-relative:page;z-index:-1012528" coordorigin="7680,3322" coordsize="3085,312">
            <v:group style="position:absolute;left:7680;top:3322;width:2996;height:312" coordorigin="7680,3322" coordsize="2996,312">
              <v:shape style="position:absolute;left:7680;top:3322;width:2996;height:312" coordorigin="7680,3322" coordsize="2996,312" path="m7680,3634l10675,3634,10675,3322,7680,3322,7680,3634xe" filled="true" fillcolor="#ffffff" stroked="false">
                <v:path arrowok="t"/>
                <v:fill type="solid"/>
              </v:shape>
              <v:shape style="position:absolute;left:10584;top:3388;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v:group>
            <w10:wrap type="none"/>
          </v:group>
        </w:pict>
      </w:r>
    </w:p>
    <w:tbl>
      <w:tblPr>
        <w:tblW w:w="0" w:type="auto"/>
        <w:jc w:val="left"/>
        <w:tblInd w:w="149" w:type="dxa"/>
        <w:tblLayout w:type="fixed"/>
        <w:tblCellMar>
          <w:top w:w="0" w:type="dxa"/>
          <w:left w:w="0" w:type="dxa"/>
          <w:bottom w:w="0" w:type="dxa"/>
          <w:right w:w="0" w:type="dxa"/>
        </w:tblCellMar>
        <w:tblLook w:val="01E0"/>
      </w:tblPr>
      <w:tblGrid>
        <w:gridCol w:w="2694"/>
        <w:gridCol w:w="3824"/>
        <w:gridCol w:w="3051"/>
      </w:tblGrid>
      <w:tr>
        <w:trPr>
          <w:trHeight w:val="3483"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824" w:type="dxa"/>
            <w:tcBorders>
              <w:top w:val="single" w:sz="4" w:space="0" w:color="000000"/>
              <w:left w:val="single" w:sz="4" w:space="0" w:color="000000"/>
              <w:bottom w:val="single" w:sz="4" w:space="0" w:color="000000"/>
              <w:right w:val="single" w:sz="9" w:space="0" w:color="FFFFFF"/>
            </w:tcBorders>
          </w:tcPr>
          <w:p>
            <w:pPr>
              <w:pStyle w:val="TableParagraph"/>
              <w:spacing w:line="304" w:lineRule="auto" w:before="10"/>
              <w:ind w:left="22" w:right="-39"/>
              <w:jc w:val="both"/>
              <w:rPr>
                <w:rFonts w:ascii="宋体" w:hAnsi="宋体" w:cs="宋体" w:eastAsia="宋体" w:hint="default"/>
                <w:sz w:val="18"/>
                <w:szCs w:val="18"/>
              </w:rPr>
            </w:pPr>
            <w:r>
              <w:rPr>
                <w:rFonts w:ascii="宋体" w:hAnsi="宋体" w:cs="宋体" w:eastAsia="宋体" w:hint="default"/>
                <w:spacing w:val="-4"/>
                <w:sz w:val="18"/>
                <w:szCs w:val="18"/>
              </w:rPr>
              <w:t>制环境无效；</w:t>
            </w:r>
            <w:r>
              <w:rPr>
                <w:rFonts w:ascii="Times New Roman" w:hAnsi="Times New Roman" w:cs="Times New Roman" w:eastAsia="Times New Roman" w:hint="default"/>
                <w:spacing w:val="-4"/>
                <w:sz w:val="18"/>
                <w:szCs w:val="18"/>
              </w:rPr>
              <w:t>C</w:t>
            </w:r>
            <w:r>
              <w:rPr>
                <w:rFonts w:ascii="宋体" w:hAnsi="宋体" w:cs="宋体" w:eastAsia="宋体" w:hint="default"/>
                <w:spacing w:val="-4"/>
                <w:sz w:val="18"/>
                <w:szCs w:val="18"/>
              </w:rPr>
              <w:t>、内部监督无效；</w:t>
            </w:r>
            <w:r>
              <w:rPr>
                <w:rFonts w:ascii="Times New Roman" w:hAnsi="Times New Roman" w:cs="Times New Roman" w:eastAsia="Times New Roman" w:hint="default"/>
                <w:spacing w:val="-4"/>
                <w:sz w:val="18"/>
                <w:szCs w:val="18"/>
              </w:rPr>
              <w:t>D</w:t>
            </w:r>
            <w:r>
              <w:rPr>
                <w:rFonts w:ascii="宋体" w:hAnsi="宋体" w:cs="宋体" w:eastAsia="宋体" w:hint="default"/>
                <w:spacing w:val="-4"/>
                <w:sz w:val="18"/>
                <w:szCs w:val="18"/>
              </w:rPr>
              <w:t>、外部审计发</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现重大错报，而公司内部控制过程中未发现该错</w:t>
            </w:r>
            <w:r>
              <w:rPr>
                <w:rFonts w:ascii="宋体" w:hAnsi="宋体" w:cs="宋体" w:eastAsia="宋体" w:hint="default"/>
                <w:sz w:val="18"/>
                <w:szCs w:val="18"/>
              </w:rPr>
              <w:t> 报；重要缺陷：</w:t>
            </w:r>
            <w:r>
              <w:rPr>
                <w:rFonts w:ascii="Times New Roman" w:hAnsi="Times New Roman" w:cs="Times New Roman" w:eastAsia="Times New Roman" w:hint="default"/>
                <w:sz w:val="18"/>
                <w:szCs w:val="18"/>
              </w:rPr>
              <w:t>A</w:t>
            </w:r>
            <w:r>
              <w:rPr>
                <w:rFonts w:ascii="宋体" w:hAnsi="宋体" w:cs="宋体" w:eastAsia="宋体" w:hint="default"/>
                <w:sz w:val="18"/>
                <w:szCs w:val="18"/>
              </w:rPr>
              <w:t>、重要财务控制程序的缺失或 失效；</w:t>
            </w:r>
            <w:r>
              <w:rPr>
                <w:rFonts w:ascii="Times New Roman" w:hAnsi="Times New Roman" w:cs="Times New Roman" w:eastAsia="Times New Roman" w:hint="default"/>
                <w:sz w:val="18"/>
                <w:szCs w:val="18"/>
              </w:rPr>
              <w:t>B</w:t>
            </w:r>
            <w:r>
              <w:rPr>
                <w:rFonts w:ascii="宋体" w:hAnsi="宋体" w:cs="宋体" w:eastAsia="宋体" w:hint="default"/>
                <w:sz w:val="18"/>
                <w:szCs w:val="18"/>
              </w:rPr>
              <w:t>、外部审计发现重要错报，而公司内部 控制过程中未发现该错报；</w:t>
            </w:r>
            <w:r>
              <w:rPr>
                <w:rFonts w:ascii="Times New Roman" w:hAnsi="Times New Roman" w:cs="Times New Roman" w:eastAsia="Times New Roman" w:hint="default"/>
                <w:sz w:val="18"/>
                <w:szCs w:val="18"/>
              </w:rPr>
              <w:t>C</w:t>
            </w:r>
            <w:r>
              <w:rPr>
                <w:rFonts w:ascii="宋体" w:hAnsi="宋体" w:cs="宋体" w:eastAsia="宋体" w:hint="default"/>
                <w:sz w:val="18"/>
                <w:szCs w:val="18"/>
              </w:rPr>
              <w:t>、报告期内提交的 财务报告错误频出；</w:t>
            </w:r>
            <w:r>
              <w:rPr>
                <w:rFonts w:ascii="Times New Roman" w:hAnsi="Times New Roman" w:cs="Times New Roman" w:eastAsia="Times New Roman" w:hint="default"/>
                <w:sz w:val="18"/>
                <w:szCs w:val="18"/>
              </w:rPr>
              <w:t>D</w:t>
            </w:r>
            <w:r>
              <w:rPr>
                <w:rFonts w:ascii="宋体" w:hAnsi="宋体" w:cs="宋体" w:eastAsia="宋体" w:hint="default"/>
                <w:sz w:val="18"/>
                <w:szCs w:val="18"/>
              </w:rPr>
              <w:t>、其他可能影响报表使用 </w:t>
            </w:r>
            <w:r>
              <w:rPr>
                <w:rFonts w:ascii="宋体" w:hAnsi="宋体" w:cs="宋体" w:eastAsia="宋体" w:hint="default"/>
                <w:spacing w:val="-7"/>
                <w:sz w:val="18"/>
                <w:szCs w:val="18"/>
              </w:rPr>
              <w:t>者正确判断的重要缺陷；一般缺陷：除重大缺陷、</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重要缺陷以外的其他内部控制缺陷。</w:t>
            </w:r>
          </w:p>
        </w:tc>
        <w:tc>
          <w:tcPr>
            <w:tcW w:w="3051" w:type="dxa"/>
            <w:tcBorders>
              <w:top w:val="single" w:sz="4" w:space="0" w:color="000000"/>
              <w:left w:val="single" w:sz="9" w:space="0" w:color="FFFFFF"/>
              <w:bottom w:val="single" w:sz="4" w:space="0" w:color="000000"/>
              <w:right w:val="single" w:sz="4" w:space="0" w:color="000000"/>
            </w:tcBorders>
          </w:tcPr>
          <w:p>
            <w:pPr>
              <w:pStyle w:val="TableParagraph"/>
              <w:spacing w:line="304" w:lineRule="auto" w:before="10"/>
              <w:ind w:left="16" w:right="11"/>
              <w:jc w:val="left"/>
              <w:rPr>
                <w:rFonts w:ascii="宋体" w:hAnsi="宋体" w:cs="宋体" w:eastAsia="宋体" w:hint="default"/>
                <w:sz w:val="18"/>
                <w:szCs w:val="18"/>
              </w:rPr>
            </w:pPr>
            <w:r>
              <w:rPr>
                <w:rFonts w:ascii="宋体" w:hAnsi="宋体" w:cs="宋体" w:eastAsia="宋体" w:hint="default"/>
                <w:sz w:val="18"/>
                <w:szCs w:val="18"/>
              </w:rPr>
              <w:t>法律、法规；</w:t>
            </w:r>
            <w:r>
              <w:rPr>
                <w:rFonts w:ascii="Times New Roman" w:hAnsi="Times New Roman" w:cs="Times New Roman" w:eastAsia="Times New Roman" w:hint="default"/>
                <w:sz w:val="18"/>
                <w:szCs w:val="18"/>
              </w:rPr>
              <w:t>C</w:t>
            </w:r>
            <w:r>
              <w:rPr>
                <w:rFonts w:ascii="宋体" w:hAnsi="宋体" w:cs="宋体" w:eastAsia="宋体" w:hint="default"/>
                <w:sz w:val="18"/>
                <w:szCs w:val="18"/>
              </w:rPr>
              <w:t>、中高级层面的管理人 员或关键技术岗位人员流失严重；</w:t>
            </w:r>
            <w:r>
              <w:rPr>
                <w:rFonts w:ascii="Times New Roman" w:hAnsi="Times New Roman" w:cs="Times New Roman" w:eastAsia="Times New Roman" w:hint="default"/>
                <w:sz w:val="18"/>
                <w:szCs w:val="18"/>
              </w:rPr>
              <w:t>D</w:t>
            </w:r>
            <w:r>
              <w:rPr>
                <w:rFonts w:ascii="宋体" w:hAnsi="宋体" w:cs="宋体" w:eastAsia="宋体" w:hint="default"/>
                <w:sz w:val="18"/>
                <w:szCs w:val="18"/>
              </w:rPr>
              <w:t>、 内部控制评价中发现的重大或重要缺 陷未得到整改；</w:t>
            </w:r>
            <w:r>
              <w:rPr>
                <w:rFonts w:ascii="Times New Roman" w:hAnsi="Times New Roman" w:cs="Times New Roman" w:eastAsia="Times New Roman" w:hint="default"/>
                <w:sz w:val="18"/>
                <w:szCs w:val="18"/>
              </w:rPr>
              <w:t>E</w:t>
            </w:r>
            <w:r>
              <w:rPr>
                <w:rFonts w:ascii="宋体" w:hAnsi="宋体" w:cs="宋体" w:eastAsia="宋体" w:hint="default"/>
                <w:sz w:val="18"/>
                <w:szCs w:val="18"/>
              </w:rPr>
              <w:t>、其他对公司产生重 大负面影响的情形；重要缺陷：</w:t>
            </w:r>
            <w:r>
              <w:rPr>
                <w:rFonts w:ascii="Times New Roman" w:hAnsi="Times New Roman" w:cs="Times New Roman" w:eastAsia="Times New Roman" w:hint="default"/>
                <w:sz w:val="18"/>
                <w:szCs w:val="18"/>
              </w:rPr>
              <w:t>A</w:t>
            </w:r>
            <w:r>
              <w:rPr>
                <w:rFonts w:ascii="宋体" w:hAnsi="宋体" w:cs="宋体" w:eastAsia="宋体" w:hint="default"/>
                <w:sz w:val="18"/>
                <w:szCs w:val="18"/>
              </w:rPr>
              <w:t>、关</w:t>
            </w:r>
            <w:r>
              <w:rPr>
                <w:rFonts w:ascii="宋体" w:hAnsi="宋体" w:cs="宋体" w:eastAsia="宋体" w:hint="default"/>
                <w:spacing w:val="-5"/>
                <w:sz w:val="18"/>
                <w:szCs w:val="18"/>
              </w:rPr>
              <w:t> </w:t>
            </w:r>
            <w:r>
              <w:rPr>
                <w:rFonts w:ascii="宋体" w:hAnsi="宋体" w:cs="宋体" w:eastAsia="宋体" w:hint="default"/>
                <w:sz w:val="18"/>
                <w:szCs w:val="18"/>
              </w:rPr>
              <w:t>键业务的决策程序导致一般性失误；</w:t>
            </w:r>
            <w:r>
              <w:rPr>
                <w:rFonts w:ascii="宋体" w:hAnsi="宋体" w:cs="宋体" w:eastAsia="宋体" w:hint="default"/>
                <w:sz w:val="18"/>
                <w:szCs w:val="18"/>
              </w:rPr>
              <w:t> </w:t>
            </w:r>
            <w:r>
              <w:rPr>
                <w:rFonts w:ascii="Times New Roman" w:hAnsi="Times New Roman" w:cs="Times New Roman" w:eastAsia="Times New Roman" w:hint="default"/>
                <w:spacing w:val="-3"/>
                <w:sz w:val="18"/>
                <w:szCs w:val="18"/>
              </w:rPr>
              <w:t>B</w:t>
            </w:r>
            <w:r>
              <w:rPr>
                <w:rFonts w:ascii="宋体" w:hAnsi="宋体" w:cs="宋体" w:eastAsia="宋体" w:hint="default"/>
                <w:spacing w:val="-3"/>
                <w:sz w:val="18"/>
                <w:szCs w:val="18"/>
              </w:rPr>
              <w:t>、重要业务制度或系统存在缺陷；</w:t>
            </w:r>
            <w:r>
              <w:rPr>
                <w:rFonts w:ascii="Times New Roman" w:hAnsi="Times New Roman" w:cs="Times New Roman" w:eastAsia="Times New Roman" w:hint="default"/>
                <w:spacing w:val="-3"/>
                <w:sz w:val="18"/>
                <w:szCs w:val="18"/>
              </w:rPr>
              <w:t>C</w:t>
            </w:r>
            <w:r>
              <w:rPr>
                <w:rFonts w:ascii="Times New Roman" w:hAnsi="Times New Roman" w:cs="Times New Roman" w:eastAsia="Times New Roman" w:hint="default"/>
                <w:spacing w:val="-31"/>
                <w:sz w:val="18"/>
                <w:szCs w:val="18"/>
              </w:rPr>
              <w:t> </w:t>
            </w:r>
            <w:r>
              <w:rPr>
                <w:rFonts w:ascii="宋体" w:hAnsi="宋体" w:cs="宋体" w:eastAsia="宋体" w:hint="default"/>
                <w:sz w:val="18"/>
                <w:szCs w:val="18"/>
              </w:rPr>
              <w:t>关键岗位业务人员流失严重；</w:t>
            </w:r>
            <w:r>
              <w:rPr>
                <w:rFonts w:ascii="Times New Roman" w:hAnsi="Times New Roman" w:cs="Times New Roman" w:eastAsia="Times New Roman" w:hint="default"/>
                <w:sz w:val="18"/>
                <w:szCs w:val="18"/>
              </w:rPr>
              <w:t>D</w:t>
            </w:r>
            <w:r>
              <w:rPr>
                <w:rFonts w:ascii="宋体" w:hAnsi="宋体" w:cs="宋体" w:eastAsia="宋体" w:hint="default"/>
                <w:sz w:val="18"/>
                <w:szCs w:val="18"/>
              </w:rPr>
              <w:t>、其他 </w:t>
            </w:r>
            <w:r>
              <w:rPr>
                <w:rFonts w:ascii="宋体" w:hAnsi="宋体" w:cs="宋体" w:eastAsia="宋体" w:hint="default"/>
                <w:spacing w:val="-4"/>
                <w:sz w:val="18"/>
                <w:szCs w:val="18"/>
              </w:rPr>
              <w:t>对公司产生较大负面影响的情形；一般</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缺陷</w:t>
            </w:r>
            <w:r>
              <w:rPr>
                <w:rFonts w:ascii="Times New Roman" w:hAnsi="Times New Roman" w:cs="Times New Roman" w:eastAsia="Times New Roman" w:hint="default"/>
                <w:sz w:val="18"/>
                <w:szCs w:val="18"/>
              </w:rPr>
              <w:t>:</w:t>
            </w:r>
            <w:r>
              <w:rPr>
                <w:rFonts w:ascii="宋体" w:hAnsi="宋体" w:cs="宋体" w:eastAsia="宋体" w:hint="default"/>
                <w:sz w:val="18"/>
                <w:szCs w:val="18"/>
              </w:rPr>
              <w:t>除重大缺陷、重要缺陷以外的其 他控制缺陷。</w:t>
            </w:r>
          </w:p>
        </w:tc>
      </w:tr>
      <w:tr>
        <w:trPr>
          <w:trHeight w:val="3210"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21"/>
                <w:szCs w:val="21"/>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82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20"/>
              <w:jc w:val="left"/>
              <w:rPr>
                <w:rFonts w:ascii="宋体" w:hAnsi="宋体" w:cs="宋体" w:eastAsia="宋体" w:hint="default"/>
                <w:sz w:val="18"/>
                <w:szCs w:val="18"/>
              </w:rPr>
            </w:pPr>
            <w:r>
              <w:rPr>
                <w:rFonts w:ascii="宋体" w:hAnsi="宋体" w:cs="宋体" w:eastAsia="宋体" w:hint="default"/>
                <w:spacing w:val="-3"/>
                <w:sz w:val="18"/>
                <w:szCs w:val="18"/>
              </w:rPr>
              <w:t>重大缺陷：</w:t>
            </w:r>
            <w:r>
              <w:rPr>
                <w:rFonts w:ascii="Times New Roman" w:hAnsi="Times New Roman" w:cs="Times New Roman" w:eastAsia="Times New Roman" w:hint="default"/>
                <w:spacing w:val="-3"/>
                <w:sz w:val="18"/>
                <w:szCs w:val="18"/>
              </w:rPr>
              <w:t>A</w:t>
            </w:r>
            <w:r>
              <w:rPr>
                <w:rFonts w:ascii="宋体" w:hAnsi="宋体" w:cs="宋体" w:eastAsia="宋体" w:hint="default"/>
                <w:spacing w:val="-3"/>
                <w:sz w:val="18"/>
                <w:szCs w:val="18"/>
              </w:rPr>
              <w:t>、营业收入总额：潜在错报</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营业收</w:t>
            </w:r>
            <w:r>
              <w:rPr>
                <w:rFonts w:ascii="宋体" w:hAnsi="宋体" w:cs="宋体" w:eastAsia="宋体" w:hint="default"/>
                <w:sz w:val="18"/>
                <w:szCs w:val="18"/>
              </w:rPr>
              <w:t> 入总额的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B</w:t>
            </w:r>
            <w:r>
              <w:rPr>
                <w:rFonts w:ascii="宋体" w:hAnsi="宋体" w:cs="宋体" w:eastAsia="宋体" w:hint="default"/>
                <w:sz w:val="18"/>
                <w:szCs w:val="18"/>
              </w:rPr>
              <w:t>、利润总额：潜在错报</w:t>
            </w:r>
            <w:r>
              <w:rPr>
                <w:rFonts w:ascii="Times New Roman" w:hAnsi="Times New Roman" w:cs="Times New Roman" w:eastAsia="Times New Roman" w:hint="default"/>
                <w:sz w:val="18"/>
                <w:szCs w:val="18"/>
              </w:rPr>
              <w:t>≥</w:t>
            </w:r>
            <w:r>
              <w:rPr>
                <w:rFonts w:ascii="宋体" w:hAnsi="宋体" w:cs="宋体" w:eastAsia="宋体" w:hint="default"/>
                <w:sz w:val="18"/>
                <w:szCs w:val="18"/>
              </w:rPr>
              <w:t>利润总 额的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C</w:t>
            </w:r>
            <w:r>
              <w:rPr>
                <w:rFonts w:ascii="宋体" w:hAnsi="宋体" w:cs="宋体" w:eastAsia="宋体" w:hint="default"/>
                <w:sz w:val="18"/>
                <w:szCs w:val="18"/>
              </w:rPr>
              <w:t>、资产总额：潜在错报</w:t>
            </w:r>
            <w:r>
              <w:rPr>
                <w:rFonts w:ascii="Times New Roman" w:hAnsi="Times New Roman" w:cs="Times New Roman" w:eastAsia="Times New Roman" w:hint="default"/>
                <w:sz w:val="18"/>
                <w:szCs w:val="18"/>
              </w:rPr>
              <w:t>≥</w:t>
            </w:r>
            <w:r>
              <w:rPr>
                <w:rFonts w:ascii="宋体" w:hAnsi="宋体" w:cs="宋体" w:eastAsia="宋体" w:hint="default"/>
                <w:sz w:val="18"/>
                <w:szCs w:val="18"/>
              </w:rPr>
              <w:t>资产总额的 </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；重要缺陷：</w:t>
            </w:r>
            <w:r>
              <w:rPr>
                <w:rFonts w:ascii="Times New Roman" w:hAnsi="Times New Roman" w:cs="Times New Roman" w:eastAsia="Times New Roman" w:hint="default"/>
                <w:spacing w:val="-3"/>
                <w:sz w:val="18"/>
                <w:szCs w:val="18"/>
              </w:rPr>
              <w:t>A</w:t>
            </w:r>
            <w:r>
              <w:rPr>
                <w:rFonts w:ascii="宋体" w:hAnsi="宋体" w:cs="宋体" w:eastAsia="宋体" w:hint="default"/>
                <w:spacing w:val="-3"/>
                <w:sz w:val="18"/>
                <w:szCs w:val="18"/>
              </w:rPr>
              <w:t>、营业收入总额：</w:t>
            </w:r>
            <w:r>
              <w:rPr>
                <w:rFonts w:ascii="Times New Roman" w:hAnsi="Times New Roman" w:cs="Times New Roman" w:eastAsia="Times New Roman" w:hint="default"/>
                <w:spacing w:val="-3"/>
                <w:sz w:val="18"/>
                <w:szCs w:val="18"/>
              </w:rPr>
              <w:t>0.5%</w:t>
            </w:r>
            <w:r>
              <w:rPr>
                <w:rFonts w:ascii="Times New Roman" w:hAnsi="Times New Roman" w:cs="Times New Roman" w:eastAsia="Times New Roman" w:hint="default"/>
                <w:spacing w:val="-3"/>
                <w:sz w:val="18"/>
                <w:szCs w:val="18"/>
              </w:rPr>
              <w:t>≤</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潜在</w:t>
            </w:r>
            <w:r>
              <w:rPr>
                <w:rFonts w:ascii="宋体" w:hAnsi="宋体" w:cs="宋体" w:eastAsia="宋体" w:hint="default"/>
                <w:spacing w:val="-88"/>
                <w:sz w:val="18"/>
                <w:szCs w:val="18"/>
              </w:rPr>
              <w:t> </w:t>
            </w:r>
            <w:r>
              <w:rPr>
                <w:rFonts w:ascii="宋体" w:hAnsi="宋体" w:cs="宋体" w:eastAsia="宋体" w:hint="default"/>
                <w:sz w:val="18"/>
                <w:szCs w:val="18"/>
              </w:rPr>
              <w:t>错报＜营业收入总额的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宋体" w:hAnsi="宋体" w:cs="宋体" w:eastAsia="宋体" w:hint="default"/>
                <w:spacing w:val="-41"/>
                <w:sz w:val="18"/>
                <w:szCs w:val="18"/>
              </w:rPr>
              <w:t> </w:t>
            </w:r>
            <w:r>
              <w:rPr>
                <w:rFonts w:ascii="Times New Roman" w:hAnsi="Times New Roman" w:cs="Times New Roman" w:eastAsia="Times New Roman" w:hint="default"/>
                <w:spacing w:val="-9"/>
                <w:sz w:val="18"/>
                <w:szCs w:val="18"/>
              </w:rPr>
              <w:t>B</w:t>
            </w:r>
            <w:r>
              <w:rPr>
                <w:rFonts w:ascii="宋体" w:hAnsi="宋体" w:cs="宋体" w:eastAsia="宋体" w:hint="default"/>
                <w:spacing w:val="-9"/>
                <w:sz w:val="18"/>
                <w:szCs w:val="18"/>
              </w:rPr>
              <w:t>、利润总额：</w:t>
            </w:r>
            <w:r>
              <w:rPr>
                <w:rFonts w:ascii="Times New Roman" w:hAnsi="Times New Roman" w:cs="Times New Roman" w:eastAsia="Times New Roman" w:hint="default"/>
                <w:spacing w:val="-9"/>
                <w:sz w:val="18"/>
                <w:szCs w:val="18"/>
              </w:rPr>
              <w:t>1%</w:t>
            </w:r>
            <w:r>
              <w:rPr>
                <w:rFonts w:ascii="Times New Roman" w:hAnsi="Times New Roman" w:cs="Times New Roman" w:eastAsia="Times New Roman" w:hint="default"/>
                <w:spacing w:val="-9"/>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潜在错报＜利润总额的</w:t>
            </w:r>
            <w:r>
              <w:rPr>
                <w:rFonts w:ascii="宋体" w:hAnsi="宋体" w:cs="宋体" w:eastAsia="宋体" w:hint="default"/>
                <w:spacing w:val="-42"/>
                <w:sz w:val="18"/>
                <w:szCs w:val="18"/>
              </w:rPr>
              <w:t> </w:t>
            </w:r>
            <w:r>
              <w:rPr>
                <w:rFonts w:ascii="Times New Roman" w:hAnsi="Times New Roman" w:cs="Times New Roman" w:eastAsia="Times New Roman" w:hint="default"/>
                <w:spacing w:val="-12"/>
                <w:w w:val="100"/>
                <w:sz w:val="18"/>
                <w:szCs w:val="18"/>
              </w:rPr>
              <w:t>5%</w:t>
            </w:r>
            <w:r>
              <w:rPr>
                <w:rFonts w:ascii="宋体" w:hAnsi="宋体" w:cs="宋体" w:eastAsia="宋体" w:hint="default"/>
                <w:spacing w:val="-12"/>
                <w:w w:val="100"/>
                <w:sz w:val="18"/>
                <w:szCs w:val="18"/>
              </w:rPr>
              <w:t>；</w:t>
            </w:r>
            <w:r>
              <w:rPr>
                <w:rFonts w:ascii="Times New Roman" w:hAnsi="Times New Roman" w:cs="Times New Roman" w:eastAsia="Times New Roman" w:hint="default"/>
                <w:spacing w:val="-12"/>
                <w:w w:val="100"/>
                <w:sz w:val="18"/>
                <w:szCs w:val="18"/>
              </w:rPr>
              <w:t>C</w:t>
            </w:r>
            <w:r>
              <w:rPr>
                <w:rFonts w:ascii="宋体" w:hAnsi="宋体" w:cs="宋体" w:eastAsia="宋体" w:hint="default"/>
                <w:spacing w:val="-12"/>
                <w:w w:val="100"/>
                <w:sz w:val="18"/>
                <w:szCs w:val="18"/>
              </w:rPr>
              <w:t>、资产总额：</w:t>
            </w:r>
            <w:r>
              <w:rPr>
                <w:rFonts w:ascii="Times New Roman" w:hAnsi="Times New Roman" w:cs="Times New Roman" w:eastAsia="Times New Roman" w:hint="default"/>
                <w:spacing w:val="-12"/>
                <w:w w:val="100"/>
                <w:sz w:val="18"/>
                <w:szCs w:val="18"/>
              </w:rPr>
              <w:t>0.5%</w:t>
            </w:r>
            <w:r>
              <w:rPr>
                <w:rFonts w:ascii="Times New Roman" w:hAnsi="Times New Roman" w:cs="Times New Roman" w:eastAsia="Times New Roman" w:hint="default"/>
                <w:spacing w:val="-12"/>
                <w:w w:val="100"/>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潜在错报＜资产总额的</w:t>
            </w:r>
            <w:r>
              <w:rPr>
                <w:rFonts w:ascii="宋体" w:hAnsi="宋体" w:cs="宋体" w:eastAsia="宋体" w:hint="default"/>
                <w:spacing w:val="-44"/>
                <w:sz w:val="18"/>
                <w:szCs w:val="18"/>
              </w:rPr>
              <w:t> </w:t>
            </w: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；一般缺陷：</w:t>
            </w:r>
            <w:r>
              <w:rPr>
                <w:rFonts w:ascii="Times New Roman" w:hAnsi="Times New Roman" w:cs="Times New Roman" w:eastAsia="Times New Roman" w:hint="default"/>
                <w:spacing w:val="-6"/>
                <w:sz w:val="18"/>
                <w:szCs w:val="18"/>
              </w:rPr>
              <w:t>A</w:t>
            </w:r>
            <w:r>
              <w:rPr>
                <w:rFonts w:ascii="宋体" w:hAnsi="宋体" w:cs="宋体" w:eastAsia="宋体" w:hint="default"/>
                <w:spacing w:val="-6"/>
                <w:sz w:val="18"/>
                <w:szCs w:val="18"/>
              </w:rPr>
              <w:t>、营业</w:t>
            </w:r>
            <w:r>
              <w:rPr>
                <w:rFonts w:ascii="宋体" w:hAnsi="宋体" w:cs="宋体" w:eastAsia="宋体" w:hint="default"/>
                <w:sz w:val="18"/>
                <w:szCs w:val="18"/>
              </w:rPr>
              <w:t> 收入总额：潜在错报＜ 营业收入总额的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 </w:t>
            </w:r>
            <w:r>
              <w:rPr>
                <w:rFonts w:ascii="Times New Roman" w:hAnsi="Times New Roman" w:cs="Times New Roman" w:eastAsia="Times New Roman" w:hint="default"/>
                <w:spacing w:val="-6"/>
                <w:sz w:val="18"/>
                <w:szCs w:val="18"/>
              </w:rPr>
              <w:t>B</w:t>
            </w:r>
            <w:r>
              <w:rPr>
                <w:rFonts w:ascii="宋体" w:hAnsi="宋体" w:cs="宋体" w:eastAsia="宋体" w:hint="default"/>
                <w:spacing w:val="-6"/>
                <w:sz w:val="18"/>
                <w:szCs w:val="18"/>
              </w:rPr>
              <w:t>、利润总额：潜在错报＜</w:t>
            </w:r>
            <w:r>
              <w:rPr>
                <w:rFonts w:ascii="宋体" w:hAnsi="宋体" w:cs="宋体" w:eastAsia="宋体" w:hint="default"/>
                <w:spacing w:val="3"/>
                <w:sz w:val="18"/>
                <w:szCs w:val="18"/>
              </w:rPr>
              <w:t> </w:t>
            </w:r>
            <w:r>
              <w:rPr>
                <w:rFonts w:ascii="宋体" w:hAnsi="宋体" w:cs="宋体" w:eastAsia="宋体" w:hint="default"/>
                <w:sz w:val="18"/>
                <w:szCs w:val="18"/>
              </w:rPr>
              <w:t>利润总额的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宋体" w:hAnsi="宋体" w:cs="宋体" w:eastAsia="宋体" w:hint="default"/>
                <w:spacing w:val="-27"/>
                <w:sz w:val="18"/>
                <w:szCs w:val="18"/>
              </w:rPr>
              <w:t> </w:t>
            </w:r>
            <w:r>
              <w:rPr>
                <w:rFonts w:ascii="Times New Roman" w:hAnsi="Times New Roman" w:cs="Times New Roman" w:eastAsia="Times New Roman" w:hint="default"/>
                <w:sz w:val="18"/>
                <w:szCs w:val="18"/>
              </w:rPr>
              <w:t>C</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资产总额：潜在错报＜ 资产总额的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宋体" w:hAnsi="宋体" w:cs="宋体" w:eastAsia="宋体" w:hint="default"/>
                <w:sz w:val="18"/>
                <w:szCs w:val="18"/>
              </w:rPr>
              <w:t>。</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5"/>
                <w:szCs w:val="15"/>
              </w:rPr>
            </w:pPr>
          </w:p>
          <w:p>
            <w:pPr>
              <w:pStyle w:val="TableParagraph"/>
              <w:spacing w:line="309" w:lineRule="auto"/>
              <w:ind w:left="22" w:right="31"/>
              <w:jc w:val="both"/>
              <w:rPr>
                <w:rFonts w:ascii="Times New Roman" w:hAnsi="Times New Roman" w:cs="Times New Roman" w:eastAsia="Times New Roman" w:hint="default"/>
                <w:sz w:val="18"/>
                <w:szCs w:val="18"/>
              </w:rPr>
            </w:pPr>
            <w:r>
              <w:rPr>
                <w:rFonts w:ascii="宋体" w:hAnsi="宋体" w:cs="宋体" w:eastAsia="宋体" w:hint="default"/>
                <w:sz w:val="18"/>
                <w:szCs w:val="18"/>
              </w:rPr>
              <w:t>重大缺陷： 损失金额占上年经审计的 利润总额的 </w:t>
            </w:r>
            <w:r>
              <w:rPr>
                <w:rFonts w:ascii="Times New Roman" w:hAnsi="Times New Roman" w:cs="Times New Roman" w:eastAsia="Times New Roman" w:hint="default"/>
                <w:spacing w:val="-4"/>
                <w:sz w:val="18"/>
                <w:szCs w:val="18"/>
              </w:rPr>
              <w:t>5%</w:t>
            </w:r>
            <w:r>
              <w:rPr>
                <w:rFonts w:ascii="宋体" w:hAnsi="宋体" w:cs="宋体" w:eastAsia="宋体" w:hint="default"/>
                <w:spacing w:val="-4"/>
                <w:sz w:val="18"/>
                <w:szCs w:val="18"/>
              </w:rPr>
              <w:t>及以上；重要缺陷</w:t>
            </w:r>
            <w:r>
              <w:rPr>
                <w:rFonts w:ascii="宋体" w:hAnsi="宋体" w:cs="宋体" w:eastAsia="宋体" w:hint="default"/>
                <w:spacing w:val="-46"/>
                <w:sz w:val="18"/>
                <w:szCs w:val="18"/>
              </w:rPr>
              <w:t> </w:t>
            </w:r>
            <w:r>
              <w:rPr>
                <w:rFonts w:ascii="宋体" w:hAnsi="宋体" w:cs="宋体" w:eastAsia="宋体" w:hint="default"/>
                <w:spacing w:val="-40"/>
                <w:sz w:val="18"/>
                <w:szCs w:val="18"/>
              </w:rPr>
              <w:t>：损</w:t>
            </w:r>
            <w:r>
              <w:rPr>
                <w:rFonts w:ascii="宋体" w:hAnsi="宋体" w:cs="宋体" w:eastAsia="宋体" w:hint="default"/>
                <w:spacing w:val="-40"/>
                <w:sz w:val="18"/>
                <w:szCs w:val="18"/>
              </w:rPr>
              <w:t> </w:t>
            </w:r>
            <w:r>
              <w:rPr>
                <w:rFonts w:ascii="宋体" w:hAnsi="宋体" w:cs="宋体" w:eastAsia="宋体" w:hint="default"/>
                <w:sz w:val="18"/>
                <w:szCs w:val="18"/>
              </w:rPr>
              <w:t>失金额占上年经审计的利润总额的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p>
            <w:pPr>
              <w:pStyle w:val="TableParagraph"/>
              <w:spacing w:line="309" w:lineRule="auto" w:before="5"/>
              <w:ind w:left="22" w:right="19"/>
              <w:jc w:val="left"/>
              <w:rPr>
                <w:rFonts w:ascii="宋体" w:hAnsi="宋体" w:cs="宋体" w:eastAsia="宋体" w:hint="default"/>
                <w:sz w:val="18"/>
                <w:szCs w:val="18"/>
              </w:rPr>
            </w:pPr>
            <w:r>
              <w:rPr>
                <w:rFonts w:ascii="宋体" w:hAnsi="宋体" w:cs="宋体" w:eastAsia="宋体" w:hint="default"/>
                <w:sz w:val="18"/>
                <w:szCs w:val="18"/>
              </w:rPr>
              <w:t>（含</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w:t>
            </w:r>
            <w:r>
              <w:rPr>
                <w:rFonts w:ascii="宋体" w:hAnsi="宋体" w:cs="宋体" w:eastAsia="宋体" w:hint="default"/>
                <w:sz w:val="18"/>
                <w:szCs w:val="18"/>
              </w:rPr>
              <w:t>）至</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；一般缺陷</w:t>
            </w:r>
            <w:r>
              <w:rPr>
                <w:rFonts w:ascii="宋体" w:hAnsi="宋体" w:cs="宋体" w:eastAsia="宋体" w:hint="default"/>
                <w:spacing w:val="-3"/>
                <w:sz w:val="18"/>
                <w:szCs w:val="18"/>
              </w:rPr>
              <w:t> </w:t>
            </w:r>
            <w:r>
              <w:rPr>
                <w:rFonts w:ascii="宋体" w:hAnsi="宋体" w:cs="宋体" w:eastAsia="宋体" w:hint="default"/>
                <w:sz w:val="18"/>
                <w:szCs w:val="18"/>
              </w:rPr>
              <w:t>：损失金</w:t>
            </w:r>
            <w:r>
              <w:rPr>
                <w:rFonts w:ascii="宋体" w:hAnsi="宋体" w:cs="宋体" w:eastAsia="宋体" w:hint="default"/>
                <w:sz w:val="18"/>
                <w:szCs w:val="18"/>
              </w:rPr>
              <w:t> 额小于占上年经审计的利润总额的 </w:t>
            </w:r>
            <w:r>
              <w:rPr>
                <w:rFonts w:ascii="Times New Roman" w:hAnsi="Times New Roman" w:cs="Times New Roman" w:eastAsia="Times New Roman" w:hint="default"/>
                <w:sz w:val="18"/>
                <w:szCs w:val="18"/>
              </w:rPr>
              <w:t>1%</w:t>
            </w:r>
            <w:r>
              <w:rPr>
                <w:rFonts w:ascii="宋体" w:hAnsi="宋体" w:cs="宋体" w:eastAsia="宋体" w:hint="default"/>
                <w:sz w:val="18"/>
                <w:szCs w:val="18"/>
              </w:rPr>
              <w:t>。</w:t>
            </w: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2"/>
              <w:ind w:right="0"/>
              <w:jc w:val="left"/>
              <w:rPr>
                <w:rFonts w:ascii="宋体" w:hAnsi="宋体" w:cs="宋体" w:eastAsia="宋体" w:hint="default"/>
                <w:b/>
                <w:bCs/>
                <w:sz w:val="16"/>
                <w:szCs w:val="16"/>
              </w:rPr>
            </w:pPr>
          </w:p>
          <w:p>
            <w:pPr>
              <w:pStyle w:val="TableParagraph"/>
              <w:spacing w:line="624" w:lineRule="exact"/>
              <w:ind w:right="-51"/>
              <w:jc w:val="left"/>
              <w:rPr>
                <w:rFonts w:ascii="宋体" w:hAnsi="宋体" w:cs="宋体" w:eastAsia="宋体" w:hint="default"/>
                <w:sz w:val="20"/>
                <w:szCs w:val="20"/>
              </w:rPr>
            </w:pPr>
            <w:r>
              <w:rPr>
                <w:rFonts w:ascii="宋体" w:hAnsi="宋体" w:cs="宋体" w:eastAsia="宋体" w:hint="default"/>
                <w:position w:val="-11"/>
                <w:sz w:val="20"/>
                <w:szCs w:val="20"/>
              </w:rPr>
              <w:pict>
                <v:group style="width:152.1pt;height:31.2pt;mso-position-horizontal-relative:char;mso-position-vertical-relative:line" coordorigin="0,0" coordsize="3042,624">
                  <v:group style="position:absolute;left:0;top:0;width:3042;height:624" coordorigin="0,0" coordsize="3042,624">
                    <v:shape style="position:absolute;left:0;top:0;width:3042;height:624" coordorigin="0,0" coordsize="3042,624" path="m0,624l3041,624,3041,0,0,0,0,624xe" filled="true" fillcolor="#ffffff" stroked="false">
                      <v:path arrowok="t"/>
                      <v:fill type="solid"/>
                    </v:shape>
                  </v:group>
                </v:group>
              </w:pict>
            </w:r>
            <w:r>
              <w:rPr>
                <w:rFonts w:ascii="宋体" w:hAnsi="宋体" w:cs="宋体" w:eastAsia="宋体" w:hint="default"/>
                <w:position w:val="-11"/>
                <w:sz w:val="20"/>
                <w:szCs w:val="20"/>
              </w:rPr>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8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8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8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26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8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2"/>
        <w:rPr>
          <w:rFonts w:ascii="宋体" w:hAnsi="宋体" w:cs="宋体" w:eastAsia="宋体" w:hint="default"/>
          <w:b/>
          <w:bCs/>
          <w:sz w:val="18"/>
          <w:szCs w:val="18"/>
        </w:rPr>
      </w:pPr>
    </w:p>
    <w:p>
      <w:pPr>
        <w:pStyle w:val="Heading2"/>
        <w:spacing w:line="240" w:lineRule="auto" w:before="26"/>
        <w:ind w:right="1134"/>
        <w:jc w:val="left"/>
        <w:rPr>
          <w:b w:val="0"/>
          <w:bCs w:val="0"/>
        </w:rPr>
      </w:pPr>
      <w:r>
        <w:rPr/>
        <w:pict>
          <v:shape style="position:absolute;margin-left:376.660004pt;margin-top:-123.964363pt;width:158.25pt;height:31.2pt;mso-position-horizontal-relative:page;mso-position-vertical-relative:paragraph;z-index:-1012576" type="#_x0000_t202" filled="false" stroked="false">
            <v:textbox inset="0,0,0,0">
              <w:txbxContent>
                <w:p>
                  <w:pPr>
                    <w:pStyle w:val="BodyText"/>
                    <w:spacing w:line="205" w:lineRule="exact"/>
                    <w:ind w:left="0" w:right="0"/>
                    <w:jc w:val="left"/>
                  </w:pPr>
                  <w:r>
                    <w:rPr/>
                    <w:t>、</w:t>
                  </w:r>
                </w:p>
              </w:txbxContent>
            </v:textbox>
            <w10:wrap type="none"/>
          </v:shape>
        </w:pict>
      </w:r>
      <w:bookmarkStart w:name="十、内部控制审计报告或鉴证报告" w:id="147"/>
      <w:bookmarkEnd w:id="147"/>
      <w:r>
        <w:rPr>
          <w:b w:val="0"/>
          <w:bCs w:val="0"/>
        </w:rPr>
      </w:r>
      <w:r>
        <w:rPr/>
        <w:t>十、内部控制审计报告或鉴证报告</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4"/>
        <w:jc w:val="left"/>
      </w:pPr>
      <w:r>
        <w:rPr/>
        <w:t>不适用</w:t>
      </w:r>
    </w:p>
    <w:p>
      <w:pPr>
        <w:spacing w:after="0" w:line="240"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126" w:right="1134"/>
        <w:jc w:val="left"/>
        <w:rPr>
          <w:b w:val="0"/>
          <w:bCs w:val="0"/>
        </w:rPr>
      </w:pPr>
      <w:bookmarkStart w:name="第十节 公司债券相关情况" w:id="148"/>
      <w:bookmarkEnd w:id="148"/>
      <w:r>
        <w:rPr>
          <w:b w:val="0"/>
          <w:bCs w:val="0"/>
        </w:rPr>
      </w:r>
      <w:bookmarkStart w:name="_bookmark9" w:id="149"/>
      <w:bookmarkEnd w:id="149"/>
      <w:r>
        <w:rPr>
          <w:b w:val="0"/>
          <w:bCs w:val="0"/>
        </w:rPr>
      </w:r>
      <w:r>
        <w:rPr/>
        <w:t>第十节</w:t>
      </w:r>
      <w:r>
        <w:rPr>
          <w:spacing w:val="-9"/>
        </w:rPr>
        <w:t> </w:t>
      </w:r>
      <w:r>
        <w:rPr/>
        <w:t>公司债券相关情况</w:t>
      </w:r>
      <w:r>
        <w:rPr>
          <w:b w:val="0"/>
          <w:bCs w:val="0"/>
        </w:rPr>
      </w:r>
    </w:p>
    <w:p>
      <w:pPr>
        <w:spacing w:line="240" w:lineRule="auto" w:before="8"/>
        <w:rPr>
          <w:rFonts w:ascii="宋体" w:hAnsi="宋体" w:cs="宋体" w:eastAsia="宋体" w:hint="default"/>
          <w:b/>
          <w:bCs/>
          <w:sz w:val="42"/>
          <w:szCs w:val="42"/>
        </w:rPr>
      </w:pPr>
    </w:p>
    <w:p>
      <w:pPr>
        <w:pStyle w:val="BodyText"/>
        <w:spacing w:line="357" w:lineRule="auto"/>
        <w:ind w:right="2112"/>
        <w:jc w:val="left"/>
      </w:pPr>
      <w:r>
        <w:rPr/>
        <w:t>公司是否存在公开发行并在证券交易所上市，且在年度报告批准报出日未到期或到期未能全额兑付的公司债券 否</w:t>
      </w:r>
    </w:p>
    <w:p>
      <w:pPr>
        <w:spacing w:after="0" w:line="357" w:lineRule="auto"/>
        <w:jc w:val="left"/>
        <w:sectPr>
          <w:pgSz w:w="11910" w:h="16840"/>
          <w:pgMar w:header="747" w:footer="979" w:top="106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left="3608" w:right="1134"/>
        <w:jc w:val="left"/>
        <w:rPr>
          <w:b w:val="0"/>
          <w:bCs w:val="0"/>
        </w:rPr>
      </w:pPr>
      <w:bookmarkStart w:name="第十一节 财务报告" w:id="150"/>
      <w:bookmarkEnd w:id="150"/>
      <w:r>
        <w:rPr>
          <w:b w:val="0"/>
          <w:bCs w:val="0"/>
        </w:rPr>
      </w:r>
      <w:bookmarkStart w:name="_bookmark10" w:id="151"/>
      <w:bookmarkEnd w:id="151"/>
      <w:r>
        <w:rPr>
          <w:b w:val="0"/>
          <w:bCs w:val="0"/>
        </w:rPr>
      </w:r>
      <w:r>
        <w:rPr/>
        <w:t>第十一节</w:t>
      </w:r>
      <w:r>
        <w:rPr>
          <w:spacing w:val="-6"/>
        </w:rPr>
        <w:t> </w:t>
      </w:r>
      <w:r>
        <w:rPr/>
        <w:t>财务报告</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2"/>
        <w:spacing w:line="240" w:lineRule="auto" w:before="26"/>
        <w:ind w:right="1134"/>
        <w:jc w:val="left"/>
        <w:rPr>
          <w:b w:val="0"/>
          <w:bCs w:val="0"/>
        </w:rPr>
      </w:pPr>
      <w:bookmarkStart w:name="一、审计报告" w:id="152"/>
      <w:bookmarkEnd w:id="152"/>
      <w:r>
        <w:rPr>
          <w:b w:val="0"/>
          <w:bCs w:val="0"/>
        </w:rPr>
      </w: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4"/>
        <w:gridCol w:w="4785"/>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大华会计师事务所（特殊普通合伙）</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大华审字</w:t>
            </w:r>
            <w:r>
              <w:rPr>
                <w:rFonts w:ascii="Times New Roman" w:hAnsi="Times New Roman" w:cs="Times New Roman" w:eastAsia="Times New Roman" w:hint="default"/>
                <w:sz w:val="18"/>
                <w:szCs w:val="18"/>
              </w:rPr>
              <w:t>[2019]004294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陈葆华、周灵芝</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宋体" w:hAnsi="宋体" w:cs="宋体" w:eastAsia="宋体" w:hint="default"/>
          <w:b/>
          <w:bCs/>
          <w:sz w:val="18"/>
          <w:szCs w:val="18"/>
        </w:rPr>
      </w:pPr>
    </w:p>
    <w:p>
      <w:pPr>
        <w:spacing w:line="240" w:lineRule="auto" w:before="9"/>
        <w:rPr>
          <w:rFonts w:ascii="宋体" w:hAnsi="宋体" w:cs="宋体" w:eastAsia="宋体" w:hint="default"/>
          <w:b/>
          <w:bCs/>
          <w:sz w:val="12"/>
          <w:szCs w:val="12"/>
        </w:rPr>
      </w:pPr>
    </w:p>
    <w:p>
      <w:pPr>
        <w:spacing w:line="360" w:lineRule="auto" w:before="0"/>
        <w:ind w:left="515" w:right="-19" w:hanging="362"/>
        <w:jc w:val="left"/>
        <w:rPr>
          <w:rFonts w:ascii="宋体" w:hAnsi="宋体" w:cs="宋体" w:eastAsia="宋体" w:hint="default"/>
          <w:sz w:val="18"/>
          <w:szCs w:val="18"/>
        </w:rPr>
      </w:pPr>
      <w:r>
        <w:rPr>
          <w:rFonts w:ascii="宋体" w:hAnsi="宋体" w:cs="宋体" w:eastAsia="宋体" w:hint="default"/>
          <w:sz w:val="18"/>
          <w:szCs w:val="18"/>
        </w:rPr>
        <w:t>深圳市优博讯科技股份有限公司全体股东： </w:t>
      </w:r>
      <w:r>
        <w:rPr>
          <w:rFonts w:ascii="宋体" w:hAnsi="宋体" w:cs="宋体" w:eastAsia="宋体" w:hint="default"/>
          <w:b/>
          <w:bCs/>
          <w:sz w:val="18"/>
          <w:szCs w:val="18"/>
        </w:rPr>
        <w:t>一、审计意见</w:t>
      </w:r>
      <w:r>
        <w:rPr>
          <w:rFonts w:ascii="宋体" w:hAnsi="宋体" w:cs="宋体" w:eastAsia="宋体" w:hint="default"/>
          <w:sz w:val="18"/>
          <w:szCs w:val="18"/>
        </w:rPr>
      </w:r>
    </w:p>
    <w:p>
      <w:pPr>
        <w:pStyle w:val="BodyText"/>
        <w:spacing w:line="240" w:lineRule="auto" w:before="51"/>
        <w:ind w:left="153" w:right="0"/>
        <w:jc w:val="left"/>
      </w:pPr>
      <w:r>
        <w:rPr/>
        <w:br w:type="column"/>
      </w:r>
      <w:r>
        <w:rPr/>
        <w:t>审计报告正文</w:t>
      </w:r>
    </w:p>
    <w:p>
      <w:pPr>
        <w:spacing w:after="0" w:line="240" w:lineRule="auto"/>
        <w:jc w:val="left"/>
        <w:sectPr>
          <w:type w:val="continuous"/>
          <w:pgSz w:w="11910" w:h="16840"/>
          <w:pgMar w:top="1060" w:bottom="1160" w:left="980" w:right="0"/>
          <w:cols w:num="2" w:equalWidth="0">
            <w:col w:w="3575" w:space="705"/>
            <w:col w:w="6650"/>
          </w:cols>
        </w:sectPr>
      </w:pPr>
    </w:p>
    <w:p>
      <w:pPr>
        <w:pStyle w:val="BodyText"/>
        <w:spacing w:line="300" w:lineRule="auto" w:before="26"/>
        <w:ind w:right="1130" w:firstLine="360"/>
        <w:jc w:val="both"/>
      </w:pPr>
      <w:r>
        <w:rPr>
          <w:spacing w:val="-1"/>
        </w:rPr>
        <w:t>我们审计了深圳市优博讯科技股份有限公司</w:t>
      </w:r>
      <w:r>
        <w:rPr>
          <w:rFonts w:ascii="Times New Roman" w:hAnsi="Times New Roman" w:cs="Times New Roman" w:eastAsia="Times New Roman" w:hint="default"/>
          <w:spacing w:val="-1"/>
        </w:rPr>
        <w:t>(</w:t>
      </w:r>
      <w:r>
        <w:rPr>
          <w:spacing w:val="-1"/>
        </w:rPr>
        <w:t>以下简称深圳优博讯公司</w:t>
      </w:r>
      <w:r>
        <w:rPr>
          <w:rFonts w:ascii="Times New Roman" w:hAnsi="Times New Roman" w:cs="Times New Roman" w:eastAsia="Times New Roman" w:hint="default"/>
          <w:spacing w:val="-1"/>
        </w:rPr>
        <w:t>)</w:t>
      </w:r>
      <w:r>
        <w:rPr>
          <w:spacing w:val="-1"/>
        </w:rPr>
        <w:t>财务报表，包括</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日的合并及母公司</w:t>
      </w:r>
      <w:r>
        <w:rPr/>
        <w:t> </w:t>
      </w:r>
      <w:r>
        <w:rPr>
          <w:spacing w:val="-2"/>
        </w:rPr>
        <w:t>资产负债表，</w:t>
      </w:r>
      <w:r>
        <w:rPr>
          <w:rFonts w:ascii="Times New Roman" w:hAnsi="Times New Roman" w:cs="Times New Roman" w:eastAsia="Times New Roman" w:hint="default"/>
          <w:spacing w:val="-2"/>
        </w:rPr>
        <w:t>2018</w:t>
      </w:r>
      <w:r>
        <w:rPr>
          <w:spacing w:val="-2"/>
        </w:rPr>
        <w:t>年度的合并及母公司利润表、合并及母公司现金流量表、合并及母公司股东权益变动表以及相关财务报表</w:t>
      </w:r>
      <w:r>
        <w:rPr>
          <w:spacing w:val="-62"/>
        </w:rPr>
        <w:t> </w:t>
      </w:r>
      <w:r>
        <w:rPr>
          <w:spacing w:val="-62"/>
        </w:rPr>
      </w:r>
      <w:r>
        <w:rPr/>
        <w:t>附注。</w:t>
      </w:r>
    </w:p>
    <w:p>
      <w:pPr>
        <w:pStyle w:val="BodyText"/>
        <w:spacing w:line="302" w:lineRule="auto" w:before="70"/>
        <w:ind w:right="1229" w:firstLine="360"/>
        <w:jc w:val="both"/>
      </w:pPr>
      <w:r>
        <w:rPr/>
        <w:t>我们认为，后附的财务报表在所有重大方面按照企业会计准则的规定编制，公允反映了深圳优博讯公司</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 </w:t>
      </w:r>
      <w:r>
        <w:rPr/>
        <w:t>日的合并及母公司财务状况以及</w:t>
      </w:r>
      <w:r>
        <w:rPr>
          <w:rFonts w:ascii="Times New Roman" w:hAnsi="Times New Roman" w:cs="Times New Roman" w:eastAsia="Times New Roman" w:hint="default"/>
        </w:rPr>
        <w:t>2018</w:t>
      </w:r>
      <w:r>
        <w:rPr/>
        <w:t>年度的合并及母公司经营成果和现金流量。</w:t>
      </w:r>
    </w:p>
    <w:p>
      <w:pPr>
        <w:pStyle w:val="BodyText"/>
        <w:spacing w:line="357" w:lineRule="auto" w:before="52"/>
        <w:ind w:left="514" w:right="1134" w:firstLine="1"/>
        <w:jc w:val="left"/>
      </w:pPr>
      <w:r>
        <w:rPr>
          <w:rFonts w:ascii="宋体" w:hAnsi="宋体" w:cs="宋体" w:eastAsia="宋体" w:hint="default"/>
          <w:b/>
          <w:bCs/>
        </w:rPr>
        <w:t>二、形成审计意见的基础</w:t>
      </w:r>
      <w:r>
        <w:rPr>
          <w:rFonts w:ascii="宋体" w:hAnsi="宋体" w:cs="宋体" w:eastAsia="宋体" w:hint="default"/>
          <w:b/>
          <w:bCs/>
          <w:w w:val="99"/>
        </w:rPr>
        <w:t> </w:t>
      </w:r>
      <w:r>
        <w:rPr>
          <w:spacing w:val="-2"/>
        </w:rPr>
        <w:t>我们按照中国注册会计师审计准则的规定执行了审计工作。审计报告的</w:t>
      </w:r>
      <w:r>
        <w:rPr>
          <w:rFonts w:ascii="Times New Roman" w:hAnsi="Times New Roman" w:cs="Times New Roman" w:eastAsia="Times New Roman" w:hint="default"/>
          <w:spacing w:val="-2"/>
        </w:rPr>
        <w:t>“</w:t>
      </w:r>
      <w:r>
        <w:rPr>
          <w:spacing w:val="-2"/>
        </w:rPr>
        <w:t>注册会计师对财务报表审计的责任</w:t>
      </w:r>
      <w:r>
        <w:rPr>
          <w:rFonts w:ascii="Times New Roman" w:hAnsi="Times New Roman" w:cs="Times New Roman" w:eastAsia="Times New Roman" w:hint="default"/>
          <w:spacing w:val="-2"/>
        </w:rPr>
        <w:t>”</w:t>
      </w:r>
      <w:r>
        <w:rPr>
          <w:spacing w:val="-2"/>
        </w:rPr>
        <w:t>部分进一步</w:t>
      </w:r>
    </w:p>
    <w:p>
      <w:pPr>
        <w:pStyle w:val="BodyText"/>
        <w:spacing w:line="201" w:lineRule="exact"/>
        <w:ind w:right="0"/>
        <w:jc w:val="left"/>
      </w:pPr>
      <w:r>
        <w:rPr/>
        <w:t>阐述了我们在这些准则下的责任。按照中国注册会计师职业道德守则，我们独立于深圳优博讯公司，并履行了职业道德方面</w:t>
      </w:r>
    </w:p>
    <w:p>
      <w:pPr>
        <w:pStyle w:val="BodyText"/>
        <w:spacing w:line="357" w:lineRule="auto" w:before="77"/>
        <w:ind w:left="515" w:right="3373" w:hanging="362"/>
        <w:jc w:val="left"/>
        <w:rPr>
          <w:rFonts w:ascii="宋体" w:hAnsi="宋体" w:cs="宋体" w:eastAsia="宋体" w:hint="default"/>
        </w:rPr>
      </w:pPr>
      <w:r>
        <w:rPr/>
        <w:t>的其他责任。我们相信，我们获取的审计证据是充分、适当的，为发表审计意见提供了基础。 </w:t>
      </w:r>
      <w:r>
        <w:rPr>
          <w:rFonts w:ascii="宋体" w:hAnsi="宋体" w:cs="宋体" w:eastAsia="宋体" w:hint="default"/>
          <w:b/>
          <w:bCs/>
        </w:rPr>
        <w:t>三、关键审计事项</w:t>
      </w:r>
      <w:r>
        <w:rPr>
          <w:rFonts w:ascii="宋体" w:hAnsi="宋体" w:cs="宋体" w:eastAsia="宋体" w:hint="default"/>
        </w:rPr>
      </w:r>
    </w:p>
    <w:p>
      <w:pPr>
        <w:pStyle w:val="BodyText"/>
        <w:spacing w:line="319" w:lineRule="auto" w:before="28"/>
        <w:ind w:right="1132" w:firstLine="360"/>
        <w:jc w:val="both"/>
      </w:pPr>
      <w:r>
        <w:rPr>
          <w:spacing w:val="-2"/>
        </w:rPr>
        <w:t>关键审计事项是我们根据职业判断，认为对本期财务报表审计最为重要的事项。这些事项的应对以对财务报表整体进行</w:t>
      </w:r>
      <w:r>
        <w:rPr/>
        <w:t> 审计并形成审计意见为背景，我们不对这些事项单独发表意见。</w:t>
      </w:r>
    </w:p>
    <w:p>
      <w:pPr>
        <w:pStyle w:val="BodyText"/>
        <w:spacing w:line="240" w:lineRule="auto" w:before="56"/>
        <w:ind w:left="514" w:right="1134"/>
        <w:jc w:val="left"/>
      </w:pPr>
      <w:r>
        <w:rPr/>
        <w:t>我们确定下列事项是需要在审计报告中沟通的关键审计事项。</w:t>
      </w:r>
    </w:p>
    <w:p>
      <w:pPr>
        <w:pStyle w:val="BodyText"/>
        <w:spacing w:line="240" w:lineRule="auto" w:before="116"/>
        <w:ind w:left="514" w:right="1134"/>
        <w:jc w:val="left"/>
      </w:pPr>
      <w:r>
        <w:rPr>
          <w:rFonts w:ascii="Times New Roman" w:hAnsi="Times New Roman" w:cs="Times New Roman" w:eastAsia="Times New Roman" w:hint="default"/>
        </w:rPr>
        <w:t>1.</w:t>
      </w:r>
      <w:r>
        <w:rPr/>
        <w:t>存货跌价准备；</w:t>
      </w:r>
    </w:p>
    <w:p>
      <w:pPr>
        <w:pStyle w:val="BodyText"/>
        <w:spacing w:line="240" w:lineRule="auto" w:before="103"/>
        <w:ind w:left="514" w:right="1134"/>
        <w:jc w:val="left"/>
      </w:pPr>
      <w:r>
        <w:rPr>
          <w:rFonts w:ascii="Times New Roman" w:hAnsi="Times New Roman" w:cs="Times New Roman" w:eastAsia="Times New Roman" w:hint="default"/>
        </w:rPr>
        <w:t>2.</w:t>
      </w:r>
      <w:r>
        <w:rPr/>
        <w:t>收入确认；</w:t>
      </w:r>
    </w:p>
    <w:p>
      <w:pPr>
        <w:pStyle w:val="BodyText"/>
        <w:spacing w:line="338" w:lineRule="auto" w:before="102"/>
        <w:ind w:left="514" w:right="9012"/>
        <w:jc w:val="left"/>
      </w:pPr>
      <w:r>
        <w:rPr>
          <w:rFonts w:ascii="Times New Roman" w:hAnsi="Times New Roman" w:cs="Times New Roman" w:eastAsia="Times New Roman" w:hint="default"/>
        </w:rPr>
        <w:t>3.</w:t>
      </w:r>
      <w:r>
        <w:rPr/>
        <w:t>商誉减值。 </w:t>
      </w:r>
      <w:r>
        <w:rPr>
          <w:rFonts w:ascii="Times New Roman" w:hAnsi="Times New Roman" w:cs="Times New Roman" w:eastAsia="Times New Roman" w:hint="default"/>
        </w:rPr>
        <w:t>(</w:t>
      </w:r>
      <w:r>
        <w:rPr/>
        <w:t>一</w:t>
      </w:r>
      <w:r>
        <w:rPr>
          <w:rFonts w:ascii="Times New Roman" w:hAnsi="Times New Roman" w:cs="Times New Roman" w:eastAsia="Times New Roman" w:hint="default"/>
        </w:rPr>
        <w:t>)</w:t>
      </w:r>
      <w:r>
        <w:rPr/>
        <w:t>存货跌价准备 </w:t>
      </w:r>
      <w:r>
        <w:rPr>
          <w:rFonts w:ascii="Times New Roman" w:hAnsi="Times New Roman" w:cs="Times New Roman" w:eastAsia="Times New Roman" w:hint="default"/>
        </w:rPr>
        <w:t>1.</w:t>
      </w:r>
      <w:r>
        <w:rPr/>
        <w:t>事项描述</w:t>
      </w:r>
    </w:p>
    <w:p>
      <w:pPr>
        <w:pStyle w:val="BodyText"/>
        <w:spacing w:line="300" w:lineRule="auto" w:before="19"/>
        <w:ind w:right="1139" w:firstLine="360"/>
        <w:jc w:val="both"/>
      </w:pPr>
      <w:r>
        <w:rPr/>
        <w:t>存货跌价准备会计政策和账面金额请参阅合并财务报表附注四、（十）及附注六、注释</w:t>
      </w:r>
      <w:r>
        <w:rPr>
          <w:rFonts w:ascii="Times New Roman" w:hAnsi="Times New Roman" w:cs="Times New Roman" w:eastAsia="Times New Roman" w:hint="default"/>
        </w:rPr>
        <w:t>6</w:t>
      </w:r>
      <w:r>
        <w:rPr/>
        <w:t>，截至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日存货账 面价值为</w:t>
      </w:r>
      <w:r>
        <w:rPr>
          <w:rFonts w:ascii="Times New Roman" w:hAnsi="Times New Roman" w:cs="Times New Roman" w:eastAsia="Times New Roman" w:hint="default"/>
        </w:rPr>
        <w:t>260,275,770.92</w:t>
      </w:r>
      <w:r>
        <w:rPr/>
        <w:t>元，由于存货金额较大，在确定存货减值时管理层需要作出重大判断，因此我们确定存货跌价准备 为关键审计事项。</w:t>
      </w:r>
    </w:p>
    <w:p>
      <w:pPr>
        <w:pStyle w:val="BodyText"/>
        <w:spacing w:line="338" w:lineRule="auto" w:before="71"/>
        <w:ind w:left="514" w:right="6252"/>
        <w:jc w:val="left"/>
      </w:pPr>
      <w:r>
        <w:rPr>
          <w:rFonts w:ascii="Times New Roman" w:hAnsi="Times New Roman" w:cs="Times New Roman" w:eastAsia="Times New Roman" w:hint="default"/>
        </w:rPr>
        <w:t>2.</w:t>
      </w:r>
      <w:r>
        <w:rPr/>
        <w:t>审计应对 我们对于存货跌价准备所实施的重要审计程序包括：</w:t>
      </w:r>
    </w:p>
    <w:p>
      <w:pPr>
        <w:pStyle w:val="BodyText"/>
        <w:spacing w:line="302" w:lineRule="auto" w:before="42"/>
        <w:ind w:right="1141" w:firstLine="360"/>
        <w:jc w:val="both"/>
      </w:pPr>
      <w:r>
        <w:rPr/>
        <w:t>（</w:t>
      </w:r>
      <w:r>
        <w:rPr>
          <w:rFonts w:ascii="Times New Roman" w:hAnsi="Times New Roman" w:cs="Times New Roman" w:eastAsia="Times New Roman" w:hint="default"/>
        </w:rPr>
        <w:t>1</w:t>
      </w:r>
      <w:r>
        <w:rPr/>
        <w:t>）对深圳优博讯公司与存货跌价准备相关的内部控制设计和执行进行了解、评价和测试，以评价存货跌价准备的内 部控制是否合规、有效；</w:t>
      </w:r>
    </w:p>
    <w:p>
      <w:pPr>
        <w:pStyle w:val="BodyText"/>
        <w:spacing w:line="240" w:lineRule="auto" w:before="69"/>
        <w:ind w:left="514" w:right="1134"/>
        <w:jc w:val="left"/>
      </w:pPr>
      <w:r>
        <w:rPr/>
        <w:t>（</w:t>
      </w:r>
      <w:r>
        <w:rPr>
          <w:rFonts w:ascii="Times New Roman" w:hAnsi="Times New Roman" w:cs="Times New Roman" w:eastAsia="Times New Roman" w:hint="default"/>
        </w:rPr>
        <w:t>2</w:t>
      </w:r>
      <w:r>
        <w:rPr/>
        <w:t>）我们执行存货的监盘程序，检查存货的数量及状况等；</w:t>
      </w:r>
    </w:p>
    <w:p>
      <w:pPr>
        <w:spacing w:after="0" w:line="240" w:lineRule="auto"/>
        <w:jc w:val="left"/>
        <w:sectPr>
          <w:type w:val="continuous"/>
          <w:pgSz w:w="11910" w:h="16840"/>
          <w:pgMar w:top="1060" w:bottom="1160" w:left="980" w:right="0"/>
        </w:sectPr>
      </w:pPr>
    </w:p>
    <w:p>
      <w:pPr>
        <w:spacing w:line="240" w:lineRule="auto" w:before="12"/>
        <w:rPr>
          <w:rFonts w:ascii="宋体" w:hAnsi="宋体" w:cs="宋体" w:eastAsia="宋体" w:hint="default"/>
          <w:sz w:val="25"/>
          <w:szCs w:val="25"/>
        </w:rPr>
      </w:pPr>
    </w:p>
    <w:p>
      <w:pPr>
        <w:pStyle w:val="BodyText"/>
        <w:spacing w:line="302" w:lineRule="auto" w:before="44"/>
        <w:ind w:right="1122" w:firstLine="360"/>
        <w:jc w:val="left"/>
      </w:pPr>
      <w:r>
        <w:rPr/>
        <w:t>（</w:t>
      </w:r>
      <w:r>
        <w:rPr>
          <w:rFonts w:ascii="Times New Roman" w:hAnsi="Times New Roman" w:cs="Times New Roman" w:eastAsia="Times New Roman" w:hint="default"/>
        </w:rPr>
        <w:t>3</w:t>
      </w:r>
      <w:r>
        <w:rPr/>
        <w:t>）我们取得深圳优博讯公司的存货的年末库龄清单，对库龄较长的存货进行分析性复核，分析存货跌价准备计提是 否合理；</w:t>
      </w:r>
    </w:p>
    <w:p>
      <w:pPr>
        <w:pStyle w:val="BodyText"/>
        <w:spacing w:line="302" w:lineRule="auto" w:before="68"/>
        <w:ind w:right="1122" w:firstLine="360"/>
        <w:jc w:val="left"/>
      </w:pPr>
      <w:r>
        <w:rPr/>
        <w:t>（</w:t>
      </w:r>
      <w:r>
        <w:rPr>
          <w:rFonts w:ascii="Times New Roman" w:hAnsi="Times New Roman" w:cs="Times New Roman" w:eastAsia="Times New Roman" w:hint="default"/>
        </w:rPr>
        <w:t>4</w:t>
      </w:r>
      <w:r>
        <w:rPr/>
        <w:t>）我们查询本年度原材料和产成品价格变动情况，了解</w:t>
      </w:r>
      <w:r>
        <w:rPr>
          <w:rFonts w:ascii="Times New Roman" w:hAnsi="Times New Roman" w:cs="Times New Roman" w:eastAsia="Times New Roman" w:hint="default"/>
        </w:rPr>
        <w:t>2018</w:t>
      </w:r>
      <w:r>
        <w:rPr/>
        <w:t>年度原材料和产成品价格的走势，检查分析管理层考虑 这些因素对存货可能产生跌价的风险；</w:t>
      </w:r>
    </w:p>
    <w:p>
      <w:pPr>
        <w:pStyle w:val="BodyText"/>
        <w:spacing w:line="302" w:lineRule="auto" w:before="69"/>
        <w:ind w:right="1122" w:firstLine="360"/>
        <w:jc w:val="left"/>
      </w:pPr>
      <w:r>
        <w:rPr/>
        <w:t>（</w:t>
      </w:r>
      <w:r>
        <w:rPr>
          <w:rFonts w:ascii="Times New Roman" w:hAnsi="Times New Roman" w:cs="Times New Roman" w:eastAsia="Times New Roman" w:hint="default"/>
        </w:rPr>
        <w:t>5</w:t>
      </w:r>
      <w:r>
        <w:rPr/>
        <w:t>）获取存货跌价准备计算表，执行存货减值测试程序，检查是否按相关会计政策执行，以前年度计提的存货跌价本 期的变化情况等，分析存货跌价准备计提是否充分。</w:t>
      </w:r>
    </w:p>
    <w:p>
      <w:pPr>
        <w:pStyle w:val="BodyText"/>
        <w:spacing w:line="338" w:lineRule="auto" w:before="69"/>
        <w:ind w:left="514" w:right="0"/>
        <w:jc w:val="left"/>
      </w:pPr>
      <w:r>
        <w:rPr/>
        <w:t>（</w:t>
      </w:r>
      <w:r>
        <w:rPr>
          <w:rFonts w:ascii="Times New Roman" w:hAnsi="Times New Roman" w:cs="Times New Roman" w:eastAsia="Times New Roman" w:hint="default"/>
        </w:rPr>
        <w:t>6</w:t>
      </w:r>
      <w:r>
        <w:rPr/>
        <w:t>）我们评估了管理层于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日对存货跌价准备的会计处理及披露。 </w:t>
      </w:r>
      <w:r>
        <w:rPr>
          <w:spacing w:val="-2"/>
        </w:rPr>
        <w:t>基于已执行的审计工作，我们认为，深圳优博讯公司管理层对存货跌价准备的相关判断及估计是合理的、列报与披露是</w:t>
      </w:r>
    </w:p>
    <w:p>
      <w:pPr>
        <w:pStyle w:val="BodyText"/>
        <w:spacing w:line="240" w:lineRule="auto" w:before="4"/>
        <w:ind w:right="1134"/>
        <w:jc w:val="left"/>
      </w:pPr>
      <w:r>
        <w:rPr/>
        <w:t>适当的。</w:t>
      </w:r>
    </w:p>
    <w:p>
      <w:pPr>
        <w:pStyle w:val="BodyText"/>
        <w:spacing w:line="338" w:lineRule="auto" w:before="117"/>
        <w:ind w:left="514" w:right="9372"/>
        <w:jc w:val="left"/>
      </w:pPr>
      <w:r>
        <w:rPr>
          <w:rFonts w:ascii="Times New Roman" w:hAnsi="Times New Roman" w:cs="Times New Roman" w:eastAsia="Times New Roman" w:hint="default"/>
        </w:rPr>
        <w:t>(</w:t>
      </w:r>
      <w:r>
        <w:rPr/>
        <w:t>二</w:t>
      </w:r>
      <w:r>
        <w:rPr>
          <w:rFonts w:ascii="Times New Roman" w:hAnsi="Times New Roman" w:cs="Times New Roman" w:eastAsia="Times New Roman" w:hint="default"/>
        </w:rPr>
        <w:t>)</w:t>
      </w:r>
      <w:r>
        <w:rPr/>
        <w:t>收入确认</w:t>
      </w:r>
      <w:r>
        <w:rPr>
          <w:w w:val="99"/>
        </w:rPr>
        <w:t> </w:t>
      </w:r>
      <w:r>
        <w:rPr>
          <w:rFonts w:ascii="Times New Roman" w:hAnsi="Times New Roman" w:cs="Times New Roman" w:eastAsia="Times New Roman" w:hint="default"/>
        </w:rPr>
        <w:t>1.</w:t>
      </w:r>
      <w:r>
        <w:rPr/>
        <w:t>事项描述</w:t>
      </w:r>
    </w:p>
    <w:p>
      <w:pPr>
        <w:pStyle w:val="BodyText"/>
        <w:spacing w:line="302" w:lineRule="auto" w:before="19"/>
        <w:ind w:right="0" w:firstLine="360"/>
        <w:jc w:val="left"/>
      </w:pPr>
      <w:r>
        <w:rPr>
          <w:spacing w:val="-2"/>
        </w:rPr>
        <w:t>收入确认政策和账面金额请参阅合并财务报表附注四、（二十一）及附注六、注释</w:t>
      </w:r>
      <w:r>
        <w:rPr>
          <w:rFonts w:ascii="Times New Roman" w:hAnsi="Times New Roman" w:cs="Times New Roman" w:eastAsia="Times New Roman" w:hint="default"/>
          <w:spacing w:val="-2"/>
        </w:rPr>
        <w:t>27</w:t>
      </w:r>
      <w:r>
        <w:rPr>
          <w:spacing w:val="-2"/>
        </w:rPr>
        <w:t>所述，</w:t>
      </w:r>
      <w:r>
        <w:rPr>
          <w:rFonts w:ascii="Times New Roman" w:hAnsi="Times New Roman" w:cs="Times New Roman" w:eastAsia="Times New Roman" w:hint="default"/>
          <w:spacing w:val="-2"/>
        </w:rPr>
        <w:t>2018</w:t>
      </w:r>
      <w:r>
        <w:rPr>
          <w:spacing w:val="-2"/>
        </w:rPr>
        <w:t>年度深圳优博讯公司确</w:t>
      </w:r>
      <w:r>
        <w:rPr/>
        <w:t> 认的主营业务收入为人民币</w:t>
      </w:r>
      <w:r>
        <w:rPr>
          <w:rFonts w:ascii="Times New Roman" w:hAnsi="Times New Roman" w:cs="Times New Roman" w:eastAsia="Times New Roman" w:hint="default"/>
        </w:rPr>
        <w:t>951,939,425.66</w:t>
      </w:r>
      <w:r>
        <w:rPr/>
        <w:t>元。</w:t>
      </w:r>
    </w:p>
    <w:p>
      <w:pPr>
        <w:pStyle w:val="BodyText"/>
        <w:spacing w:line="319" w:lineRule="auto" w:before="50"/>
        <w:ind w:right="1130" w:firstLine="360"/>
        <w:jc w:val="both"/>
      </w:pPr>
      <w:r>
        <w:rPr>
          <w:spacing w:val="-2"/>
        </w:rPr>
        <w:t>深圳优博讯公司收入是在商品所有权上的风险和报酬已转移至客户时确认的。收入主要为设备销售收入，其设备内销收</w:t>
      </w:r>
      <w:r>
        <w:rPr/>
        <w:t> </w:t>
      </w:r>
      <w:r>
        <w:rPr>
          <w:spacing w:val="-2"/>
        </w:rPr>
        <w:t>入是在销售合同或销售订单签订后，按约定向客户发货，设备送达客户指定的交货地点，不需要安装调试的，在取得客户签</w:t>
      </w:r>
      <w:r>
        <w:rPr>
          <w:spacing w:val="-66"/>
        </w:rPr>
        <w:t> </w:t>
      </w:r>
      <w:r>
        <w:rPr>
          <w:spacing w:val="-66"/>
        </w:rPr>
      </w:r>
      <w:r>
        <w:rPr>
          <w:spacing w:val="-2"/>
        </w:rPr>
        <w:t>字确认的发货单后，根据发货单回单上的客户签收日期作为设备销售收入确认的时点；需要安装调试的，在取得客户出具的</w:t>
      </w:r>
      <w:r>
        <w:rPr>
          <w:spacing w:val="-66"/>
        </w:rPr>
        <w:t> </w:t>
      </w:r>
      <w:r>
        <w:rPr>
          <w:spacing w:val="-66"/>
        </w:rPr>
      </w:r>
      <w:r>
        <w:rPr>
          <w:spacing w:val="-2"/>
        </w:rPr>
        <w:t>安装调试报告后，根据安装调试报告的确认日期作为设备销售收入确认的时点。其设备外销收入是根据合同中相关权利和义</w:t>
      </w:r>
      <w:r>
        <w:rPr>
          <w:spacing w:val="-63"/>
        </w:rPr>
        <w:t> </w:t>
      </w:r>
      <w:r>
        <w:rPr>
          <w:spacing w:val="-63"/>
        </w:rPr>
      </w:r>
      <w:r>
        <w:rPr>
          <w:spacing w:val="-2"/>
        </w:rPr>
        <w:t>务的约定，订单货物已经报关离岸时确认销售收入的实现。由于收入是公司的关键业绩指标之一，存在管理层为了达到特定</w:t>
      </w:r>
      <w:r>
        <w:rPr>
          <w:spacing w:val="-66"/>
        </w:rPr>
        <w:t> </w:t>
      </w:r>
      <w:r>
        <w:rPr>
          <w:spacing w:val="-66"/>
        </w:rPr>
      </w:r>
      <w:r>
        <w:rPr/>
        <w:t>目标或期望而操纵收入确认时点的固有风险，因此我们将收入确认识别为关键审计事项。</w:t>
      </w:r>
    </w:p>
    <w:p>
      <w:pPr>
        <w:pStyle w:val="BodyText"/>
        <w:spacing w:line="338" w:lineRule="auto" w:before="56"/>
        <w:ind w:left="514" w:right="6612"/>
        <w:jc w:val="left"/>
      </w:pPr>
      <w:r>
        <w:rPr>
          <w:rFonts w:ascii="Times New Roman" w:hAnsi="Times New Roman" w:cs="Times New Roman" w:eastAsia="Times New Roman" w:hint="default"/>
        </w:rPr>
        <w:t>2.</w:t>
      </w:r>
      <w:r>
        <w:rPr/>
        <w:t>审计应对 我们针对收入确认所实施的主要审计程序包括：</w:t>
      </w:r>
    </w:p>
    <w:p>
      <w:pPr>
        <w:pStyle w:val="BodyText"/>
        <w:spacing w:line="302" w:lineRule="auto" w:before="42"/>
        <w:ind w:right="1122" w:firstLine="360"/>
        <w:jc w:val="left"/>
      </w:pPr>
      <w:r>
        <w:rPr/>
        <w:t>（</w:t>
      </w:r>
      <w:r>
        <w:rPr>
          <w:rFonts w:ascii="Times New Roman" w:hAnsi="Times New Roman" w:cs="Times New Roman" w:eastAsia="Times New Roman" w:hint="default"/>
        </w:rPr>
        <w:t>1</w:t>
      </w:r>
      <w:r>
        <w:rPr/>
        <w:t>）对深圳优博讯公司收入确认的内部控制设计和执行进行了解、评价和测试，以评价收入确认内部控制是否合规、 有效；</w:t>
      </w:r>
    </w:p>
    <w:p>
      <w:pPr>
        <w:pStyle w:val="BodyText"/>
        <w:spacing w:line="240" w:lineRule="auto" w:before="69"/>
        <w:ind w:left="514" w:right="1134"/>
        <w:jc w:val="left"/>
      </w:pPr>
      <w:r>
        <w:rPr/>
        <w:t>（</w:t>
      </w:r>
      <w:r>
        <w:rPr>
          <w:rFonts w:ascii="Times New Roman" w:hAnsi="Times New Roman" w:cs="Times New Roman" w:eastAsia="Times New Roman" w:hint="default"/>
        </w:rPr>
        <w:t>2</w:t>
      </w:r>
      <w:r>
        <w:rPr/>
        <w:t>）对营业收入和营业成本实施分析性程序，分析毛利率异常变动，复核收入的合理性；</w:t>
      </w:r>
    </w:p>
    <w:p>
      <w:pPr>
        <w:pStyle w:val="BodyText"/>
        <w:spacing w:line="240" w:lineRule="auto" w:before="102"/>
        <w:ind w:left="514" w:right="1134"/>
        <w:jc w:val="left"/>
      </w:pPr>
      <w:r>
        <w:rPr/>
        <w:t>（</w:t>
      </w:r>
      <w:r>
        <w:rPr>
          <w:rFonts w:ascii="Times New Roman" w:hAnsi="Times New Roman" w:cs="Times New Roman" w:eastAsia="Times New Roman" w:hint="default"/>
        </w:rPr>
        <w:t>3</w:t>
      </w:r>
      <w:r>
        <w:rPr/>
        <w:t>）获取了深圳优博讯公司与客户签订的协议，核实收入确认政策合理性；</w:t>
      </w:r>
    </w:p>
    <w:p>
      <w:pPr>
        <w:pStyle w:val="BodyText"/>
        <w:spacing w:line="240" w:lineRule="auto" w:before="103"/>
        <w:ind w:left="514" w:right="1134"/>
        <w:jc w:val="left"/>
      </w:pPr>
      <w:r>
        <w:rPr/>
        <w:t>（</w:t>
      </w:r>
      <w:r>
        <w:rPr>
          <w:rFonts w:ascii="Times New Roman" w:hAnsi="Times New Roman" w:cs="Times New Roman" w:eastAsia="Times New Roman" w:hint="default"/>
        </w:rPr>
        <w:t>4</w:t>
      </w:r>
      <w:r>
        <w:rPr/>
        <w:t>）通过查询客户的工商资料，询问深圳优博讯公司相关人员，以确认客户与深圳优博讯公司是否存在关联关系；</w:t>
      </w:r>
    </w:p>
    <w:p>
      <w:pPr>
        <w:pStyle w:val="BodyText"/>
        <w:spacing w:line="302" w:lineRule="auto" w:before="101"/>
        <w:ind w:right="0" w:firstLine="360"/>
        <w:jc w:val="left"/>
      </w:pPr>
      <w:r>
        <w:rPr>
          <w:spacing w:val="-2"/>
        </w:rPr>
        <w:t>（</w:t>
      </w:r>
      <w:r>
        <w:rPr>
          <w:rFonts w:ascii="Times New Roman" w:hAnsi="Times New Roman" w:cs="Times New Roman" w:eastAsia="Times New Roman" w:hint="default"/>
          <w:spacing w:val="-2"/>
        </w:rPr>
        <w:t>5</w:t>
      </w:r>
      <w:r>
        <w:rPr>
          <w:spacing w:val="-2"/>
        </w:rPr>
        <w:t>）针对本年记录的交易选取样本，检查深圳优博讯公司与客户的合同、购货订单、发货单据、运输单据、签收单据、</w:t>
      </w:r>
      <w:r>
        <w:rPr/>
        <w:t> 出口报关单据、回款单据等资料；</w:t>
      </w:r>
    </w:p>
    <w:p>
      <w:pPr>
        <w:pStyle w:val="BodyText"/>
        <w:spacing w:line="240" w:lineRule="auto" w:before="69"/>
        <w:ind w:left="514" w:right="1134"/>
        <w:jc w:val="left"/>
      </w:pPr>
      <w:r>
        <w:rPr/>
        <w:t>（</w:t>
      </w:r>
      <w:r>
        <w:rPr>
          <w:rFonts w:ascii="Times New Roman" w:hAnsi="Times New Roman" w:cs="Times New Roman" w:eastAsia="Times New Roman" w:hint="default"/>
        </w:rPr>
        <w:t>6</w:t>
      </w:r>
      <w:r>
        <w:rPr/>
        <w:t>）针对客户选取样本实施了函证程序；</w:t>
      </w:r>
    </w:p>
    <w:p>
      <w:pPr>
        <w:pStyle w:val="BodyText"/>
        <w:spacing w:line="338" w:lineRule="auto" w:before="103"/>
        <w:ind w:left="514" w:right="2922"/>
        <w:jc w:val="left"/>
      </w:pPr>
      <w:r>
        <w:rPr/>
        <w:t>（</w:t>
      </w:r>
      <w:r>
        <w:rPr>
          <w:rFonts w:ascii="Times New Roman" w:hAnsi="Times New Roman" w:cs="Times New Roman" w:eastAsia="Times New Roman" w:hint="default"/>
        </w:rPr>
        <w:t>7</w:t>
      </w:r>
      <w:r>
        <w:rPr/>
        <w:t>）对资产负债表日前后记录的收入交易，选取样本，核对签收单、提单及其他支持性文件。 基于已执行的审计工作，我们认为，管理层对营业收入的列报与披露是适当的。</w:t>
      </w:r>
    </w:p>
    <w:p>
      <w:pPr>
        <w:pStyle w:val="BodyText"/>
        <w:spacing w:line="340" w:lineRule="auto" w:before="42"/>
        <w:ind w:left="514" w:right="9372"/>
        <w:jc w:val="left"/>
      </w:pPr>
      <w:r>
        <w:rPr>
          <w:rFonts w:ascii="Times New Roman" w:hAnsi="Times New Roman" w:cs="Times New Roman" w:eastAsia="Times New Roman" w:hint="default"/>
        </w:rPr>
        <w:t>(</w:t>
      </w:r>
      <w:r>
        <w:rPr/>
        <w:t>三</w:t>
      </w:r>
      <w:r>
        <w:rPr>
          <w:rFonts w:ascii="Times New Roman" w:hAnsi="Times New Roman" w:cs="Times New Roman" w:eastAsia="Times New Roman" w:hint="default"/>
        </w:rPr>
        <w:t>)</w:t>
      </w:r>
      <w:r>
        <w:rPr/>
        <w:t>商誉减值</w:t>
      </w:r>
      <w:r>
        <w:rPr>
          <w:w w:val="99"/>
        </w:rPr>
        <w:t> </w:t>
      </w:r>
      <w:r>
        <w:rPr>
          <w:rFonts w:ascii="Times New Roman" w:hAnsi="Times New Roman" w:cs="Times New Roman" w:eastAsia="Times New Roman" w:hint="default"/>
        </w:rPr>
        <w:t>1.</w:t>
      </w:r>
      <w:r>
        <w:rPr/>
        <w:t>事项描述</w:t>
      </w:r>
    </w:p>
    <w:p>
      <w:pPr>
        <w:pStyle w:val="BodyText"/>
        <w:spacing w:line="314" w:lineRule="auto" w:before="17"/>
        <w:ind w:right="1032" w:firstLine="360"/>
        <w:jc w:val="left"/>
      </w:pPr>
      <w:r>
        <w:rPr/>
        <w:t>商誉减值请参阅合并财务报表附注四、（十七）及附注六、注释</w:t>
      </w:r>
      <w:r>
        <w:rPr>
          <w:rFonts w:ascii="Times New Roman" w:hAnsi="Times New Roman" w:cs="Times New Roman" w:eastAsia="Times New Roman" w:hint="default"/>
        </w:rPr>
        <w:t>11</w:t>
      </w:r>
      <w:r>
        <w:rPr/>
        <w:t>，截至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日商誉账面价值为</w:t>
      </w:r>
      <w:r>
        <w:rPr>
          <w:rFonts w:ascii="Times New Roman" w:hAnsi="Times New Roman" w:cs="Times New Roman" w:eastAsia="Times New Roman" w:hint="default"/>
        </w:rPr>
        <w:t>84,663,192.09 </w:t>
      </w:r>
      <w:r>
        <w:rPr/>
        <w:t>元，主要为深圳优博讯公司收购子公司形成，属于深圳优博讯公司重要资产。管理层在每年年度终了对商誉进行减值测试， 并依据减值测试的结果调整商誉的账面价值。由于商誉减值测试的结果很大程度上依赖于管理层所做的估计和采用的假设， </w:t>
      </w:r>
      <w:r>
        <w:rPr>
          <w:spacing w:val="-2"/>
        </w:rPr>
        <w:t>特别是在预测相关资产组的未来收入及长期收入增长率、毛利率、经营费用、折现率等涉及管理层的重大判断。该等估计均</w:t>
      </w:r>
      <w:r>
        <w:rPr>
          <w:spacing w:val="-66"/>
        </w:rPr>
        <w:t> </w:t>
      </w:r>
      <w:r>
        <w:rPr>
          <w:spacing w:val="-66"/>
        </w:rPr>
      </w:r>
      <w:r>
        <w:rPr>
          <w:spacing w:val="-2"/>
        </w:rPr>
        <w:t>存在固定不确定性，受管理层对未来市场以及对经济环境判断的影响，采用不同的估计和假设会对评估的商誉可收回价值有</w:t>
      </w:r>
      <w:r>
        <w:rPr>
          <w:spacing w:val="-63"/>
        </w:rPr>
        <w:t> </w:t>
      </w:r>
      <w:r>
        <w:rPr>
          <w:spacing w:val="-63"/>
        </w:rPr>
      </w:r>
      <w:r>
        <w:rPr/>
        <w:t>很大的影响。由于商誉金额重大，且管理层需要作出重大判断，因此我们将商誉的减值确定为关键审计事项。</w:t>
      </w:r>
    </w:p>
    <w:p>
      <w:pPr>
        <w:pStyle w:val="BodyText"/>
        <w:spacing w:line="340" w:lineRule="auto" w:before="60"/>
        <w:ind w:left="514" w:right="6612"/>
        <w:jc w:val="left"/>
      </w:pPr>
      <w:r>
        <w:rPr>
          <w:rFonts w:ascii="Times New Roman" w:hAnsi="Times New Roman" w:cs="Times New Roman" w:eastAsia="Times New Roman" w:hint="default"/>
        </w:rPr>
        <w:t>2.</w:t>
      </w:r>
      <w:r>
        <w:rPr/>
        <w:t>审计应对 我们针对商誉减值所实施的主要审计程序包括：</w:t>
      </w:r>
    </w:p>
    <w:p>
      <w:pPr>
        <w:spacing w:after="0" w:line="3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left="514" w:right="1134"/>
        <w:jc w:val="left"/>
      </w:pPr>
      <w:r>
        <w:rPr/>
        <w:t>（</w:t>
      </w:r>
      <w:r>
        <w:rPr>
          <w:rFonts w:ascii="Times New Roman" w:hAnsi="Times New Roman" w:cs="Times New Roman" w:eastAsia="Times New Roman" w:hint="default"/>
        </w:rPr>
        <w:t>1</w:t>
      </w:r>
      <w:r>
        <w:rPr/>
        <w:t>）评价与管理层确定商誉可收回金额相关的关键内部控制的设计和运行有效性；</w:t>
      </w:r>
    </w:p>
    <w:p>
      <w:pPr>
        <w:pStyle w:val="BodyText"/>
        <w:spacing w:line="240" w:lineRule="auto" w:before="102"/>
        <w:ind w:left="514" w:right="1134"/>
        <w:jc w:val="left"/>
      </w:pPr>
      <w:r>
        <w:rPr/>
        <w:t>（</w:t>
      </w:r>
      <w:r>
        <w:rPr>
          <w:rFonts w:ascii="Times New Roman" w:hAnsi="Times New Roman" w:cs="Times New Roman" w:eastAsia="Times New Roman" w:hint="default"/>
        </w:rPr>
        <w:t>2</w:t>
      </w:r>
      <w:r>
        <w:rPr/>
        <w:t>）复核管理层对资产组的认定和商誉的分摊方法；</w:t>
      </w:r>
    </w:p>
    <w:p>
      <w:pPr>
        <w:pStyle w:val="BodyText"/>
        <w:spacing w:line="302" w:lineRule="auto" w:before="102"/>
        <w:ind w:right="1141" w:firstLine="360"/>
        <w:jc w:val="both"/>
      </w:pPr>
      <w:r>
        <w:rPr/>
        <w:t>（</w:t>
      </w:r>
      <w:r>
        <w:rPr>
          <w:rFonts w:ascii="Times New Roman" w:hAnsi="Times New Roman" w:cs="Times New Roman" w:eastAsia="Times New Roman" w:hint="default"/>
        </w:rPr>
        <w:t>3</w:t>
      </w:r>
      <w:r>
        <w:rPr/>
        <w:t>）与深圳优博讯公司管理层讨论商誉减值测试过程中所使用的方法、关键评估的假设、参数的选择、预测未来收入 及现金流折现率等的合理性；</w:t>
      </w:r>
    </w:p>
    <w:p>
      <w:pPr>
        <w:pStyle w:val="BodyText"/>
        <w:spacing w:line="302" w:lineRule="auto" w:before="68"/>
        <w:ind w:right="1139" w:firstLine="360"/>
        <w:jc w:val="both"/>
      </w:pPr>
      <w:r>
        <w:rPr/>
        <w:t>（</w:t>
      </w:r>
      <w:r>
        <w:rPr>
          <w:rFonts w:ascii="Times New Roman" w:hAnsi="Times New Roman" w:cs="Times New Roman" w:eastAsia="Times New Roman" w:hint="default"/>
        </w:rPr>
        <w:t>4</w:t>
      </w:r>
      <w:r>
        <w:rPr/>
        <w:t>）结合深圳优博讯公司管理层在收购子公司时确定收购对价时所使用的关键假设和参数、预测的未来收入及现金流 量等，与本年度所使用的关键假设和参数、本年经营业绩等作对比，并向管理层询问显著差异的原因；</w:t>
      </w:r>
    </w:p>
    <w:p>
      <w:pPr>
        <w:pStyle w:val="BodyText"/>
        <w:spacing w:line="302" w:lineRule="auto" w:before="68"/>
        <w:ind w:right="1141" w:firstLine="360"/>
        <w:jc w:val="both"/>
      </w:pPr>
      <w:r>
        <w:rPr/>
        <w:t>（</w:t>
      </w:r>
      <w:r>
        <w:rPr>
          <w:rFonts w:ascii="Times New Roman" w:hAnsi="Times New Roman" w:cs="Times New Roman" w:eastAsia="Times New Roman" w:hint="default"/>
        </w:rPr>
        <w:t>5</w:t>
      </w:r>
      <w:r>
        <w:rPr/>
        <w:t>）结合同行业标准、宏观经济和所属行业的发展趋势等，评估商誉减值测试过程中所使用的关键假设和参数的合理 性；</w:t>
      </w:r>
    </w:p>
    <w:p>
      <w:pPr>
        <w:pStyle w:val="BodyText"/>
        <w:spacing w:line="240" w:lineRule="auto" w:before="70"/>
        <w:ind w:left="514" w:right="1134"/>
        <w:jc w:val="left"/>
      </w:pPr>
      <w:r>
        <w:rPr/>
        <w:t>（</w:t>
      </w:r>
      <w:r>
        <w:rPr>
          <w:rFonts w:ascii="Times New Roman" w:hAnsi="Times New Roman" w:cs="Times New Roman" w:eastAsia="Times New Roman" w:hint="default"/>
        </w:rPr>
        <w:t>6</w:t>
      </w:r>
      <w:r>
        <w:rPr/>
        <w:t>）评价由深圳优博讯公司管理层聘请的外部评估机构的独立性、客观性和资质。</w:t>
      </w:r>
    </w:p>
    <w:p>
      <w:pPr>
        <w:pStyle w:val="BodyText"/>
        <w:spacing w:line="240" w:lineRule="auto" w:before="102"/>
        <w:ind w:left="514" w:right="1134"/>
        <w:jc w:val="left"/>
      </w:pPr>
      <w:r>
        <w:rPr/>
        <w:t>（</w:t>
      </w:r>
      <w:r>
        <w:rPr>
          <w:rFonts w:ascii="Times New Roman" w:hAnsi="Times New Roman" w:cs="Times New Roman" w:eastAsia="Times New Roman" w:hint="default"/>
        </w:rPr>
        <w:t>7</w:t>
      </w:r>
      <w:r>
        <w:rPr/>
        <w:t>）测试未来现金流量净现值的计算是否准确。</w:t>
      </w:r>
    </w:p>
    <w:p>
      <w:pPr>
        <w:pStyle w:val="BodyText"/>
        <w:spacing w:line="348" w:lineRule="auto" w:before="102"/>
        <w:ind w:left="514" w:right="3282"/>
        <w:jc w:val="left"/>
        <w:rPr>
          <w:rFonts w:ascii="宋体" w:hAnsi="宋体" w:cs="宋体" w:eastAsia="宋体" w:hint="default"/>
        </w:rPr>
      </w:pPr>
      <w:r>
        <w:rPr/>
        <w:t>（</w:t>
      </w:r>
      <w:r>
        <w:rPr>
          <w:rFonts w:ascii="Times New Roman" w:hAnsi="Times New Roman" w:cs="Times New Roman" w:eastAsia="Times New Roman" w:hint="default"/>
        </w:rPr>
        <w:t>8</w:t>
      </w:r>
      <w:r>
        <w:rPr/>
        <w:t>）评估管理层于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日对商誉及其减值估计结果、财务报表的披露是否恰当。 基于已执行的审计工作，我们认为，管理层在商誉减值测试中作出的判断是可接受的。 </w:t>
      </w:r>
      <w:r>
        <w:rPr>
          <w:rFonts w:ascii="宋体" w:hAnsi="宋体" w:cs="宋体" w:eastAsia="宋体" w:hint="default"/>
          <w:b/>
          <w:bCs/>
        </w:rPr>
        <w:t>四、其他信息</w:t>
      </w:r>
      <w:r>
        <w:rPr>
          <w:rFonts w:ascii="宋体" w:hAnsi="宋体" w:cs="宋体" w:eastAsia="宋体" w:hint="default"/>
        </w:rPr>
      </w:r>
    </w:p>
    <w:p>
      <w:pPr>
        <w:pStyle w:val="BodyText"/>
        <w:spacing w:line="302" w:lineRule="auto" w:before="34"/>
        <w:ind w:right="1131" w:firstLine="360"/>
        <w:jc w:val="both"/>
      </w:pPr>
      <w:r>
        <w:rPr>
          <w:spacing w:val="-2"/>
        </w:rPr>
        <w:t>深圳优博讯公司管理层对其他信息负责。其他信息包括</w:t>
      </w:r>
      <w:r>
        <w:rPr>
          <w:rFonts w:ascii="Times New Roman" w:hAnsi="Times New Roman" w:cs="Times New Roman" w:eastAsia="Times New Roman" w:hint="default"/>
          <w:spacing w:val="-2"/>
        </w:rPr>
        <w:t>2018</w:t>
      </w:r>
      <w:r>
        <w:rPr>
          <w:spacing w:val="-2"/>
        </w:rPr>
        <w:t>年度报告中涵盖的信息，但不包括财务报表和我们的审计报</w:t>
      </w:r>
      <w:r>
        <w:rPr/>
        <w:t> 告。</w:t>
      </w:r>
    </w:p>
    <w:p>
      <w:pPr>
        <w:pStyle w:val="BodyText"/>
        <w:spacing w:line="357" w:lineRule="auto" w:before="70"/>
        <w:ind w:left="514" w:right="0"/>
        <w:jc w:val="left"/>
      </w:pPr>
      <w:r>
        <w:rPr/>
        <w:t>我们对财务报表发表的审计意见不涵盖其他信息，我们也不对其他信息发表任何形式的鉴证结论。 </w:t>
      </w:r>
      <w:r>
        <w:rPr>
          <w:spacing w:val="-2"/>
        </w:rPr>
        <w:t>结合我们对财务报表的审计，我们的责任是阅读其他信息，在此过程中，考虑其他信息是否与财务报表或我们在审计过</w:t>
      </w:r>
    </w:p>
    <w:p>
      <w:pPr>
        <w:pStyle w:val="BodyText"/>
        <w:spacing w:line="357" w:lineRule="auto"/>
        <w:ind w:left="514" w:right="0" w:hanging="360"/>
        <w:jc w:val="left"/>
      </w:pPr>
      <w:r>
        <w:rPr/>
        <w:t>程中了解的情况存在重大不一致或者似乎存在重大错报。 </w:t>
      </w:r>
      <w:r>
        <w:rPr>
          <w:spacing w:val="-2"/>
        </w:rPr>
        <w:t>基于我们已执行的工作，如果我们确定其他信息存在重大错报，我们应当报告该事实。在这方面，我们无任何事项需要</w:t>
      </w:r>
    </w:p>
    <w:p>
      <w:pPr>
        <w:pStyle w:val="BodyText"/>
        <w:spacing w:line="225" w:lineRule="exact"/>
        <w:ind w:right="1134"/>
        <w:jc w:val="left"/>
      </w:pPr>
      <w:r>
        <w:rPr/>
        <w:t>报告。</w:t>
      </w:r>
    </w:p>
    <w:p>
      <w:pPr>
        <w:spacing w:line="357" w:lineRule="auto" w:before="117"/>
        <w:ind w:left="514" w:right="0" w:firstLine="1"/>
        <w:jc w:val="left"/>
        <w:rPr>
          <w:rFonts w:ascii="宋体" w:hAnsi="宋体" w:cs="宋体" w:eastAsia="宋体" w:hint="default"/>
          <w:sz w:val="18"/>
          <w:szCs w:val="18"/>
        </w:rPr>
      </w:pPr>
      <w:r>
        <w:rPr>
          <w:rFonts w:ascii="宋体" w:hAnsi="宋体" w:cs="宋体" w:eastAsia="宋体" w:hint="default"/>
          <w:b/>
          <w:bCs/>
          <w:sz w:val="18"/>
          <w:szCs w:val="18"/>
        </w:rPr>
        <w:t>五、管理层和治理层对财务报表的责任</w:t>
      </w:r>
      <w:r>
        <w:rPr>
          <w:rFonts w:ascii="宋体" w:hAnsi="宋体" w:cs="宋体" w:eastAsia="宋体" w:hint="default"/>
          <w:b/>
          <w:bCs/>
          <w:w w:val="99"/>
          <w:sz w:val="18"/>
          <w:szCs w:val="18"/>
        </w:rPr>
        <w:t> </w:t>
      </w:r>
      <w:r>
        <w:rPr>
          <w:rFonts w:ascii="宋体" w:hAnsi="宋体" w:cs="宋体" w:eastAsia="宋体" w:hint="default"/>
          <w:spacing w:val="-2"/>
          <w:sz w:val="18"/>
          <w:szCs w:val="18"/>
        </w:rPr>
        <w:t>深圳优博讯公司管理层负责按照企业会计准则的规定编制财务报表，使其实现公允反映，并设计、执行和维护必要的内</w:t>
      </w:r>
    </w:p>
    <w:p>
      <w:pPr>
        <w:pStyle w:val="BodyText"/>
        <w:spacing w:line="357" w:lineRule="auto"/>
        <w:ind w:left="514" w:right="0" w:hanging="360"/>
        <w:jc w:val="left"/>
      </w:pPr>
      <w:r>
        <w:rPr/>
        <w:t>部控制，以使财务报表不存在由于舞弊或错误导致的重大错报。 </w:t>
      </w:r>
      <w:r>
        <w:rPr>
          <w:spacing w:val="-2"/>
        </w:rPr>
        <w:t>在编制财务报表时，深圳优博讯公司管理层负责评估深圳优博讯公司的持续经营能力，披露与持续经营相关的事项（如</w:t>
      </w:r>
    </w:p>
    <w:p>
      <w:pPr>
        <w:pStyle w:val="BodyText"/>
        <w:spacing w:line="360" w:lineRule="auto"/>
        <w:ind w:left="514" w:right="2472" w:hanging="360"/>
        <w:jc w:val="left"/>
      </w:pPr>
      <w:r>
        <w:rPr/>
        <w:t>适用），并运用持续经营假设，除非管理层计划清算深圳优博讯公司、终止运营或别无其他现实的选择。 治理层负责监督深圳优博讯公司的财务报告过程。</w:t>
      </w:r>
    </w:p>
    <w:p>
      <w:pPr>
        <w:spacing w:line="357" w:lineRule="auto" w:before="26"/>
        <w:ind w:left="514" w:right="0" w:firstLine="1"/>
        <w:jc w:val="left"/>
        <w:rPr>
          <w:rFonts w:ascii="宋体" w:hAnsi="宋体" w:cs="宋体" w:eastAsia="宋体" w:hint="default"/>
          <w:sz w:val="18"/>
          <w:szCs w:val="18"/>
        </w:rPr>
      </w:pPr>
      <w:r>
        <w:rPr>
          <w:rFonts w:ascii="宋体" w:hAnsi="宋体" w:cs="宋体" w:eastAsia="宋体" w:hint="default"/>
          <w:b/>
          <w:bCs/>
          <w:sz w:val="18"/>
          <w:szCs w:val="18"/>
        </w:rPr>
        <w:t>六、注册会计师对财务报表审计的责任</w:t>
      </w:r>
      <w:r>
        <w:rPr>
          <w:rFonts w:ascii="宋体" w:hAnsi="宋体" w:cs="宋体" w:eastAsia="宋体" w:hint="default"/>
          <w:b/>
          <w:bCs/>
          <w:w w:val="99"/>
          <w:sz w:val="18"/>
          <w:szCs w:val="18"/>
        </w:rPr>
        <w:t> </w:t>
      </w:r>
      <w:r>
        <w:rPr>
          <w:rFonts w:ascii="宋体" w:hAnsi="宋体" w:cs="宋体" w:eastAsia="宋体" w:hint="default"/>
          <w:spacing w:val="-2"/>
          <w:sz w:val="18"/>
          <w:szCs w:val="18"/>
        </w:rPr>
        <w:t>我们的目标是对财务报表整体是否不存在由于舞弊或错误导致的重大错报获取合理保证，并出具包含审计意见的审计报</w:t>
      </w:r>
    </w:p>
    <w:p>
      <w:pPr>
        <w:pStyle w:val="BodyText"/>
        <w:spacing w:line="224" w:lineRule="exact"/>
        <w:ind w:right="0"/>
        <w:jc w:val="left"/>
      </w:pPr>
      <w:r>
        <w:rPr/>
        <w:t>告。合理保证是高水平的保证，但并不能保证按照审计准则执行的审计在某一重大错报存在时总能发现。错报可能由于舞弊</w:t>
      </w:r>
    </w:p>
    <w:p>
      <w:pPr>
        <w:pStyle w:val="BodyText"/>
        <w:spacing w:line="319" w:lineRule="auto" w:before="76"/>
        <w:ind w:right="1118"/>
        <w:jc w:val="left"/>
      </w:pPr>
      <w:r>
        <w:rPr>
          <w:spacing w:val="-2"/>
        </w:rPr>
        <w:t>或错误导致，如果合理预期错报单独或汇总起来可能影响财务报表使用者依据财务报表作出的经济决策，则通常认为错报是</w:t>
      </w:r>
      <w:r>
        <w:rPr>
          <w:spacing w:val="-64"/>
        </w:rPr>
        <w:t> </w:t>
      </w:r>
      <w:r>
        <w:rPr>
          <w:spacing w:val="-64"/>
        </w:rPr>
      </w:r>
      <w:r>
        <w:rPr/>
        <w:t>重大的。</w:t>
      </w:r>
    </w:p>
    <w:p>
      <w:pPr>
        <w:pStyle w:val="BodyText"/>
        <w:spacing w:line="240" w:lineRule="auto" w:before="58"/>
        <w:ind w:left="514" w:right="1134"/>
        <w:jc w:val="left"/>
      </w:pPr>
      <w:r>
        <w:rPr/>
        <w:t>在按照审计准则执行审计工作的过程中，我们运用职业判断，并保持职业怀疑。同时，我们也执行以下工作：</w:t>
      </w:r>
    </w:p>
    <w:p>
      <w:pPr>
        <w:pStyle w:val="BodyText"/>
        <w:spacing w:line="309" w:lineRule="auto" w:before="115"/>
        <w:ind w:right="1130" w:firstLine="360"/>
        <w:jc w:val="both"/>
      </w:pPr>
      <w:r>
        <w:rPr>
          <w:rFonts w:ascii="Times New Roman" w:hAnsi="Times New Roman" w:cs="Times New Roman" w:eastAsia="Times New Roman" w:hint="default"/>
        </w:rPr>
        <w:t>1</w:t>
      </w:r>
      <w:r>
        <w:rPr/>
        <w:t>．识别和评估由于舞弊或错误导致的财务报表重大错报风险，设计和实施审计程序以应对这些风险，并获取充分、适 </w:t>
      </w:r>
      <w:r>
        <w:rPr>
          <w:spacing w:val="-2"/>
        </w:rPr>
        <w:t>当的审计证据，作为发表审计意见的基础。由于舞弊可能涉及串通、伪造、故意遗漏、虚假陈述或凌驾于内部控制之上，未</w:t>
      </w:r>
      <w:r>
        <w:rPr>
          <w:spacing w:val="-67"/>
        </w:rPr>
        <w:t> </w:t>
      </w:r>
      <w:r>
        <w:rPr>
          <w:spacing w:val="-67"/>
        </w:rPr>
      </w:r>
      <w:r>
        <w:rPr/>
        <w:t>能发现由于舞弊导致的重大错报的风险高于未能发现由于错误导致的重大错报的风险。</w:t>
      </w:r>
    </w:p>
    <w:p>
      <w:pPr>
        <w:pStyle w:val="BodyText"/>
        <w:spacing w:line="240" w:lineRule="auto" w:before="64"/>
        <w:ind w:left="514" w:right="1134"/>
        <w:jc w:val="left"/>
      </w:pPr>
      <w:r>
        <w:rPr>
          <w:rFonts w:ascii="Times New Roman" w:hAnsi="Times New Roman" w:cs="Times New Roman" w:eastAsia="Times New Roman" w:hint="default"/>
        </w:rPr>
        <w:t>2</w:t>
      </w:r>
      <w:r>
        <w:rPr/>
        <w:t>．了解与审计相关的内部控制，以设计恰当的审计程序，但目的并非对内部控制的有效性发表意见。</w:t>
      </w:r>
    </w:p>
    <w:p>
      <w:pPr>
        <w:pStyle w:val="BodyText"/>
        <w:spacing w:line="240" w:lineRule="auto" w:before="103"/>
        <w:ind w:left="514" w:right="1134"/>
        <w:jc w:val="left"/>
      </w:pPr>
      <w:r>
        <w:rPr>
          <w:rFonts w:ascii="Times New Roman" w:hAnsi="Times New Roman" w:cs="Times New Roman" w:eastAsia="Times New Roman" w:hint="default"/>
        </w:rPr>
        <w:t>3</w:t>
      </w:r>
      <w:r>
        <w:rPr/>
        <w:t>．评价管理层选用会计政策的恰当性和作出会计估计及相关披露的合理性。</w:t>
      </w:r>
    </w:p>
    <w:p>
      <w:pPr>
        <w:pStyle w:val="BodyText"/>
        <w:spacing w:line="312" w:lineRule="auto" w:before="101"/>
        <w:ind w:right="1130" w:firstLine="360"/>
        <w:jc w:val="both"/>
      </w:pPr>
      <w:r>
        <w:rPr>
          <w:rFonts w:ascii="Times New Roman" w:hAnsi="Times New Roman" w:cs="Times New Roman" w:eastAsia="Times New Roman" w:hint="default"/>
        </w:rPr>
        <w:t>4</w:t>
      </w:r>
      <w:r>
        <w:rPr/>
        <w:t>．对管理层使用持续经营假设的恰当性得出结论。同时，根据获取的审计证据，就可能导致对深圳优博讯公司持续经 </w:t>
      </w:r>
      <w:r>
        <w:rPr>
          <w:spacing w:val="-2"/>
        </w:rPr>
        <w:t>营能力产生重大疑虑的事项或情况是否存在重大不确定性得出结论。如果我们得出结论认为存在重大不确定性，审计准则要</w:t>
      </w:r>
      <w:r>
        <w:rPr>
          <w:spacing w:val="-63"/>
        </w:rPr>
        <w:t> </w:t>
      </w:r>
      <w:r>
        <w:rPr>
          <w:spacing w:val="-63"/>
        </w:rPr>
      </w:r>
      <w:r>
        <w:rPr>
          <w:spacing w:val="-2"/>
        </w:rPr>
        <w:t>求我们在审计报告中提请报告使用者注意财务报表中的相关披露；如果披露不充分，我们应当发表非无保留意见。我们的结</w:t>
      </w:r>
      <w:r>
        <w:rPr>
          <w:spacing w:val="-66"/>
        </w:rPr>
        <w:t> </w:t>
      </w:r>
      <w:r>
        <w:rPr>
          <w:spacing w:val="-66"/>
        </w:rPr>
      </w:r>
      <w:r>
        <w:rPr/>
        <w:t>论基于截至审计报告日可获得的信息。然而，未来的事项或情况可能导致深圳优博讯公司不能持续经营。</w:t>
      </w:r>
    </w:p>
    <w:p>
      <w:pPr>
        <w:spacing w:after="0" w:line="312" w:lineRule="auto"/>
        <w:jc w:val="both"/>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left="514" w:right="1134"/>
        <w:jc w:val="left"/>
      </w:pPr>
      <w:r>
        <w:rPr>
          <w:rFonts w:ascii="Times New Roman" w:hAnsi="Times New Roman" w:cs="Times New Roman" w:eastAsia="Times New Roman" w:hint="default"/>
        </w:rPr>
        <w:t>5</w:t>
      </w:r>
      <w:r>
        <w:rPr/>
        <w:t>．评价财务报表的总体列报、结构和内容（包括披露），并评价财务报表是否公允反映相关交易和事项。</w:t>
      </w:r>
    </w:p>
    <w:p>
      <w:pPr>
        <w:pStyle w:val="BodyText"/>
        <w:spacing w:line="302" w:lineRule="auto" w:before="101"/>
        <w:ind w:right="1140" w:firstLine="360"/>
        <w:jc w:val="both"/>
      </w:pPr>
      <w:r>
        <w:rPr>
          <w:rFonts w:ascii="Times New Roman" w:hAnsi="Times New Roman" w:cs="Times New Roman" w:eastAsia="Times New Roman" w:hint="default"/>
        </w:rPr>
        <w:t>6</w:t>
      </w:r>
      <w:r>
        <w:rPr/>
        <w:t>．就深圳优博讯公司中实体或业务活动的财务信息获取充分、适当的审计证据，以对财务报表发表意见。我们负责指 导、监督和执行集团审计，并对审计意见承担全部责任。</w:t>
      </w:r>
    </w:p>
    <w:p>
      <w:pPr>
        <w:pStyle w:val="BodyText"/>
        <w:spacing w:line="319" w:lineRule="auto" w:before="69"/>
        <w:ind w:right="1131" w:firstLine="360"/>
        <w:jc w:val="both"/>
      </w:pPr>
      <w:r>
        <w:rPr>
          <w:spacing w:val="-2"/>
        </w:rPr>
        <w:t>我们与治理层就计划的审计范围、时间安排和重大审计发现等事项进行沟通，包括沟通我们在审计中识别出的值得关注</w:t>
      </w:r>
      <w:r>
        <w:rPr/>
        <w:t> 的内部控制缺陷。</w:t>
      </w:r>
    </w:p>
    <w:p>
      <w:pPr>
        <w:pStyle w:val="BodyText"/>
        <w:spacing w:line="319" w:lineRule="auto" w:before="55"/>
        <w:ind w:right="1131" w:firstLine="360"/>
        <w:jc w:val="both"/>
      </w:pPr>
      <w:r>
        <w:rPr>
          <w:spacing w:val="-2"/>
        </w:rPr>
        <w:t>我们还就已遵守与独立性相关的职业道德要求向治理层提供声明，并与治理层沟通可能被合理认为影响我们独立性的所</w:t>
      </w:r>
      <w:r>
        <w:rPr/>
        <w:t> 有关系和其他事项，以及相关的防范措施（如适用）。</w:t>
      </w:r>
    </w:p>
    <w:p>
      <w:pPr>
        <w:pStyle w:val="BodyText"/>
        <w:spacing w:line="319" w:lineRule="auto" w:before="55"/>
        <w:ind w:right="1133" w:firstLine="360"/>
        <w:jc w:val="both"/>
      </w:pPr>
      <w:r>
        <w:rPr>
          <w:spacing w:val="-2"/>
        </w:rPr>
        <w:t>从与治理层沟通过的事项中，我们确定哪些事项对本期财务报表审计最为重要，因而构成关键审计事项。我们在审计报</w:t>
      </w:r>
      <w:r>
        <w:rPr/>
        <w:t> </w:t>
      </w:r>
      <w:r>
        <w:rPr>
          <w:spacing w:val="-2"/>
        </w:rPr>
        <w:t>告中描述这些事项，除非法律法规禁止公开披露这些事项，或在极少数情形下，如果合理预期在审计报告中沟通某事项造成</w:t>
      </w:r>
      <w:r>
        <w:rPr>
          <w:spacing w:val="-66"/>
        </w:rPr>
        <w:t> </w:t>
      </w:r>
      <w:r>
        <w:rPr>
          <w:spacing w:val="-66"/>
        </w:rPr>
      </w:r>
      <w:r>
        <w:rPr/>
        <w:t>的负面后果超过在公众利益方面产生的益处，我们确定不应在审计报告中沟通该事项。</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6"/>
          <w:szCs w:val="16"/>
        </w:rPr>
      </w:pPr>
    </w:p>
    <w:p>
      <w:pPr>
        <w:pStyle w:val="BodyText"/>
        <w:spacing w:line="300" w:lineRule="auto"/>
        <w:ind w:right="8112"/>
        <w:jc w:val="left"/>
      </w:pPr>
      <w:r>
        <w:rPr/>
        <w:t>大华会计师事务所</w:t>
      </w:r>
      <w:r>
        <w:rPr>
          <w:rFonts w:ascii="Times New Roman" w:hAnsi="Times New Roman" w:cs="Times New Roman" w:eastAsia="Times New Roman" w:hint="default"/>
        </w:rPr>
        <w:t>(</w:t>
      </w:r>
      <w:r>
        <w:rPr/>
        <w:t>特殊普通合伙</w:t>
      </w:r>
      <w:r>
        <w:rPr>
          <w:rFonts w:ascii="Times New Roman" w:hAnsi="Times New Roman" w:cs="Times New Roman" w:eastAsia="Times New Roman" w:hint="default"/>
        </w:rPr>
        <w:t>) </w:t>
      </w:r>
      <w:r>
        <w:rPr/>
        <w:t>中国</w:t>
      </w:r>
      <w:r>
        <w:rPr>
          <w:rFonts w:ascii="Times New Roman" w:hAnsi="Times New Roman" w:cs="Times New Roman" w:eastAsia="Times New Roman" w:hint="default"/>
        </w:rPr>
        <w:t>·</w:t>
      </w:r>
      <w:r>
        <w:rPr/>
        <w:t>北京</w:t>
      </w:r>
    </w:p>
    <w:p>
      <w:pPr>
        <w:spacing w:line="240" w:lineRule="auto" w:before="11"/>
        <w:rPr>
          <w:rFonts w:ascii="宋体" w:hAnsi="宋体" w:cs="宋体" w:eastAsia="宋体" w:hint="default"/>
          <w:sz w:val="24"/>
          <w:szCs w:val="24"/>
        </w:rPr>
      </w:pPr>
    </w:p>
    <w:p>
      <w:pPr>
        <w:pStyle w:val="BodyText"/>
        <w:spacing w:line="240" w:lineRule="auto"/>
        <w:ind w:left="5856" w:right="1131"/>
        <w:jc w:val="right"/>
      </w:pPr>
      <w:r>
        <w:rPr/>
        <w:t>中国注册会计师：陈葆华（项目合伙人）</w:t>
      </w:r>
    </w:p>
    <w:p>
      <w:pPr>
        <w:pStyle w:val="BodyText"/>
        <w:spacing w:line="316" w:lineRule="auto" w:before="76"/>
        <w:ind w:left="5856" w:right="1130"/>
        <w:jc w:val="right"/>
      </w:pPr>
      <w:r>
        <w:rPr/>
        <w:t>中国注册会计师：周灵芝 二〇一九年三月二十六日</w:t>
      </w:r>
    </w:p>
    <w:p>
      <w:pPr>
        <w:spacing w:line="240" w:lineRule="auto" w:before="10"/>
        <w:rPr>
          <w:rFonts w:ascii="宋体" w:hAnsi="宋体" w:cs="宋体" w:eastAsia="宋体" w:hint="default"/>
          <w:sz w:val="20"/>
          <w:szCs w:val="20"/>
        </w:rPr>
      </w:pPr>
    </w:p>
    <w:p>
      <w:pPr>
        <w:pStyle w:val="Heading2"/>
        <w:spacing w:line="240" w:lineRule="auto"/>
        <w:ind w:right="1134"/>
        <w:jc w:val="left"/>
        <w:rPr>
          <w:b w:val="0"/>
          <w:bCs w:val="0"/>
        </w:rPr>
      </w:pPr>
      <w:bookmarkStart w:name="二、财务报表" w:id="153"/>
      <w:bookmarkEnd w:id="153"/>
      <w:r>
        <w:rPr>
          <w:b w:val="0"/>
          <w:bCs w:val="0"/>
        </w:rPr>
      </w:r>
      <w:r>
        <w:rPr/>
        <w:t>二、财务报表</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4"/>
        <w:jc w:val="left"/>
      </w:pPr>
      <w:r>
        <w:rPr/>
        <w:t>财务附注中报表的单位为：人民币元</w:t>
      </w:r>
    </w:p>
    <w:p>
      <w:pPr>
        <w:spacing w:line="240" w:lineRule="auto" w:before="10"/>
        <w:rPr>
          <w:rFonts w:ascii="宋体" w:hAnsi="宋体" w:cs="宋体" w:eastAsia="宋体" w:hint="default"/>
          <w:sz w:val="26"/>
          <w:szCs w:val="26"/>
        </w:rPr>
      </w:pPr>
    </w:p>
    <w:p>
      <w:pPr>
        <w:pStyle w:val="Heading3"/>
        <w:spacing w:line="240" w:lineRule="auto"/>
        <w:ind w:right="1134"/>
        <w:jc w:val="left"/>
        <w:rPr>
          <w:b w:val="0"/>
          <w:bCs w:val="0"/>
        </w:rPr>
      </w:pPr>
      <w:bookmarkStart w:name="1、合并资产负债表" w:id="154"/>
      <w:bookmarkEnd w:id="154"/>
      <w:r>
        <w:rPr>
          <w:b w:val="0"/>
          <w:bCs w:val="0"/>
        </w:rPr>
      </w:r>
      <w:r>
        <w:rPr>
          <w:rFonts w:ascii="Times New Roman" w:hAnsi="Times New Roman" w:cs="Times New Roman" w:eastAsia="Times New Roman" w:hint="default"/>
        </w:rPr>
        <w:t>1</w:t>
      </w:r>
      <w:r>
        <w:rPr/>
        <w:t>、合并资产负债表</w:t>
      </w:r>
      <w:r>
        <w:rPr>
          <w:b w:val="0"/>
          <w:bCs w:val="0"/>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747" w:footer="979" w:top="1060" w:bottom="1160" w:left="980" w:right="0"/>
        </w:sectPr>
      </w:pPr>
    </w:p>
    <w:p>
      <w:pPr>
        <w:pStyle w:val="BodyText"/>
        <w:spacing w:line="240" w:lineRule="auto" w:before="44"/>
        <w:ind w:right="-20"/>
        <w:jc w:val="left"/>
      </w:pPr>
      <w:r>
        <w:rPr/>
        <w:t>编制单位：深圳市优博讯科技股份有限公司</w:t>
      </w:r>
    </w:p>
    <w:p>
      <w:pPr>
        <w:spacing w:line="240" w:lineRule="auto" w:before="0"/>
        <w:rPr>
          <w:rFonts w:ascii="宋体" w:hAnsi="宋体" w:cs="宋体" w:eastAsia="宋体" w:hint="default"/>
          <w:sz w:val="18"/>
          <w:szCs w:val="18"/>
        </w:rPr>
      </w:pPr>
      <w:r>
        <w:rPr/>
        <w:br w:type="column"/>
      </w:r>
      <w:r>
        <w:rPr>
          <w:rFonts w:ascii="宋体"/>
          <w:sz w:val="18"/>
        </w:rPr>
      </w:r>
    </w:p>
    <w:p>
      <w:pPr>
        <w:pStyle w:val="BodyText"/>
        <w:spacing w:line="240" w:lineRule="auto" w:before="160"/>
        <w:ind w:left="153" w:right="-16"/>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12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pStyle w:val="BodyText"/>
        <w:spacing w:line="240" w:lineRule="auto"/>
        <w:ind w:left="153" w:right="0"/>
        <w:jc w:val="left"/>
      </w:pPr>
      <w:r>
        <w:rPr/>
        <w:t>单位：元</w:t>
      </w:r>
    </w:p>
    <w:p>
      <w:pPr>
        <w:spacing w:after="0" w:line="240" w:lineRule="auto"/>
        <w:jc w:val="left"/>
        <w:sectPr>
          <w:type w:val="continuous"/>
          <w:pgSz w:w="11910" w:h="16840"/>
          <w:pgMar w:top="1060" w:bottom="1160" w:left="980" w:right="0"/>
          <w:cols w:num="3" w:equalWidth="0">
            <w:col w:w="3575" w:space="503"/>
            <w:col w:w="1639" w:space="3203"/>
            <w:col w:w="2010"/>
          </w:cols>
        </w:sectPr>
      </w:pP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71"/>
        <w:gridCol w:w="3418"/>
        <w:gridCol w:w="296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384,387,337.42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324,095,634.17</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89"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 损益的金融资产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3,293,217.16</w:t>
            </w: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316,768,455.44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178,069,348.02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40,987,297.99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12,360,475.10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56"/>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275,781,157.45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165,708,872.92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22,996,241.51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15,423,744.45</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171"/>
        <w:gridCol w:w="3418"/>
        <w:gridCol w:w="296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4,192,586.30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9,842,285.47</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418,002.87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345,640.30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56"/>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260,275,770.92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133,121,920.57</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3,579,050.26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2,106,184.86</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995,492,659.01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662,659,117.54</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52,168,989.26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47,021,365.44</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37,261,854.92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10,691,419.75</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4,110,324.12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1,592,042.69</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84,663,192.09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87,063,582.81</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8,172,329.42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4,663,026.62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10,071,856.61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7,430,389.15</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817,416.01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27,664,713.46</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197,265,962.43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186,126,539.92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1,192,758,621.44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848,785,657.46</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206,100,347.70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55,778,642.70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171"/>
        <w:gridCol w:w="3418"/>
        <w:gridCol w:w="296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89"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 损益的金融负债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138,020,220.59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58,109,254.09</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16,357,405.97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11,514,828.35</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20,022,686.75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9,951,636.04</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9,694,683.28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6,415,413.64</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51,146,481.51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72,948,939.91</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276,018.89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29,299.44</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56"/>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441,341,825.80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214,718,714.73</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3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5,857,051.89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6,246,340.18</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43,106.64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101,742.22</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5,900,158.53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6,348,082.40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171"/>
        <w:gridCol w:w="3418"/>
        <w:gridCol w:w="296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447,241,984.33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221,066,797.13</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4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280,000,000.00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280,000,000.00</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36"/>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27,436,695.79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27,436,695.79</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-92,579.10</w:t>
            </w:r>
            <w:r>
              <w:rPr>
                <w:rFonts w:ascii="Times New Roman"/>
                <w:sz w:val="18"/>
              </w:rPr>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-72,919.43</w:t>
            </w:r>
            <w:r>
              <w:rPr>
                <w:rFonts w:ascii="Times New Roman"/>
                <w:sz w:val="18"/>
              </w:rPr>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19,176,571.97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14,252,149.49</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418" w:type="dxa"/>
            <w:tcBorders>
              <w:top w:val="single" w:sz="4" w:space="0" w:color="000000"/>
              <w:left w:val="single" w:sz="13" w:space="0" w:color="D2D2D2"/>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381,974,990.59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275,248,992.99</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708,495,679.25</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596,864,918.84</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37,020,957.86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30,853,941.49</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745,516,637.11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627,718,860.33</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4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1,192,758,621.44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848,785,657.46</w:t>
            </w:r>
          </w:p>
        </w:tc>
      </w:tr>
    </w:tbl>
    <w:p>
      <w:pPr>
        <w:spacing w:line="240" w:lineRule="auto" w:before="3"/>
        <w:rPr>
          <w:rFonts w:ascii="Times New Roman" w:hAnsi="Times New Roman" w:cs="Times New Roman" w:eastAsia="Times New Roman" w:hint="default"/>
          <w:sz w:val="23"/>
          <w:szCs w:val="23"/>
        </w:rPr>
      </w:pPr>
    </w:p>
    <w:p>
      <w:pPr>
        <w:pStyle w:val="BodyText"/>
        <w:tabs>
          <w:tab w:pos="3704" w:val="left" w:leader="none"/>
          <w:tab w:pos="7849" w:val="left" w:leader="none"/>
        </w:tabs>
        <w:spacing w:line="240" w:lineRule="auto" w:before="44"/>
        <w:ind w:left="0" w:right="1132"/>
        <w:jc w:val="right"/>
      </w:pPr>
      <w:r>
        <w:rPr>
          <w:spacing w:val="-2"/>
        </w:rPr>
        <w:t>法定代表人：</w:t>
      </w:r>
      <w:r>
        <w:rPr>
          <w:rFonts w:ascii="Times New Roman" w:hAnsi="Times New Roman" w:cs="Times New Roman" w:eastAsia="Times New Roman" w:hint="default"/>
          <w:spacing w:val="-2"/>
        </w:rPr>
        <w:t>GUO</w:t>
      </w:r>
      <w:r>
        <w:rPr>
          <w:rFonts w:ascii="Times New Roman" w:hAnsi="Times New Roman" w:cs="Times New Roman" w:eastAsia="Times New Roman" w:hint="default"/>
          <w:spacing w:val="8"/>
        </w:rPr>
        <w:t> </w:t>
      </w:r>
      <w:r>
        <w:rPr>
          <w:rFonts w:ascii="Times New Roman" w:hAnsi="Times New Roman" w:cs="Times New Roman" w:eastAsia="Times New Roman" w:hint="default"/>
          <w:spacing w:val="-1"/>
        </w:rPr>
        <w:t>SONG</w:t>
        <w:tab/>
      </w:r>
      <w:r>
        <w:rPr>
          <w:spacing w:val="-1"/>
        </w:rPr>
        <w:t>主管会计工作负责人：</w:t>
      </w:r>
      <w:r>
        <w:rPr>
          <w:rFonts w:ascii="Times New Roman" w:hAnsi="Times New Roman" w:cs="Times New Roman" w:eastAsia="Times New Roman" w:hint="default"/>
          <w:spacing w:val="-1"/>
        </w:rPr>
        <w:t>LIU</w:t>
      </w:r>
      <w:r>
        <w:rPr>
          <w:rFonts w:ascii="Times New Roman" w:hAnsi="Times New Roman" w:cs="Times New Roman" w:eastAsia="Times New Roman" w:hint="default"/>
          <w:spacing w:val="3"/>
        </w:rPr>
        <w:t> </w:t>
      </w:r>
      <w:r>
        <w:rPr>
          <w:rFonts w:ascii="Times New Roman" w:hAnsi="Times New Roman" w:cs="Times New Roman" w:eastAsia="Times New Roman" w:hint="default"/>
          <w:spacing w:val="-1"/>
        </w:rPr>
        <w:t>DAN</w:t>
        <w:tab/>
      </w:r>
      <w:r>
        <w:rPr>
          <w:spacing w:val="-2"/>
        </w:rPr>
        <w:t>会计机构负责人：张晔</w:t>
      </w:r>
    </w:p>
    <w:p>
      <w:pPr>
        <w:spacing w:line="240" w:lineRule="auto" w:before="10"/>
        <w:rPr>
          <w:rFonts w:ascii="宋体" w:hAnsi="宋体" w:cs="宋体" w:eastAsia="宋体" w:hint="default"/>
          <w:sz w:val="25"/>
          <w:szCs w:val="25"/>
        </w:rPr>
      </w:pPr>
    </w:p>
    <w:p>
      <w:pPr>
        <w:pStyle w:val="Heading3"/>
        <w:spacing w:line="240" w:lineRule="auto"/>
        <w:ind w:right="1134"/>
        <w:jc w:val="left"/>
        <w:rPr>
          <w:b w:val="0"/>
          <w:bCs w:val="0"/>
        </w:rPr>
      </w:pPr>
      <w:bookmarkStart w:name="2、母公司资产负债表" w:id="155"/>
      <w:bookmarkEnd w:id="155"/>
      <w:r>
        <w:rPr>
          <w:b w:val="0"/>
          <w:bCs w:val="0"/>
        </w:rPr>
      </w:r>
      <w:r>
        <w:rPr>
          <w:rFonts w:ascii="Times New Roman" w:hAnsi="Times New Roman" w:cs="Times New Roman" w:eastAsia="Times New Roman" w:hint="default"/>
        </w:rPr>
        <w:t>2</w:t>
      </w:r>
      <w:r>
        <w:rPr/>
        <w:t>、母公司资产负债表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856"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6"/>
      </w:tblGrid>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291,521,577.54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238,226,675.82</w:t>
            </w:r>
          </w:p>
        </w:tc>
      </w:tr>
      <w:tr>
        <w:trPr>
          <w:trHeight w:val="71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5"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 益的金融资产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3,293,217.16</w:t>
            </w: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301,606,122.05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176,301,850.72</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40,987,297.99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12,360,475.10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64"/>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260,618,824.06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163,941,375.62</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17,666,718.18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11,468,855.75</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15,459,364.82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14,791,224.82</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418,002.87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345,640.30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64"/>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6"/>
      </w:tblGrid>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274,449,965.27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144,425,787.28</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1,868,658.23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894,996.38</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905,865,623.25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586,109,390.77</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214,116,807.30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208,846,019.34</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33,608,505.67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6,677,994.81</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3,815,317.28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954,734.88</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8,090,318.93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4,409,777.69</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7,161,890.18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4,408,750.98</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817,416.01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26,980,578.42</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267,610,255.37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252,277,856.12</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1,173,475,878.62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838,387,246.89</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186,100,347.70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55,778,642.70</w:t>
            </w:r>
          </w:p>
        </w:tc>
      </w:tr>
      <w:tr>
        <w:trPr>
          <w:trHeight w:val="714"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5"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 益的金融负债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373,259,899.86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232,277,123.25</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14,403,490.07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9,619,884.42</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15,436,715.87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6,049,201.37</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760,741.12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879,357.98</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103,359,750.63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96,498,126.54</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276,018.89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29,299.44</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3278"/>
        <w:gridCol w:w="3314"/>
        <w:gridCol w:w="2966"/>
      </w:tblGrid>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64"/>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693,320,945.25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401,102,336.26</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44"/>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5,661,551.89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6,246,340.18</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5,661,551.89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6,246,340.18</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698,982,497.14</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407,348,676.44</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280,000,000.00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280,000,000.00</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51"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44"/>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27,257,516.71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27,446,930.45</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14" w:type="dxa"/>
            <w:tcBorders>
              <w:top w:val="single" w:sz="4" w:space="0" w:color="000000"/>
              <w:left w:val="single" w:sz="10" w:space="0" w:color="D2D2D2"/>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19,176,571.97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14,252,149.49</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148,059,292.80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109,339,490.51</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474,493,381.48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431,038,570.45</w:t>
            </w:r>
          </w:p>
        </w:tc>
      </w:tr>
      <w:tr>
        <w:trPr>
          <w:trHeight w:val="402" w:hRule="exact"/>
        </w:trPr>
        <w:tc>
          <w:tcPr>
            <w:tcW w:w="32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14"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pacing w:val="-1"/>
                <w:sz w:val="18"/>
              </w:rPr>
              <w:t>1,173,475,878.62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838,387,246.89</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1134"/>
        <w:jc w:val="left"/>
        <w:rPr>
          <w:b w:val="0"/>
          <w:bCs w:val="0"/>
        </w:rPr>
      </w:pPr>
      <w:bookmarkStart w:name="3、合并利润表" w:id="156"/>
      <w:bookmarkEnd w:id="156"/>
      <w:r>
        <w:rPr>
          <w:b w:val="0"/>
          <w:bCs w:val="0"/>
        </w:rPr>
      </w:r>
      <w:r>
        <w:rPr>
          <w:rFonts w:ascii="Times New Roman" w:hAnsi="Times New Roman" w:cs="Times New Roman" w:eastAsia="Times New Roman" w:hint="default"/>
        </w:rPr>
        <w:t>3</w:t>
      </w:r>
      <w:r>
        <w:rPr/>
        <w:t>、合并利润表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单位：元</w:t>
      </w:r>
    </w:p>
    <w:p>
      <w:pPr>
        <w:spacing w:after="0" w:line="240" w:lineRule="auto"/>
        <w:jc w:val="right"/>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300"/>
      </w:tblGrid>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951,939,425.66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443,219,977.40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951,939,425.66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443,219,977.40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839,030,701.38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406,017,282.70</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634,928,821.30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277,183,767.82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4,863,285.58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3,283,933.39</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59,889,042.57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36,475,097.53</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36,043,044.77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21,784,757.62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72,231,425.05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55,869,895.81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-1,218,783.68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699,866.21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91"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3,950,449.39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-156,871.40</w:t>
            </w:r>
            <w:r>
              <w:rPr>
                <w:rFonts w:ascii="Times New Roman"/>
                <w:sz w:val="18"/>
              </w:rPr>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3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3,207,330.84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1,560,105.95</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32,293,865.79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10,719,964.32</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28,258,686.38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18,702,232.30</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7,886,928.03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3,668,552.19</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6,531,113.71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271,365.44</w:t>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公允价值变动收益（损失以</w:t>
            </w:r>
          </w:p>
          <w:p>
            <w:pPr>
              <w:pStyle w:val="TableParagraph"/>
              <w:spacing w:line="240" w:lineRule="auto" w:before="77"/>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3,293,217.16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-359,802.74</w:t>
            </w:r>
            <w:r>
              <w:rPr>
                <w:rFonts w:ascii="Times New Roman"/>
                <w:sz w:val="18"/>
              </w:rPr>
            </w: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70,749.14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46,224.91</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152,418,304.99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59,259,901.36</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606,548.68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782,002.58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1,956,078.05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218,424.38</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151,068,775.62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59,823,479.56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20,546,339.17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4,506,986.50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130,522,436.45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55,316,493.06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130,522,436.45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55,316,493.06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117,250,420.08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48,613,327.58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13,272,016.37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6,703,165.48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-19,659.67</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-8,074.05</w:t>
            </w:r>
            <w:r>
              <w:rPr>
                <w:rFonts w:ascii="Times New Roman"/>
                <w:sz w:val="18"/>
              </w:rPr>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归属母公司所有者的其他综合收益 的税后净额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-19,659.67</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-8,074.05</w:t>
            </w:r>
            <w:r>
              <w:rPr>
                <w:rFonts w:ascii="Times New Roman"/>
                <w:sz w:val="18"/>
              </w:rPr>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（一）不能重分类进损益的其他 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变动额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98"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 其他综合收益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（二）将重分类进损益的其他综 合收益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-19,659.67</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-8,074.05</w:t>
            </w:r>
            <w:r>
              <w:rPr>
                <w:rFonts w:ascii="Times New Roman"/>
                <w:sz w:val="18"/>
              </w:rPr>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他综合收益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98"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 价值变动损益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98"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w:t>
            </w:r>
          </w:p>
          <w:p>
            <w:pPr>
              <w:pStyle w:val="TableParagraph"/>
              <w:spacing w:line="240" w:lineRule="auto" w:before="64"/>
              <w:ind w:left="22"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8"/>
              <w:jc w:val="right"/>
              <w:rPr>
                <w:rFonts w:ascii="宋体" w:hAnsi="宋体" w:cs="宋体" w:eastAsia="宋体" w:hint="default"/>
                <w:sz w:val="18"/>
                <w:szCs w:val="18"/>
              </w:rPr>
            </w:pPr>
            <w:r>
              <w:rPr>
                <w:rFonts w:ascii="Times New Roman" w:hAnsi="Times New Roman" w:cs="Times New Roman" w:eastAsia="Times New Roman" w:hint="default"/>
                <w:spacing w:val="-1"/>
                <w:sz w:val="18"/>
                <w:szCs w:val="18"/>
              </w:rPr>
              <w:t>5.</w:t>
            </w:r>
            <w:r>
              <w:rPr>
                <w:rFonts w:ascii="宋体" w:hAnsi="宋体" w:cs="宋体" w:eastAsia="宋体" w:hint="default"/>
                <w:spacing w:val="-1"/>
                <w:sz w:val="18"/>
                <w:szCs w:val="18"/>
              </w:rPr>
              <w:t>外币财务报表折算差额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-19,659.67</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-8,074.05</w:t>
            </w:r>
            <w:r>
              <w:rPr>
                <w:rFonts w:ascii="Times New Roman"/>
                <w:sz w:val="18"/>
              </w:rPr>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归属于少数股东的其他综合收益的 税后净额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130,502,776.78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55,308,419.01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right="54"/>
              <w:jc w:val="right"/>
              <w:rPr>
                <w:rFonts w:ascii="宋体" w:hAnsi="宋体" w:cs="宋体" w:eastAsia="宋体" w:hint="default"/>
                <w:sz w:val="18"/>
                <w:szCs w:val="18"/>
              </w:rPr>
            </w:pPr>
            <w:r>
              <w:rPr>
                <w:rFonts w:ascii="宋体" w:hAnsi="宋体" w:cs="宋体" w:eastAsia="宋体" w:hint="default"/>
                <w:sz w:val="18"/>
                <w:szCs w:val="18"/>
              </w:rPr>
              <w:t>归属于母公司所有者的综合收益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117,230,760.41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48,605,253.53</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5"/>
        <w:gridCol w:w="3312"/>
        <w:gridCol w:w="3300"/>
      </w:tblGrid>
      <w:tr>
        <w:trPr>
          <w:trHeight w:val="36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总额</w:t>
            </w:r>
          </w:p>
        </w:tc>
        <w:tc>
          <w:tcPr>
            <w:tcW w:w="331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13,272,016.37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6,703,165.48</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31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0.17</w:t>
            </w:r>
          </w:p>
        </w:tc>
      </w:tr>
      <w:tr>
        <w:trPr>
          <w:trHeight w:val="402" w:hRule="exact"/>
        </w:trPr>
        <w:tc>
          <w:tcPr>
            <w:tcW w:w="29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1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0.17</w:t>
            </w:r>
          </w:p>
        </w:tc>
      </w:tr>
    </w:tbl>
    <w:p>
      <w:pPr>
        <w:pStyle w:val="BodyText"/>
        <w:tabs>
          <w:tab w:pos="3858" w:val="left" w:leader="none"/>
          <w:tab w:pos="8003" w:val="left" w:leader="none"/>
        </w:tabs>
        <w:spacing w:line="624" w:lineRule="auto" w:before="51"/>
        <w:ind w:right="1132"/>
        <w:jc w:val="left"/>
      </w:pPr>
      <w:r>
        <w:rPr/>
        <w:t>本期发生同一控制下企业合并的，被合并方在合并前实现的净利润为：元，上期被合并方实现的净利润为：元。 </w:t>
      </w:r>
      <w:r>
        <w:rPr>
          <w:spacing w:val="-2"/>
        </w:rPr>
        <w:t>法定代表人：</w:t>
      </w:r>
      <w:r>
        <w:rPr>
          <w:rFonts w:ascii="Times New Roman" w:hAnsi="Times New Roman" w:cs="Times New Roman" w:eastAsia="Times New Roman" w:hint="default"/>
          <w:spacing w:val="-2"/>
        </w:rPr>
        <w:t>GUO</w:t>
      </w:r>
      <w:r>
        <w:rPr>
          <w:rFonts w:ascii="Times New Roman" w:hAnsi="Times New Roman" w:cs="Times New Roman" w:eastAsia="Times New Roman" w:hint="default"/>
          <w:spacing w:val="8"/>
        </w:rPr>
        <w:t> </w:t>
      </w:r>
      <w:r>
        <w:rPr>
          <w:rFonts w:ascii="Times New Roman" w:hAnsi="Times New Roman" w:cs="Times New Roman" w:eastAsia="Times New Roman" w:hint="default"/>
          <w:spacing w:val="-1"/>
        </w:rPr>
        <w:t>SONG</w:t>
        <w:tab/>
      </w:r>
      <w:r>
        <w:rPr>
          <w:spacing w:val="-1"/>
        </w:rPr>
        <w:t>主管会计工作负责人：</w:t>
      </w:r>
      <w:r>
        <w:rPr>
          <w:rFonts w:ascii="Times New Roman" w:hAnsi="Times New Roman" w:cs="Times New Roman" w:eastAsia="Times New Roman" w:hint="default"/>
          <w:spacing w:val="-1"/>
        </w:rPr>
        <w:t>LIU</w:t>
      </w:r>
      <w:r>
        <w:rPr>
          <w:rFonts w:ascii="Times New Roman" w:hAnsi="Times New Roman" w:cs="Times New Roman" w:eastAsia="Times New Roman" w:hint="default"/>
          <w:spacing w:val="3"/>
        </w:rPr>
        <w:t> </w:t>
      </w:r>
      <w:r>
        <w:rPr>
          <w:rFonts w:ascii="Times New Roman" w:hAnsi="Times New Roman" w:cs="Times New Roman" w:eastAsia="Times New Roman" w:hint="default"/>
          <w:spacing w:val="-1"/>
        </w:rPr>
        <w:t>DAN</w:t>
        <w:tab/>
      </w:r>
      <w:r>
        <w:rPr>
          <w:spacing w:val="-2"/>
        </w:rPr>
        <w:t>会计机构负责人：张晔</w:t>
      </w:r>
    </w:p>
    <w:p>
      <w:pPr>
        <w:pStyle w:val="Heading3"/>
        <w:spacing w:line="240" w:lineRule="auto" w:before="18"/>
        <w:ind w:right="1134"/>
        <w:jc w:val="left"/>
        <w:rPr>
          <w:b w:val="0"/>
          <w:bCs w:val="0"/>
        </w:rPr>
      </w:pPr>
      <w:bookmarkStart w:name="4、母公司利润表" w:id="157"/>
      <w:bookmarkEnd w:id="157"/>
      <w:r>
        <w:rPr>
          <w:b w:val="0"/>
          <w:bCs w:val="0"/>
        </w:rPr>
      </w:r>
      <w:r>
        <w:rPr>
          <w:rFonts w:ascii="Times New Roman" w:hAnsi="Times New Roman" w:cs="Times New Roman" w:eastAsia="Times New Roman" w:hint="default"/>
        </w:rPr>
        <w:t>4</w:t>
      </w:r>
      <w:r>
        <w:rPr/>
        <w:t>、母公司利润表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856"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883,665,750.90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411,016,775.37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756,285,611.26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375,259,549.15</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1,489,125.88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461,034.36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55,038,495.69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32,884,021.74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29,360,565.68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14,756,290.47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41,703,968.69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30,673,472.47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-322,924.69</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1,077,024.72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宋体" w:hAnsi="宋体" w:cs="宋体" w:eastAsia="宋体" w:hint="default"/>
                <w:sz w:val="18"/>
                <w:szCs w:val="18"/>
              </w:rPr>
              <w:t>其中：利息费用</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3,950,449.39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308,528.60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451"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2,299,831.80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1,564,753.80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29,206,600.39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9,874,322.26</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6,534,641.77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5,419,071.31</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列）</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65,346,316.14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83,153,464.83</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1"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6,642,077.16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325,384.64</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公允价值变动收益（损失以</w:t>
            </w:r>
          </w:p>
          <w:p>
            <w:pPr>
              <w:pStyle w:val="TableParagraph"/>
              <w:spacing w:line="240" w:lineRule="auto" w:before="76"/>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3,293,217.16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-359,802.74</w:t>
            </w:r>
            <w:r>
              <w:rPr>
                <w:rFonts w:ascii="Times New Roman"/>
                <w:sz w:val="18"/>
              </w:rPr>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资产处置收益（损失以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71,193.58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46,224.91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46,149,676.65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34,290,018.51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587,144.20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782,002.58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245,735.28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79,115.34</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1" w:right="59"/>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46,491,085.57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34,992,905.75</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-2,753,139.20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-606,750.92</w:t>
            </w:r>
            <w:r>
              <w:rPr>
                <w:rFonts w:ascii="Times New Roman"/>
                <w:sz w:val="18"/>
              </w:rPr>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49,244,224.77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35,599,656.67</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49,244,224.77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35,599,656.67</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（二）终止经营净利润（净亏损 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（一）不能重分类进损益的其他 综合收益</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变动额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85"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 其他综合收益</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1"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（二）将重分类进损益的其他综 合收益</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他综合收益</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85"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可供出售金融资产公允 价值变动损益</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85"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持有至到期投资重分类 为可供出售金融资产损益</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现金流量套期损益的有</w:t>
            </w:r>
          </w:p>
          <w:p>
            <w:pPr>
              <w:pStyle w:val="TableParagraph"/>
              <w:spacing w:line="240" w:lineRule="auto" w:before="64"/>
              <w:ind w:left="11" w:right="0"/>
              <w:jc w:val="left"/>
              <w:rPr>
                <w:rFonts w:ascii="宋体" w:hAnsi="宋体" w:cs="宋体" w:eastAsia="宋体" w:hint="default"/>
                <w:sz w:val="18"/>
                <w:szCs w:val="18"/>
              </w:rPr>
            </w:pPr>
            <w:r>
              <w:rPr>
                <w:rFonts w:ascii="宋体" w:hAnsi="宋体" w:cs="宋体" w:eastAsia="宋体" w:hint="default"/>
                <w:sz w:val="18"/>
                <w:szCs w:val="18"/>
              </w:rPr>
              <w:t>效部分</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49,244,224.77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35,599,656.67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0.18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0.18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0.13</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5、合并现金流量表" w:id="158"/>
      <w:bookmarkEnd w:id="158"/>
      <w:r>
        <w:rPr>
          <w:b w:val="0"/>
          <w:bCs w:val="0"/>
        </w:rPr>
      </w:r>
      <w:r>
        <w:rPr>
          <w:rFonts w:ascii="Times New Roman" w:hAnsi="Times New Roman" w:cs="Times New Roman" w:eastAsia="Times New Roman" w:hint="default"/>
        </w:rPr>
        <w:t>5</w:t>
      </w:r>
      <w:r>
        <w:rPr/>
        <w:t>、合并现金流量表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955"/>
        <w:gridCol w:w="3302"/>
        <w:gridCol w:w="3300"/>
      </w:tblGrid>
      <w:tr>
        <w:trPr>
          <w:trHeight w:val="402" w:hRule="exact"/>
        </w:trPr>
        <w:tc>
          <w:tcPr>
            <w:tcW w:w="29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132" w:right="0"/>
              <w:jc w:val="left"/>
              <w:rPr>
                <w:rFonts w:ascii="Times New Roman" w:hAnsi="Times New Roman" w:cs="Times New Roman" w:eastAsia="Times New Roman" w:hint="default"/>
                <w:sz w:val="18"/>
                <w:szCs w:val="18"/>
              </w:rPr>
            </w:pPr>
            <w:r>
              <w:rPr>
                <w:rFonts w:ascii="Times New Roman"/>
                <w:sz w:val="18"/>
              </w:rPr>
              <w:t>873,438,760.17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43" w:right="0"/>
              <w:jc w:val="left"/>
              <w:rPr>
                <w:rFonts w:ascii="Times New Roman" w:hAnsi="Times New Roman" w:cs="Times New Roman" w:eastAsia="Times New Roman" w:hint="default"/>
                <w:sz w:val="18"/>
                <w:szCs w:val="18"/>
              </w:rPr>
            </w:pPr>
            <w:r>
              <w:rPr>
                <w:rFonts w:ascii="Times New Roman"/>
                <w:sz w:val="18"/>
              </w:rPr>
              <w:t>470,169,880.27</w:t>
            </w:r>
          </w:p>
        </w:tc>
      </w:tr>
      <w:tr>
        <w:trPr>
          <w:trHeight w:val="402" w:hRule="exact"/>
        </w:trPr>
        <w:tc>
          <w:tcPr>
            <w:tcW w:w="29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right="51"/>
              <w:jc w:val="right"/>
              <w:rPr>
                <w:rFonts w:ascii="宋体" w:hAnsi="宋体" w:cs="宋体" w:eastAsia="宋体" w:hint="default"/>
                <w:sz w:val="18"/>
                <w:szCs w:val="18"/>
              </w:rPr>
            </w:pPr>
            <w:r>
              <w:rPr>
                <w:rFonts w:ascii="宋体" w:hAnsi="宋体" w:cs="宋体" w:eastAsia="宋体" w:hint="default"/>
                <w:sz w:val="18"/>
                <w:szCs w:val="18"/>
              </w:rPr>
              <w:t>客户存款和同业存放款项净增加</w:t>
            </w:r>
          </w:p>
        </w:tc>
        <w:tc>
          <w:tcPr>
            <w:tcW w:w="3302"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36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向其他金融机构拆入资金净增加</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收到原保险合同保费取得的现金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处置以公允价值计量且其变动计 入当期损益的金融资产净增加额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1"/>
              <w:jc w:val="right"/>
              <w:rPr>
                <w:rFonts w:ascii="宋体" w:hAnsi="宋体" w:cs="宋体" w:eastAsia="宋体" w:hint="default"/>
                <w:sz w:val="18"/>
                <w:szCs w:val="18"/>
              </w:rPr>
            </w:pPr>
            <w:r>
              <w:rPr>
                <w:rFonts w:ascii="宋体" w:hAnsi="宋体" w:cs="宋体" w:eastAsia="宋体" w:hint="default"/>
                <w:sz w:val="18"/>
                <w:szCs w:val="18"/>
              </w:rPr>
              <w:t>收取利息、手续费及佣金的现金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58,083,074.57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18,083,938.72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20,186,610.63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7,199,399.99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951,708,445.37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495,453,218.98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780,081,817.43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288,785,683.89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存放中央银行和同业款项净增加</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1"/>
              <w:jc w:val="right"/>
              <w:rPr>
                <w:rFonts w:ascii="宋体" w:hAnsi="宋体" w:cs="宋体" w:eastAsia="宋体" w:hint="default"/>
                <w:sz w:val="18"/>
                <w:szCs w:val="18"/>
              </w:rPr>
            </w:pPr>
            <w:r>
              <w:rPr>
                <w:rFonts w:ascii="宋体" w:hAnsi="宋体" w:cs="宋体" w:eastAsia="宋体" w:hint="default"/>
                <w:sz w:val="18"/>
                <w:szCs w:val="18"/>
              </w:rPr>
              <w:t>支付原保险合同赔付款项的现金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支付利息、手续费及佣金的现金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79,380,583.81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63,654,829.14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54,967,769.26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32,959,093.32</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64,558,138.99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51,237,243.49</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978,988,309.49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436,636,849.84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-27,279,864.12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58,816,369.14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2,799,198.48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3,854,798.93</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16,200.00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225,000.00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447,500,000.00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469,232,451.22</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43"/>
        <w:gridCol w:w="3314"/>
        <w:gridCol w:w="3300"/>
      </w:tblGrid>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450,315,398.48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473,312,250.15</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15,420,855.77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35,415,511.64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36,626,000.00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26,124,000.00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34,080,017.17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447,500,000.00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331,000,000.00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499,546,855.77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426,619,528.81</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-49,231,457.29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46,692,721.34</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其中：子公司吸收少数股东投资 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174,503,286.00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56,334,120.00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14"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3,260,191.70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711,283.50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177,763,477.70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57,045,403.50</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24,503,286.00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12,500,000.00</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16,842,429.94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12,662,229.16</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其中：子公司支付给少数股东的 股利、利润</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7,105,000.00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2,341,431.59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18,834,066.67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43,687,147.53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43,996,295.83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134,076,330.17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13,049,107.67</w:t>
            </w:r>
          </w:p>
        </w:tc>
      </w:tr>
      <w:tr>
        <w:trPr>
          <w:trHeight w:val="714"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4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779,199.75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-2,326,854.08</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58,344,208.51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116,231,344.07</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303,043,074.70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186,811,730.63</w:t>
            </w:r>
          </w:p>
        </w:tc>
      </w:tr>
      <w:tr>
        <w:trPr>
          <w:trHeight w:val="402" w:hRule="exact"/>
        </w:trPr>
        <w:tc>
          <w:tcPr>
            <w:tcW w:w="2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1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361,387,283.21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303,043,074.70</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1134"/>
        <w:jc w:val="left"/>
        <w:rPr>
          <w:b w:val="0"/>
          <w:bCs w:val="0"/>
        </w:rPr>
      </w:pPr>
      <w:bookmarkStart w:name="6、母公司现金流量表" w:id="159"/>
      <w:bookmarkEnd w:id="159"/>
      <w:r>
        <w:rPr>
          <w:b w:val="0"/>
          <w:bCs w:val="0"/>
        </w:rPr>
      </w:r>
      <w:r>
        <w:rPr>
          <w:rFonts w:ascii="Times New Roman" w:hAnsi="Times New Roman" w:cs="Times New Roman" w:eastAsia="Times New Roman" w:hint="default"/>
        </w:rPr>
        <w:t>6</w:t>
      </w:r>
      <w:r>
        <w:rPr/>
        <w:t>、母公司现金流量表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60" w:type="dxa"/>
        <w:tblLayout w:type="fixed"/>
        <w:tblCellMar>
          <w:top w:w="0" w:type="dxa"/>
          <w:left w:w="0" w:type="dxa"/>
          <w:bottom w:w="0" w:type="dxa"/>
          <w:right w:w="0" w:type="dxa"/>
        </w:tblCellMar>
        <w:tblLook w:val="01E0"/>
      </w:tblPr>
      <w:tblGrid>
        <w:gridCol w:w="2939"/>
        <w:gridCol w:w="3318"/>
        <w:gridCol w:w="3300"/>
      </w:tblGrid>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5"/>
              <w:jc w:val="righ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806,843,661.27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425,284,339.47</w:t>
            </w: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38,743,515.99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4,632,638.46</w:t>
            </w: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5"/>
              <w:jc w:val="righ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71,473,539.28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25,880,006.82</w:t>
            </w: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917,060,716.54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455,796,984.75</w:t>
            </w: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5"/>
              <w:jc w:val="righ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861,076,948.71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400,780,432.50</w:t>
            </w:r>
          </w:p>
        </w:tc>
      </w:tr>
      <w:tr>
        <w:trPr>
          <w:trHeight w:val="714"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51,290,864.35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41,088,849.66</w:t>
            </w: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4,702,881.84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3,248,700.54</w:t>
            </w: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5"/>
              <w:jc w:val="righ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79,534,067.56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61,381,223.09</w:t>
            </w: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996,604,762.46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506,499,205.79</w:t>
            </w: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-79,544,045.92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-50,702,221.04</w:t>
            </w: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18"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60,147,623.14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83,285,692.37</w:t>
            </w:r>
          </w:p>
        </w:tc>
      </w:tr>
      <w:tr>
        <w:trPr>
          <w:trHeight w:val="714"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35"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处置固定资产、无形资产和其他 长期资产收回的现金净额</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16,000.00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225,000.00</w:t>
            </w:r>
          </w:p>
        </w:tc>
      </w:tr>
      <w:tr>
        <w:trPr>
          <w:trHeight w:val="714"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35"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 的现金净额</w:t>
            </w:r>
          </w:p>
        </w:tc>
        <w:tc>
          <w:tcPr>
            <w:tcW w:w="3318"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5"/>
              <w:jc w:val="righ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422,500,000.00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408,000,000.00</w:t>
            </w: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482,663,623.14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491,510,692.37</w:t>
            </w:r>
          </w:p>
        </w:tc>
      </w:tr>
      <w:tr>
        <w:trPr>
          <w:trHeight w:val="714"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35"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购建固定资产、无形资产和其他 长期资产支付的现金</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14,483,025.33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33,106,220.75</w:t>
            </w: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36,819,124.54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93,624,000.00</w:t>
            </w:r>
          </w:p>
        </w:tc>
      </w:tr>
      <w:tr>
        <w:trPr>
          <w:trHeight w:val="714"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35"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 的现金净额</w:t>
            </w:r>
          </w:p>
        </w:tc>
        <w:tc>
          <w:tcPr>
            <w:tcW w:w="3318"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5"/>
              <w:jc w:val="righ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422,500,000.00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283,000,000.00</w:t>
            </w: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473,802,149.87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409,730,220.75</w:t>
            </w: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8,861,473.27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81,780,471.62</w:t>
            </w: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1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18"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154,503,286.00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56,334,120.00</w:t>
            </w: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18" w:type="dxa"/>
            <w:tcBorders>
              <w:top w:val="single" w:sz="4" w:space="0" w:color="000000"/>
              <w:left w:val="single" w:sz="13" w:space="0" w:color="D2D2D2"/>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5"/>
              <w:jc w:val="righ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3,260,191.70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711,283.50</w:t>
            </w:r>
          </w:p>
        </w:tc>
      </w:tr>
      <w:tr>
        <w:trPr>
          <w:trHeight w:val="402" w:hRule="exact"/>
        </w:trPr>
        <w:tc>
          <w:tcPr>
            <w:tcW w:w="29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1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157,763,477.70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57,045,403.50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24,503,286.00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12,500,000.00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分配股利、利润或偿付利息支付 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9,737,429.94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12,662,229.16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1,869,431.59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18,834,066.67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36,110,147.53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43,996,295.83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121,653,330.17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13,049,107.67</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2"/>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 影响</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376,649.46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-2,242,420.80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51,347,406.98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41,884,937.45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2"/>
              <w:jc w:val="righ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217,174,116.35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175,289,178.90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268,521,523.33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217,174,116.35</w:t>
            </w:r>
          </w:p>
        </w:tc>
      </w:tr>
    </w:tbl>
    <w:p>
      <w:pPr>
        <w:spacing w:line="240" w:lineRule="auto" w:before="10"/>
        <w:rPr>
          <w:rFonts w:ascii="Times New Roman" w:hAnsi="Times New Roman" w:cs="Times New Roman" w:eastAsia="Times New Roman" w:hint="default"/>
          <w:sz w:val="21"/>
          <w:szCs w:val="21"/>
        </w:rPr>
      </w:pPr>
    </w:p>
    <w:p>
      <w:pPr>
        <w:pStyle w:val="Heading3"/>
        <w:spacing w:line="240" w:lineRule="auto" w:before="35"/>
        <w:ind w:right="1134"/>
        <w:jc w:val="left"/>
        <w:rPr>
          <w:b w:val="0"/>
          <w:bCs w:val="0"/>
        </w:rPr>
      </w:pPr>
      <w:bookmarkStart w:name="7、合并所有者权益变动表" w:id="160"/>
      <w:bookmarkEnd w:id="160"/>
      <w:r>
        <w:rPr>
          <w:b w:val="0"/>
          <w:bCs w:val="0"/>
        </w:rPr>
      </w:r>
      <w:r>
        <w:rPr>
          <w:rFonts w:ascii="Times New Roman" w:hAnsi="Times New Roman" w:cs="Times New Roman" w:eastAsia="Times New Roman" w:hint="default"/>
        </w:rPr>
        <w:t>7</w:t>
      </w:r>
      <w:r>
        <w:rPr/>
        <w:t>、合并所有者权益变动表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1134"/>
        <w:jc w:val="left"/>
      </w:pPr>
      <w:r>
        <w:rPr/>
        <w:t>本期金额</w:t>
      </w:r>
    </w:p>
    <w:p>
      <w:pPr>
        <w:pStyle w:val="BodyText"/>
        <w:spacing w:line="240" w:lineRule="auto" w:before="117"/>
        <w:ind w:left="5856"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427"/>
        <w:gridCol w:w="563"/>
        <w:gridCol w:w="530"/>
        <w:gridCol w:w="532"/>
        <w:gridCol w:w="530"/>
        <w:gridCol w:w="665"/>
        <w:gridCol w:w="665"/>
        <w:gridCol w:w="665"/>
        <w:gridCol w:w="665"/>
        <w:gridCol w:w="664"/>
        <w:gridCol w:w="666"/>
        <w:gridCol w:w="665"/>
        <w:gridCol w:w="665"/>
        <w:gridCol w:w="659"/>
      </w:tblGrid>
      <w:tr>
        <w:trPr>
          <w:trHeight w:val="402" w:hRule="exact"/>
        </w:trPr>
        <w:tc>
          <w:tcPr>
            <w:tcW w:w="1427" w:type="dxa"/>
            <w:vMerge w:val="restart"/>
            <w:tcBorders>
              <w:top w:val="single" w:sz="4" w:space="0" w:color="000000"/>
              <w:left w:val="single" w:sz="4" w:space="0" w:color="000000"/>
              <w:right w:val="single" w:sz="4" w:space="0" w:color="000000"/>
            </w:tcBorders>
            <w:shd w:val="clear" w:color="auto" w:fill="D2D2D2"/>
          </w:tcPr>
          <w:p>
            <w:pPr/>
          </w:p>
        </w:tc>
        <w:tc>
          <w:tcPr>
            <w:tcW w:w="8133"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51" w:hRule="exact"/>
        </w:trPr>
        <w:tc>
          <w:tcPr>
            <w:tcW w:w="1427" w:type="dxa"/>
            <w:vMerge/>
            <w:tcBorders>
              <w:left w:val="single" w:sz="4" w:space="0" w:color="000000"/>
              <w:right w:val="single" w:sz="4" w:space="0" w:color="000000"/>
            </w:tcBorders>
            <w:shd w:val="clear" w:color="auto" w:fill="D2D2D2"/>
          </w:tcPr>
          <w:p>
            <w:pPr/>
          </w:p>
        </w:tc>
        <w:tc>
          <w:tcPr>
            <w:tcW w:w="6810"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65" w:type="dxa"/>
            <w:vMerge w:val="restart"/>
            <w:tcBorders>
              <w:top w:val="single" w:sz="4" w:space="0" w:color="000000"/>
              <w:left w:val="single" w:sz="4" w:space="0" w:color="000000"/>
              <w:right w:val="single" w:sz="4" w:space="0" w:color="000000"/>
            </w:tcBorders>
            <w:shd w:val="clear" w:color="auto" w:fill="D2D2D2"/>
          </w:tcPr>
          <w:p>
            <w:pPr/>
          </w:p>
        </w:tc>
        <w:tc>
          <w:tcPr>
            <w:tcW w:w="65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6810" w:type="dxa"/>
            <w:gridSpan w:val="11"/>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59"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3"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42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563" w:type="dxa"/>
            <w:vMerge w:val="restart"/>
            <w:tcBorders>
              <w:top w:val="single" w:sz="4" w:space="0" w:color="000000"/>
              <w:left w:val="single" w:sz="4" w:space="0" w:color="000000"/>
              <w:right w:val="single" w:sz="4" w:space="0" w:color="000000"/>
            </w:tcBorders>
            <w:shd w:val="clear" w:color="auto" w:fill="D2D2D2"/>
          </w:tcPr>
          <w:p>
            <w:pPr/>
          </w:p>
        </w:tc>
        <w:tc>
          <w:tcPr>
            <w:tcW w:w="159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4" w:type="dxa"/>
            <w:tcBorders>
              <w:top w:val="single" w:sz="4" w:space="0" w:color="000000"/>
              <w:left w:val="single" w:sz="4" w:space="0" w:color="000000"/>
              <w:bottom w:val="nil" w:sz="6" w:space="0" w:color="auto"/>
              <w:right w:val="single" w:sz="4" w:space="0" w:color="000000"/>
            </w:tcBorders>
            <w:shd w:val="clear" w:color="auto" w:fill="D2D2D2"/>
          </w:tcPr>
          <w:p>
            <w:pPr/>
          </w:p>
        </w:tc>
        <w:tc>
          <w:tcPr>
            <w:tcW w:w="666"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6"/>
              <w:ind w:left="56" w:right="56"/>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9" w:type="dxa"/>
            <w:vMerge/>
            <w:tcBorders>
              <w:left w:val="single" w:sz="4" w:space="0" w:color="000000"/>
              <w:right w:val="single" w:sz="4" w:space="0" w:color="000000"/>
            </w:tcBorders>
            <w:shd w:val="clear" w:color="auto" w:fill="D2D2D2"/>
          </w:tcPr>
          <w:p>
            <w:pPr/>
          </w:p>
        </w:tc>
      </w:tr>
      <w:tr>
        <w:trPr>
          <w:trHeight w:val="174"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563" w:type="dxa"/>
            <w:vMerge/>
            <w:tcBorders>
              <w:left w:val="single" w:sz="4" w:space="0" w:color="000000"/>
              <w:bottom w:val="nil" w:sz="6" w:space="0" w:color="auto"/>
              <w:right w:val="single" w:sz="4" w:space="0" w:color="000000"/>
            </w:tcBorders>
            <w:shd w:val="clear" w:color="auto" w:fill="D2D2D2"/>
          </w:tcPr>
          <w:p>
            <w:pPr/>
          </w:p>
        </w:tc>
        <w:tc>
          <w:tcPr>
            <w:tcW w:w="1592" w:type="dxa"/>
            <w:gridSpan w:val="3"/>
            <w:vMerge/>
            <w:tcBorders>
              <w:left w:val="single" w:sz="4" w:space="0" w:color="000000"/>
              <w:bottom w:val="single" w:sz="4" w:space="0" w:color="000000"/>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7" w:hanging="181"/>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6" w:right="56"/>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4"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5"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6"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7" w:right="57"/>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65"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83" w:hRule="exact"/>
        </w:trPr>
        <w:tc>
          <w:tcPr>
            <w:tcW w:w="1427" w:type="dxa"/>
            <w:vMerge w:val="restart"/>
            <w:tcBorders>
              <w:top w:val="nil" w:sz="6" w:space="0" w:color="auto"/>
              <w:left w:val="single" w:sz="4" w:space="0" w:color="000000"/>
              <w:right w:val="single" w:sz="4" w:space="0" w:color="000000"/>
            </w:tcBorders>
            <w:shd w:val="clear" w:color="auto" w:fill="D2D2D2"/>
          </w:tcPr>
          <w:p>
            <w:pPr/>
          </w:p>
        </w:tc>
        <w:tc>
          <w:tcPr>
            <w:tcW w:w="56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4"/>
              <w:ind w:left="97"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73"/>
              <w:ind w:left="170" w:right="78"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73"/>
              <w:ind w:left="170" w:right="79"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4" w:type="dxa"/>
            <w:vMerge/>
            <w:tcBorders>
              <w:left w:val="single" w:sz="4" w:space="0" w:color="000000"/>
              <w:right w:val="single" w:sz="4" w:space="0" w:color="000000"/>
            </w:tcBorders>
            <w:shd w:val="clear" w:color="auto" w:fill="D2D2D2"/>
          </w:tcPr>
          <w:p>
            <w:pPr/>
          </w:p>
        </w:tc>
        <w:tc>
          <w:tcPr>
            <w:tcW w:w="666"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69" w:hRule="exact"/>
        </w:trPr>
        <w:tc>
          <w:tcPr>
            <w:tcW w:w="1427" w:type="dxa"/>
            <w:vMerge/>
            <w:tcBorders>
              <w:left w:val="single" w:sz="4" w:space="0" w:color="000000"/>
              <w:right w:val="single" w:sz="4" w:space="0" w:color="000000"/>
            </w:tcBorders>
            <w:shd w:val="clear" w:color="auto" w:fill="D2D2D2"/>
          </w:tcPr>
          <w:p>
            <w:pPr/>
          </w:p>
        </w:tc>
        <w:tc>
          <w:tcPr>
            <w:tcW w:w="563" w:type="dxa"/>
            <w:vMerge/>
            <w:tcBorders>
              <w:left w:val="single" w:sz="4" w:space="0" w:color="000000"/>
              <w:bottom w:val="nil" w:sz="6" w:space="0" w:color="auto"/>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4" w:type="dxa"/>
            <w:vMerge/>
            <w:tcBorders>
              <w:left w:val="single" w:sz="4" w:space="0" w:color="000000"/>
              <w:right w:val="single" w:sz="4" w:space="0" w:color="000000"/>
            </w:tcBorders>
            <w:shd w:val="clear" w:color="auto" w:fill="D2D2D2"/>
          </w:tcPr>
          <w:p>
            <w:pPr/>
          </w:p>
        </w:tc>
        <w:tc>
          <w:tcPr>
            <w:tcW w:w="666"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56" w:hRule="exact"/>
        </w:trPr>
        <w:tc>
          <w:tcPr>
            <w:tcW w:w="1427" w:type="dxa"/>
            <w:vMerge/>
            <w:tcBorders>
              <w:left w:val="single" w:sz="4" w:space="0" w:color="000000"/>
              <w:right w:val="single" w:sz="4" w:space="0" w:color="000000"/>
            </w:tcBorders>
            <w:shd w:val="clear" w:color="auto" w:fill="D2D2D2"/>
          </w:tcPr>
          <w:p>
            <w:pPr/>
          </w:p>
        </w:tc>
        <w:tc>
          <w:tcPr>
            <w:tcW w:w="563" w:type="dxa"/>
            <w:vMerge w:val="restart"/>
            <w:tcBorders>
              <w:top w:val="nil" w:sz="6" w:space="0" w:color="auto"/>
              <w:left w:val="single" w:sz="4" w:space="0" w:color="000000"/>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4" w:type="dxa"/>
            <w:vMerge/>
            <w:tcBorders>
              <w:left w:val="single" w:sz="4" w:space="0" w:color="000000"/>
              <w:bottom w:val="nil" w:sz="6" w:space="0" w:color="auto"/>
              <w:right w:val="single" w:sz="4" w:space="0" w:color="000000"/>
            </w:tcBorders>
            <w:shd w:val="clear" w:color="auto" w:fill="D2D2D2"/>
          </w:tcPr>
          <w:p>
            <w:pPr/>
          </w:p>
        </w:tc>
        <w:tc>
          <w:tcPr>
            <w:tcW w:w="666"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
        </w:tc>
        <w:tc>
          <w:tcPr>
            <w:tcW w:w="659" w:type="dxa"/>
            <w:vMerge/>
            <w:tcBorders>
              <w:left w:val="single" w:sz="4" w:space="0" w:color="000000"/>
              <w:bottom w:val="nil" w:sz="6" w:space="0" w:color="auto"/>
              <w:right w:val="single" w:sz="4" w:space="0" w:color="000000"/>
            </w:tcBorders>
            <w:shd w:val="clear" w:color="auto" w:fill="D2D2D2"/>
          </w:tcPr>
          <w:p>
            <w:pPr/>
          </w:p>
        </w:tc>
      </w:tr>
      <w:tr>
        <w:trPr>
          <w:trHeight w:val="228" w:hRule="exact"/>
        </w:trPr>
        <w:tc>
          <w:tcPr>
            <w:tcW w:w="1427" w:type="dxa"/>
            <w:vMerge/>
            <w:tcBorders>
              <w:left w:val="single" w:sz="4" w:space="0" w:color="000000"/>
              <w:bottom w:val="single" w:sz="4" w:space="0" w:color="000000"/>
              <w:right w:val="single" w:sz="4" w:space="0" w:color="000000"/>
            </w:tcBorders>
            <w:shd w:val="clear" w:color="auto" w:fill="D2D2D2"/>
          </w:tcPr>
          <w:p>
            <w:pPr/>
          </w:p>
        </w:tc>
        <w:tc>
          <w:tcPr>
            <w:tcW w:w="563" w:type="dxa"/>
            <w:vMerge/>
            <w:tcBorders>
              <w:left w:val="single" w:sz="4" w:space="0" w:color="000000"/>
              <w:bottom w:val="single" w:sz="4" w:space="0" w:color="000000"/>
              <w:right w:val="single" w:sz="4" w:space="0" w:color="000000"/>
            </w:tcBorders>
            <w:shd w:val="clear" w:color="auto" w:fill="D2D2D2"/>
          </w:tcPr>
          <w:p>
            <w:pPr/>
          </w:p>
        </w:tc>
        <w:tc>
          <w:tcPr>
            <w:tcW w:w="530" w:type="dxa"/>
            <w:vMerge/>
            <w:tcBorders>
              <w:left w:val="single" w:sz="4" w:space="0" w:color="000000"/>
              <w:bottom w:val="single" w:sz="4" w:space="0" w:color="000000"/>
              <w:right w:val="single" w:sz="4" w:space="0" w:color="000000"/>
            </w:tcBorders>
            <w:shd w:val="clear" w:color="auto" w:fill="D2D2D2"/>
          </w:tcPr>
          <w:p>
            <w:pPr/>
          </w:p>
        </w:tc>
        <w:tc>
          <w:tcPr>
            <w:tcW w:w="53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4" w:type="dxa"/>
            <w:tcBorders>
              <w:top w:val="nil" w:sz="6" w:space="0" w:color="auto"/>
              <w:left w:val="single" w:sz="4" w:space="0" w:color="000000"/>
              <w:bottom w:val="single" w:sz="4" w:space="0" w:color="000000"/>
              <w:right w:val="single" w:sz="4" w:space="0" w:color="000000"/>
            </w:tcBorders>
            <w:shd w:val="clear" w:color="auto" w:fill="D2D2D2"/>
          </w:tcPr>
          <w:p>
            <w:pPr/>
          </w:p>
        </w:tc>
        <w:tc>
          <w:tcPr>
            <w:tcW w:w="666"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5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1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563" w:type="dxa"/>
            <w:vMerge w:val="restart"/>
            <w:tcBorders>
              <w:top w:val="single" w:sz="4" w:space="0" w:color="000000"/>
              <w:left w:val="single" w:sz="9" w:space="0" w:color="D2D2D2"/>
              <w:right w:val="single" w:sz="4" w:space="0" w:color="000000"/>
            </w:tcBorders>
          </w:tcPr>
          <w:p>
            <w:pPr>
              <w:pStyle w:val="TableParagraph"/>
              <w:spacing w:line="240" w:lineRule="auto" w:before="91"/>
              <w:ind w:left="29" w:right="0"/>
              <w:jc w:val="left"/>
              <w:rPr>
                <w:rFonts w:ascii="Times New Roman" w:hAnsi="Times New Roman" w:cs="Times New Roman" w:eastAsia="Times New Roman" w:hint="default"/>
                <w:sz w:val="18"/>
                <w:szCs w:val="18"/>
              </w:rPr>
            </w:pPr>
            <w:r>
              <w:rPr>
                <w:rFonts w:ascii="Times New Roman"/>
                <w:sz w:val="18"/>
              </w:rPr>
              <w:t>280,00</w:t>
            </w:r>
          </w:p>
          <w:p>
            <w:pPr>
              <w:pStyle w:val="TableParagraph"/>
              <w:spacing w:line="240" w:lineRule="auto" w:before="105"/>
              <w:ind w:left="73"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27,436,</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695.79</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-72,919.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43</w:t>
            </w: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14,252,</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149.49</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275,248</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,992.99</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30,853,</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941.49</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627,718</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,860.33</w:t>
            </w:r>
          </w:p>
        </w:tc>
      </w:tr>
      <w:tr>
        <w:trPr>
          <w:trHeight w:val="392" w:hRule="exact"/>
        </w:trPr>
        <w:tc>
          <w:tcPr>
            <w:tcW w:w="1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21"/>
              <w:jc w:val="righ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63"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563"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21"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63"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63"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43"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63"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3"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563" w:type="dxa"/>
            <w:vMerge w:val="restart"/>
            <w:tcBorders>
              <w:top w:val="single" w:sz="4" w:space="0" w:color="000000"/>
              <w:left w:val="single" w:sz="9" w:space="0" w:color="D2D2D2"/>
              <w:right w:val="single" w:sz="4" w:space="0" w:color="000000"/>
            </w:tcBorders>
          </w:tcPr>
          <w:p>
            <w:pPr>
              <w:pStyle w:val="TableParagraph"/>
              <w:spacing w:line="240" w:lineRule="auto" w:before="91"/>
              <w:ind w:left="29" w:right="0"/>
              <w:jc w:val="left"/>
              <w:rPr>
                <w:rFonts w:ascii="Times New Roman" w:hAnsi="Times New Roman" w:cs="Times New Roman" w:eastAsia="Times New Roman" w:hint="default"/>
                <w:sz w:val="18"/>
                <w:szCs w:val="18"/>
              </w:rPr>
            </w:pPr>
            <w:r>
              <w:rPr>
                <w:rFonts w:ascii="Times New Roman"/>
                <w:sz w:val="18"/>
              </w:rPr>
              <w:t>280,00</w:t>
            </w:r>
          </w:p>
          <w:p>
            <w:pPr>
              <w:pStyle w:val="TableParagraph"/>
              <w:spacing w:line="240" w:lineRule="auto" w:before="105"/>
              <w:ind w:left="73"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27,436,</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695.79</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-72,919.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43</w:t>
            </w:r>
          </w:p>
        </w:tc>
        <w:tc>
          <w:tcPr>
            <w:tcW w:w="665" w:type="dxa"/>
            <w:vMerge w:val="restart"/>
            <w:tcBorders>
              <w:top w:val="single" w:sz="4" w:space="0" w:color="000000"/>
              <w:left w:val="single" w:sz="4" w:space="0" w:color="000000"/>
              <w:right w:val="single" w:sz="4" w:space="0" w:color="000000"/>
            </w:tcBorders>
          </w:tcPr>
          <w:p>
            <w:pPr/>
          </w:p>
        </w:tc>
        <w:tc>
          <w:tcPr>
            <w:tcW w:w="664"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14,252,</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149.49</w:t>
            </w:r>
          </w:p>
        </w:tc>
        <w:tc>
          <w:tcPr>
            <w:tcW w:w="666"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275,248</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,992.99</w:t>
            </w: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30,853,</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941.49</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627,718</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,860.33</w:t>
            </w:r>
          </w:p>
        </w:tc>
      </w:tr>
      <w:tr>
        <w:trPr>
          <w:trHeight w:val="392" w:hRule="exact"/>
        </w:trPr>
        <w:tc>
          <w:tcPr>
            <w:tcW w:w="1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21"/>
              <w:jc w:val="righ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3"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4" w:type="dxa"/>
            <w:vMerge/>
            <w:tcBorders>
              <w:left w:val="single" w:sz="4" w:space="0" w:color="000000"/>
              <w:right w:val="single" w:sz="4" w:space="0" w:color="000000"/>
            </w:tcBorders>
          </w:tcPr>
          <w:p>
            <w:pPr/>
          </w:p>
        </w:tc>
        <w:tc>
          <w:tcPr>
            <w:tcW w:w="666"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563"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4" w:type="dxa"/>
            <w:vMerge/>
            <w:tcBorders>
              <w:left w:val="single" w:sz="4" w:space="0" w:color="000000"/>
              <w:bottom w:val="single" w:sz="4" w:space="0" w:color="000000"/>
              <w:right w:val="single" w:sz="4" w:space="0" w:color="000000"/>
            </w:tcBorders>
          </w:tcPr>
          <w:p>
            <w:pPr/>
          </w:p>
        </w:tc>
        <w:tc>
          <w:tcPr>
            <w:tcW w:w="666"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026"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21"/>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39"/>
                <w:sz w:val="18"/>
                <w:szCs w:val="18"/>
              </w:rPr>
              <w:t> </w:t>
            </w:r>
            <w:r>
              <w:rPr>
                <w:rFonts w:ascii="宋体" w:hAnsi="宋体" w:cs="宋体" w:eastAsia="宋体" w:hint="default"/>
                <w:sz w:val="18"/>
                <w:szCs w:val="18"/>
              </w:rPr>
              <w:t>号填列）</w:t>
            </w:r>
          </w:p>
        </w:tc>
        <w:tc>
          <w:tcPr>
            <w:tcW w:w="563"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-19,659.</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67</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 w:right="0"/>
              <w:jc w:val="center"/>
              <w:rPr>
                <w:rFonts w:ascii="Times New Roman" w:hAnsi="Times New Roman" w:cs="Times New Roman" w:eastAsia="Times New Roman" w:hint="default"/>
                <w:sz w:val="18"/>
                <w:szCs w:val="18"/>
              </w:rPr>
            </w:pPr>
            <w:r>
              <w:rPr>
                <w:rFonts w:ascii="Times New Roman"/>
                <w:sz w:val="18"/>
              </w:rPr>
              <w:t>4,924,4</w:t>
            </w:r>
          </w:p>
          <w:p>
            <w:pPr>
              <w:pStyle w:val="TableParagraph"/>
              <w:spacing w:line="240" w:lineRule="auto" w:before="106"/>
              <w:ind w:left="204" w:right="0"/>
              <w:jc w:val="center"/>
              <w:rPr>
                <w:rFonts w:ascii="Times New Roman" w:hAnsi="Times New Roman" w:cs="Times New Roman" w:eastAsia="Times New Roman" w:hint="default"/>
                <w:sz w:val="18"/>
                <w:szCs w:val="18"/>
              </w:rPr>
            </w:pPr>
            <w:r>
              <w:rPr>
                <w:rFonts w:ascii="Times New Roman"/>
                <w:sz w:val="18"/>
              </w:rPr>
              <w:t>22.48</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106,725</w:t>
            </w:r>
          </w:p>
          <w:p>
            <w:pPr>
              <w:pStyle w:val="TableParagraph"/>
              <w:spacing w:line="240" w:lineRule="auto" w:before="106"/>
              <w:ind w:left="91" w:right="0"/>
              <w:jc w:val="left"/>
              <w:rPr>
                <w:rFonts w:ascii="Times New Roman" w:hAnsi="Times New Roman" w:cs="Times New Roman" w:eastAsia="Times New Roman" w:hint="default"/>
                <w:sz w:val="18"/>
                <w:szCs w:val="18"/>
              </w:rPr>
            </w:pPr>
            <w:r>
              <w:rPr>
                <w:rFonts w:ascii="Times New Roman"/>
                <w:sz w:val="18"/>
              </w:rPr>
              <w:t>,997.60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6,167,0</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16.37</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6" w:right="0"/>
              <w:jc w:val="left"/>
              <w:rPr>
                <w:rFonts w:ascii="Times New Roman" w:hAnsi="Times New Roman" w:cs="Times New Roman" w:eastAsia="Times New Roman" w:hint="default"/>
                <w:sz w:val="18"/>
                <w:szCs w:val="18"/>
              </w:rPr>
            </w:pPr>
            <w:r>
              <w:rPr>
                <w:rFonts w:ascii="Times New Roman"/>
                <w:sz w:val="18"/>
              </w:rPr>
              <w:t>117,797</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,776.78</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right="21"/>
              <w:jc w:val="right"/>
              <w:rPr>
                <w:rFonts w:ascii="宋体" w:hAnsi="宋体" w:cs="宋体" w:eastAsia="宋体" w:hint="default"/>
                <w:sz w:val="18"/>
                <w:szCs w:val="18"/>
              </w:rPr>
            </w:pPr>
            <w:r>
              <w:rPr>
                <w:rFonts w:ascii="宋体" w:hAnsi="宋体" w:cs="宋体" w:eastAsia="宋体" w:hint="default"/>
                <w:spacing w:val="-8"/>
                <w:sz w:val="18"/>
                <w:szCs w:val="18"/>
              </w:rPr>
              <w:t>（一）综合收益总</w:t>
            </w:r>
          </w:p>
        </w:tc>
        <w:tc>
          <w:tcPr>
            <w:tcW w:w="563"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31" w:right="0"/>
              <w:jc w:val="left"/>
              <w:rPr>
                <w:rFonts w:ascii="Times New Roman" w:hAnsi="Times New Roman" w:cs="Times New Roman" w:eastAsia="Times New Roman" w:hint="default"/>
                <w:sz w:val="18"/>
                <w:szCs w:val="18"/>
              </w:rPr>
            </w:pPr>
            <w:r>
              <w:rPr>
                <w:rFonts w:ascii="Times New Roman"/>
                <w:sz w:val="18"/>
              </w:rPr>
              <w:t>-19,659.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52" w:right="0"/>
              <w:jc w:val="left"/>
              <w:rPr>
                <w:rFonts w:ascii="Times New Roman" w:hAnsi="Times New Roman" w:cs="Times New Roman" w:eastAsia="Times New Roman" w:hint="default"/>
                <w:sz w:val="18"/>
                <w:szCs w:val="18"/>
              </w:rPr>
            </w:pPr>
            <w:r>
              <w:rPr>
                <w:rFonts w:ascii="Times New Roman"/>
                <w:sz w:val="18"/>
              </w:rPr>
              <w:t>117,250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91" w:right="0"/>
              <w:jc w:val="left"/>
              <w:rPr>
                <w:rFonts w:ascii="Times New Roman" w:hAnsi="Times New Roman" w:cs="Times New Roman" w:eastAsia="Times New Roman" w:hint="default"/>
                <w:sz w:val="18"/>
                <w:szCs w:val="18"/>
              </w:rPr>
            </w:pPr>
            <w:r>
              <w:rPr>
                <w:rFonts w:ascii="Times New Roman"/>
                <w:sz w:val="18"/>
              </w:rPr>
              <w:t>13,272,</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0" w:right="0"/>
              <w:jc w:val="left"/>
              <w:rPr>
                <w:rFonts w:ascii="Times New Roman" w:hAnsi="Times New Roman" w:cs="Times New Roman" w:eastAsia="Times New Roman" w:hint="default"/>
                <w:sz w:val="18"/>
                <w:szCs w:val="18"/>
              </w:rPr>
            </w:pPr>
            <w:r>
              <w:rPr>
                <w:rFonts w:ascii="Times New Roman"/>
                <w:sz w:val="18"/>
              </w:rPr>
              <w:t>130,502</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8"/>
        <w:gridCol w:w="563"/>
        <w:gridCol w:w="530"/>
        <w:gridCol w:w="532"/>
        <w:gridCol w:w="530"/>
        <w:gridCol w:w="665"/>
        <w:gridCol w:w="665"/>
        <w:gridCol w:w="665"/>
        <w:gridCol w:w="665"/>
        <w:gridCol w:w="664"/>
        <w:gridCol w:w="666"/>
        <w:gridCol w:w="665"/>
        <w:gridCol w:w="665"/>
        <w:gridCol w:w="659"/>
      </w:tblGrid>
      <w:tr>
        <w:trPr>
          <w:trHeight w:val="36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2" w:right="0"/>
              <w:jc w:val="left"/>
              <w:rPr>
                <w:rFonts w:ascii="宋体" w:hAnsi="宋体" w:cs="宋体" w:eastAsia="宋体" w:hint="default"/>
                <w:sz w:val="18"/>
                <w:szCs w:val="18"/>
              </w:rPr>
            </w:pPr>
            <w:r>
              <w:rPr>
                <w:rFonts w:ascii="宋体" w:hAnsi="宋体" w:cs="宋体" w:eastAsia="宋体" w:hint="default"/>
                <w:sz w:val="18"/>
                <w:szCs w:val="18"/>
              </w:rPr>
              <w:t>额</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Times New Roman" w:hAnsi="Times New Roman" w:cs="Times New Roman" w:eastAsia="Times New Roman" w:hint="default"/>
                <w:sz w:val="18"/>
                <w:szCs w:val="18"/>
              </w:rPr>
            </w:pPr>
            <w:r>
              <w:rPr>
                <w:rFonts w:ascii="Times New Roman"/>
                <w:sz w:val="18"/>
              </w:rPr>
              <w:t>67</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1" w:right="0"/>
              <w:jc w:val="left"/>
              <w:rPr>
                <w:rFonts w:ascii="Times New Roman" w:hAnsi="Times New Roman" w:cs="Times New Roman" w:eastAsia="Times New Roman" w:hint="default"/>
                <w:sz w:val="18"/>
                <w:szCs w:val="18"/>
              </w:rPr>
            </w:pPr>
            <w:r>
              <w:rPr>
                <w:rFonts w:ascii="Times New Roman"/>
                <w:sz w:val="18"/>
              </w:rPr>
              <w:t>,420.08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36" w:right="0"/>
              <w:jc w:val="left"/>
              <w:rPr>
                <w:rFonts w:ascii="Times New Roman" w:hAnsi="Times New Roman" w:cs="Times New Roman" w:eastAsia="Times New Roman" w:hint="default"/>
                <w:sz w:val="18"/>
                <w:szCs w:val="18"/>
              </w:rPr>
            </w:pPr>
            <w:r>
              <w:rPr>
                <w:rFonts w:ascii="Times New Roman"/>
                <w:sz w:val="18"/>
              </w:rPr>
              <w:t>016.37</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5" w:right="0"/>
              <w:jc w:val="left"/>
              <w:rPr>
                <w:rFonts w:ascii="Times New Roman" w:hAnsi="Times New Roman" w:cs="Times New Roman" w:eastAsia="Times New Roman" w:hint="default"/>
                <w:sz w:val="18"/>
                <w:szCs w:val="18"/>
              </w:rPr>
            </w:pPr>
            <w:r>
              <w:rPr>
                <w:rFonts w:ascii="Times New Roman"/>
                <w:sz w:val="18"/>
              </w:rPr>
              <w:t>,776.78</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和减少资本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4,924,4</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22.48</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-10,524,</w:t>
            </w:r>
          </w:p>
          <w:p>
            <w:pPr>
              <w:pStyle w:val="TableParagraph"/>
              <w:spacing w:line="240" w:lineRule="auto" w:before="105"/>
              <w:ind w:left="113" w:right="0"/>
              <w:jc w:val="center"/>
              <w:rPr>
                <w:rFonts w:ascii="Times New Roman" w:hAnsi="Times New Roman" w:cs="Times New Roman" w:eastAsia="Times New Roman" w:hint="default"/>
                <w:sz w:val="18"/>
                <w:szCs w:val="18"/>
              </w:rPr>
            </w:pPr>
            <w:r>
              <w:rPr>
                <w:rFonts w:ascii="Times New Roman"/>
                <w:sz w:val="18"/>
              </w:rPr>
              <w:t>422.48</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-7,105,0</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00.00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-12,705,</w:t>
            </w:r>
          </w:p>
          <w:p>
            <w:pPr>
              <w:pStyle w:val="TableParagraph"/>
              <w:spacing w:line="240" w:lineRule="auto" w:before="105"/>
              <w:ind w:left="107" w:right="0"/>
              <w:jc w:val="center"/>
              <w:rPr>
                <w:rFonts w:ascii="Times New Roman" w:hAnsi="Times New Roman" w:cs="Times New Roman" w:eastAsia="Times New Roman" w:hint="default"/>
                <w:sz w:val="18"/>
                <w:szCs w:val="18"/>
              </w:rPr>
            </w:pPr>
            <w:r>
              <w:rPr>
                <w:rFonts w:ascii="Times New Roman"/>
                <w:sz w:val="18"/>
              </w:rPr>
              <w:t>000.00</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4,924,4</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22.48</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-4,924,4</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22.48</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-5,600,0</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00.00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 w:right="0"/>
              <w:jc w:val="center"/>
              <w:rPr>
                <w:rFonts w:ascii="Times New Roman" w:hAnsi="Times New Roman" w:cs="Times New Roman" w:eastAsia="Times New Roman" w:hint="default"/>
                <w:sz w:val="18"/>
                <w:szCs w:val="18"/>
              </w:rPr>
            </w:pPr>
            <w:r>
              <w:rPr>
                <w:rFonts w:ascii="Times New Roman"/>
                <w:sz w:val="18"/>
              </w:rPr>
              <w:t>-7,105,0</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00.00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-12,705,</w:t>
            </w:r>
          </w:p>
          <w:p>
            <w:pPr>
              <w:pStyle w:val="TableParagraph"/>
              <w:spacing w:line="240" w:lineRule="auto" w:before="105"/>
              <w:ind w:left="107" w:right="0"/>
              <w:jc w:val="center"/>
              <w:rPr>
                <w:rFonts w:ascii="Times New Roman" w:hAnsi="Times New Roman" w:cs="Times New Roman" w:eastAsia="Times New Roman" w:hint="default"/>
                <w:sz w:val="18"/>
                <w:szCs w:val="18"/>
              </w:rPr>
            </w:pPr>
            <w:r>
              <w:rPr>
                <w:rFonts w:ascii="Times New Roman"/>
                <w:sz w:val="18"/>
              </w:rPr>
              <w:t>000.00</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内部结转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35" w:right="0"/>
              <w:jc w:val="left"/>
              <w:rPr>
                <w:rFonts w:ascii="Times New Roman" w:hAnsi="Times New Roman" w:cs="Times New Roman" w:eastAsia="Times New Roman" w:hint="default"/>
                <w:sz w:val="18"/>
                <w:szCs w:val="18"/>
              </w:rPr>
            </w:pPr>
            <w:r>
              <w:rPr>
                <w:rFonts w:ascii="Times New Roman"/>
                <w:sz w:val="18"/>
              </w:rPr>
              <w:t>280,00</w:t>
            </w:r>
          </w:p>
          <w:p>
            <w:pPr>
              <w:pStyle w:val="TableParagraph"/>
              <w:spacing w:line="240" w:lineRule="auto" w:before="104"/>
              <w:ind w:left="80" w:right="0"/>
              <w:jc w:val="left"/>
              <w:rPr>
                <w:rFonts w:ascii="Times New Roman" w:hAnsi="Times New Roman" w:cs="Times New Roman" w:eastAsia="Times New Roman" w:hint="default"/>
                <w:sz w:val="18"/>
                <w:szCs w:val="18"/>
              </w:rPr>
            </w:pPr>
            <w:r>
              <w:rPr>
                <w:rFonts w:ascii="Times New Roman"/>
                <w:sz w:val="18"/>
              </w:rPr>
              <w:t>0,000.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27,436,</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695.79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-92,579.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10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19,176,</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571.97</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6" w:right="0"/>
              <w:jc w:val="left"/>
              <w:rPr>
                <w:rFonts w:ascii="Times New Roman" w:hAnsi="Times New Roman" w:cs="Times New Roman" w:eastAsia="Times New Roman" w:hint="default"/>
                <w:sz w:val="18"/>
                <w:szCs w:val="18"/>
              </w:rPr>
            </w:pPr>
            <w:r>
              <w:rPr>
                <w:rFonts w:ascii="Times New Roman"/>
                <w:sz w:val="18"/>
              </w:rPr>
              <w:t>381,974</w:t>
            </w:r>
          </w:p>
          <w:p>
            <w:pPr>
              <w:pStyle w:val="TableParagraph"/>
              <w:spacing w:line="240" w:lineRule="auto" w:before="105"/>
              <w:ind w:left="91" w:right="0"/>
              <w:jc w:val="left"/>
              <w:rPr>
                <w:rFonts w:ascii="Times New Roman" w:hAnsi="Times New Roman" w:cs="Times New Roman" w:eastAsia="Times New Roman" w:hint="default"/>
                <w:sz w:val="18"/>
                <w:szCs w:val="18"/>
              </w:rPr>
            </w:pPr>
            <w:r>
              <w:rPr>
                <w:rFonts w:ascii="Times New Roman"/>
                <w:sz w:val="18"/>
              </w:rPr>
              <w:t>,990.59</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1" w:right="0"/>
              <w:jc w:val="left"/>
              <w:rPr>
                <w:rFonts w:ascii="Times New Roman" w:hAnsi="Times New Roman" w:cs="Times New Roman" w:eastAsia="Times New Roman" w:hint="default"/>
                <w:sz w:val="18"/>
                <w:szCs w:val="18"/>
              </w:rPr>
            </w:pPr>
            <w:r>
              <w:rPr>
                <w:rFonts w:ascii="Times New Roman"/>
                <w:sz w:val="18"/>
              </w:rPr>
              <w:t>37,020,</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957.86</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0" w:right="0"/>
              <w:jc w:val="left"/>
              <w:rPr>
                <w:rFonts w:ascii="Times New Roman" w:hAnsi="Times New Roman" w:cs="Times New Roman" w:eastAsia="Times New Roman" w:hint="default"/>
                <w:sz w:val="18"/>
                <w:szCs w:val="18"/>
              </w:rPr>
            </w:pPr>
            <w:r>
              <w:rPr>
                <w:rFonts w:ascii="Times New Roman"/>
                <w:sz w:val="18"/>
              </w:rPr>
              <w:t>745,516</w:t>
            </w:r>
          </w:p>
          <w:p>
            <w:pPr>
              <w:pStyle w:val="TableParagraph"/>
              <w:spacing w:line="240" w:lineRule="auto" w:before="105"/>
              <w:ind w:left="92" w:right="0"/>
              <w:jc w:val="left"/>
              <w:rPr>
                <w:rFonts w:ascii="Times New Roman" w:hAnsi="Times New Roman" w:cs="Times New Roman" w:eastAsia="Times New Roman" w:hint="default"/>
                <w:sz w:val="18"/>
                <w:szCs w:val="18"/>
              </w:rPr>
            </w:pPr>
            <w:r>
              <w:rPr>
                <w:rFonts w:ascii="Times New Roman"/>
                <w:sz w:val="18"/>
              </w:rPr>
              <w:t>,637.11</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38"/>
        <w:gridCol w:w="563"/>
        <w:gridCol w:w="530"/>
        <w:gridCol w:w="532"/>
        <w:gridCol w:w="530"/>
        <w:gridCol w:w="665"/>
        <w:gridCol w:w="665"/>
        <w:gridCol w:w="665"/>
        <w:gridCol w:w="665"/>
        <w:gridCol w:w="664"/>
        <w:gridCol w:w="666"/>
        <w:gridCol w:w="665"/>
        <w:gridCol w:w="665"/>
        <w:gridCol w:w="659"/>
      </w:tblGrid>
      <w:tr>
        <w:trPr>
          <w:trHeight w:val="36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50"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1134"/>
        <w:jc w:val="left"/>
      </w:pPr>
      <w:r>
        <w:rPr/>
        <w:t>上期金额</w:t>
      </w:r>
    </w:p>
    <w:p>
      <w:pPr>
        <w:pStyle w:val="BodyText"/>
        <w:spacing w:line="240" w:lineRule="auto" w:before="117"/>
        <w:ind w:left="5856" w:right="1130"/>
        <w:jc w:val="right"/>
      </w:pPr>
      <w:r>
        <w:rPr/>
        <w:t>单位：元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427"/>
        <w:gridCol w:w="562"/>
        <w:gridCol w:w="530"/>
        <w:gridCol w:w="532"/>
        <w:gridCol w:w="530"/>
        <w:gridCol w:w="665"/>
        <w:gridCol w:w="665"/>
        <w:gridCol w:w="665"/>
        <w:gridCol w:w="665"/>
        <w:gridCol w:w="665"/>
        <w:gridCol w:w="665"/>
        <w:gridCol w:w="678"/>
        <w:gridCol w:w="652"/>
        <w:gridCol w:w="659"/>
      </w:tblGrid>
      <w:tr>
        <w:trPr>
          <w:trHeight w:val="402" w:hRule="exact"/>
        </w:trPr>
        <w:tc>
          <w:tcPr>
            <w:tcW w:w="1427" w:type="dxa"/>
            <w:vMerge w:val="restart"/>
            <w:tcBorders>
              <w:top w:val="single" w:sz="4" w:space="0" w:color="000000"/>
              <w:left w:val="single" w:sz="4" w:space="0" w:color="000000"/>
              <w:right w:val="single" w:sz="4" w:space="0" w:color="000000"/>
            </w:tcBorders>
            <w:shd w:val="clear" w:color="auto" w:fill="D2D2D2"/>
          </w:tcPr>
          <w:p>
            <w:pPr/>
          </w:p>
        </w:tc>
        <w:tc>
          <w:tcPr>
            <w:tcW w:w="8132"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51" w:hRule="exact"/>
        </w:trPr>
        <w:tc>
          <w:tcPr>
            <w:tcW w:w="1427" w:type="dxa"/>
            <w:vMerge/>
            <w:tcBorders>
              <w:left w:val="single" w:sz="4" w:space="0" w:color="000000"/>
              <w:right w:val="single" w:sz="4" w:space="0" w:color="000000"/>
            </w:tcBorders>
            <w:shd w:val="clear" w:color="auto" w:fill="D2D2D2"/>
          </w:tcPr>
          <w:p>
            <w:pPr/>
          </w:p>
        </w:tc>
        <w:tc>
          <w:tcPr>
            <w:tcW w:w="6822" w:type="dxa"/>
            <w:gridSpan w:val="11"/>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52" w:type="dxa"/>
            <w:vMerge w:val="restart"/>
            <w:tcBorders>
              <w:top w:val="single" w:sz="4" w:space="0" w:color="000000"/>
              <w:left w:val="single" w:sz="4" w:space="0" w:color="000000"/>
              <w:right w:val="single" w:sz="4" w:space="0" w:color="000000"/>
            </w:tcBorders>
            <w:shd w:val="clear" w:color="auto" w:fill="D2D2D2"/>
          </w:tcPr>
          <w:p>
            <w:pPr/>
          </w:p>
        </w:tc>
        <w:tc>
          <w:tcPr>
            <w:tcW w:w="659"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51"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6822" w:type="dxa"/>
            <w:gridSpan w:val="11"/>
            <w:vMerge/>
            <w:tcBorders>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nil" w:sz="6" w:space="0" w:color="auto"/>
              <w:right w:val="single" w:sz="4" w:space="0" w:color="000000"/>
            </w:tcBorders>
            <w:shd w:val="clear" w:color="auto" w:fill="D2D2D2"/>
          </w:tcPr>
          <w:p>
            <w:pPr/>
          </w:p>
        </w:tc>
        <w:tc>
          <w:tcPr>
            <w:tcW w:w="659"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1"/>
              <w:ind w:left="53" w:right="53"/>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206" w:hRule="exact"/>
        </w:trPr>
        <w:tc>
          <w:tcPr>
            <w:tcW w:w="142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562" w:type="dxa"/>
            <w:vMerge w:val="restart"/>
            <w:tcBorders>
              <w:top w:val="single" w:sz="4" w:space="0" w:color="000000"/>
              <w:left w:val="single" w:sz="4" w:space="0" w:color="000000"/>
              <w:right w:val="single" w:sz="4" w:space="0" w:color="000000"/>
            </w:tcBorders>
            <w:shd w:val="clear" w:color="auto" w:fill="D2D2D2"/>
          </w:tcPr>
          <w:p>
            <w:pPr/>
          </w:p>
        </w:tc>
        <w:tc>
          <w:tcPr>
            <w:tcW w:w="159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25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78" w:type="dxa"/>
            <w:tcBorders>
              <w:top w:val="single" w:sz="4" w:space="0" w:color="000000"/>
              <w:left w:val="single" w:sz="4" w:space="0" w:color="000000"/>
              <w:bottom w:val="nil" w:sz="6" w:space="0" w:color="auto"/>
              <w:right w:val="single" w:sz="4" w:space="0" w:color="000000"/>
            </w:tcBorders>
            <w:shd w:val="clear" w:color="auto" w:fill="D2D2D2"/>
          </w:tcPr>
          <w:p>
            <w:pPr/>
          </w:p>
        </w:tc>
        <w:tc>
          <w:tcPr>
            <w:tcW w:w="652"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56"/>
              <w:ind w:left="50" w:right="49"/>
              <w:jc w:val="left"/>
              <w:rPr>
                <w:rFonts w:ascii="宋体" w:hAnsi="宋体" w:cs="宋体" w:eastAsia="宋体" w:hint="default"/>
                <w:sz w:val="18"/>
                <w:szCs w:val="18"/>
              </w:rPr>
            </w:pPr>
            <w:r>
              <w:rPr>
                <w:rFonts w:ascii="宋体" w:hAnsi="宋体" w:cs="宋体" w:eastAsia="宋体" w:hint="default"/>
                <w:sz w:val="18"/>
                <w:szCs w:val="18"/>
              </w:rPr>
              <w:t>少数股 东权益</w:t>
            </w:r>
          </w:p>
        </w:tc>
        <w:tc>
          <w:tcPr>
            <w:tcW w:w="659" w:type="dxa"/>
            <w:vMerge/>
            <w:tcBorders>
              <w:left w:val="single" w:sz="4" w:space="0" w:color="000000"/>
              <w:right w:val="single" w:sz="4" w:space="0" w:color="000000"/>
            </w:tcBorders>
            <w:shd w:val="clear" w:color="auto" w:fill="D2D2D2"/>
          </w:tcPr>
          <w:p>
            <w:pPr/>
          </w:p>
        </w:tc>
      </w:tr>
      <w:tr>
        <w:trPr>
          <w:trHeight w:val="173" w:hRule="exact"/>
        </w:trPr>
        <w:tc>
          <w:tcPr>
            <w:tcW w:w="1427" w:type="dxa"/>
            <w:vMerge/>
            <w:tcBorders>
              <w:left w:val="single" w:sz="4" w:space="0" w:color="000000"/>
              <w:bottom w:val="nil" w:sz="6" w:space="0" w:color="auto"/>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1592" w:type="dxa"/>
            <w:gridSpan w:val="3"/>
            <w:vMerge/>
            <w:tcBorders>
              <w:left w:val="single" w:sz="4" w:space="0" w:color="000000"/>
              <w:bottom w:val="single" w:sz="4" w:space="0" w:color="000000"/>
              <w:right w:val="single" w:sz="4" w:space="0" w:color="000000"/>
            </w:tcBorders>
            <w:shd w:val="clear" w:color="auto" w:fill="D2D2D2"/>
          </w:tcPr>
          <w:p>
            <w:pP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7" w:right="57" w:hanging="181"/>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46" w:right="56"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6" w:right="56"/>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236" w:right="56"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56" w:right="57"/>
              <w:jc w:val="left"/>
              <w:rPr>
                <w:rFonts w:ascii="宋体" w:hAnsi="宋体" w:cs="宋体" w:eastAsia="宋体" w:hint="default"/>
                <w:sz w:val="18"/>
                <w:szCs w:val="18"/>
              </w:rPr>
            </w:pPr>
            <w:r>
              <w:rPr>
                <w:rFonts w:ascii="宋体" w:hAnsi="宋体" w:cs="宋体" w:eastAsia="宋体" w:hint="default"/>
                <w:sz w:val="18"/>
                <w:szCs w:val="18"/>
              </w:rPr>
              <w:t>一般风 险准备</w:t>
            </w:r>
          </w:p>
        </w:tc>
        <w:tc>
          <w:tcPr>
            <w:tcW w:w="678"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1"/>
              <w:ind w:left="153" w:right="62"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652"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84" w:hRule="exact"/>
        </w:trPr>
        <w:tc>
          <w:tcPr>
            <w:tcW w:w="1427" w:type="dxa"/>
            <w:vMerge w:val="restart"/>
            <w:tcBorders>
              <w:top w:val="nil" w:sz="6" w:space="0" w:color="auto"/>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34"/>
              <w:ind w:left="95"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53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74"/>
              <w:ind w:left="170" w:right="78"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53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74"/>
              <w:ind w:left="171" w:right="78"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5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78" w:type="dxa"/>
            <w:vMerge/>
            <w:tcBorders>
              <w:left w:val="single" w:sz="4" w:space="0" w:color="000000"/>
              <w:right w:val="single" w:sz="4" w:space="0" w:color="000000"/>
            </w:tcBorders>
            <w:shd w:val="clear" w:color="auto" w:fill="D2D2D2"/>
          </w:tcPr>
          <w:p>
            <w:pPr/>
          </w:p>
        </w:tc>
        <w:tc>
          <w:tcPr>
            <w:tcW w:w="652" w:type="dxa"/>
            <w:vMerge/>
            <w:tcBorders>
              <w:left w:val="single" w:sz="4" w:space="0" w:color="000000"/>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69" w:hRule="exact"/>
        </w:trPr>
        <w:tc>
          <w:tcPr>
            <w:tcW w:w="1427" w:type="dxa"/>
            <w:vMerge/>
            <w:tcBorders>
              <w:left w:val="single" w:sz="4" w:space="0" w:color="000000"/>
              <w:right w:val="single" w:sz="4" w:space="0" w:color="000000"/>
            </w:tcBorders>
            <w:shd w:val="clear" w:color="auto" w:fill="D2D2D2"/>
          </w:tcPr>
          <w:p>
            <w:pPr/>
          </w:p>
        </w:tc>
        <w:tc>
          <w:tcPr>
            <w:tcW w:w="562" w:type="dxa"/>
            <w:vMerge/>
            <w:tcBorders>
              <w:left w:val="single" w:sz="4" w:space="0" w:color="000000"/>
              <w:bottom w:val="nil" w:sz="6" w:space="0" w:color="auto"/>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8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65" w:type="dxa"/>
            <w:vMerge/>
            <w:tcBorders>
              <w:left w:val="single" w:sz="4" w:space="0" w:color="000000"/>
              <w:right w:val="single" w:sz="4" w:space="0" w:color="000000"/>
            </w:tcBorders>
            <w:shd w:val="clear" w:color="auto" w:fill="D2D2D2"/>
          </w:tcPr>
          <w:p>
            <w:pPr/>
          </w:p>
        </w:tc>
        <w:tc>
          <w:tcPr>
            <w:tcW w:w="678" w:type="dxa"/>
            <w:vMerge/>
            <w:tcBorders>
              <w:left w:val="single" w:sz="4" w:space="0" w:color="000000"/>
              <w:right w:val="single" w:sz="4" w:space="0" w:color="000000"/>
            </w:tcBorders>
            <w:shd w:val="clear" w:color="auto" w:fill="D2D2D2"/>
          </w:tcPr>
          <w:p>
            <w:pPr/>
          </w:p>
        </w:tc>
        <w:tc>
          <w:tcPr>
            <w:tcW w:w="652" w:type="dxa"/>
            <w:vMerge/>
            <w:tcBorders>
              <w:left w:val="single" w:sz="4" w:space="0" w:color="000000"/>
              <w:bottom w:val="nil" w:sz="6" w:space="0" w:color="auto"/>
              <w:right w:val="single" w:sz="4" w:space="0" w:color="000000"/>
            </w:tcBorders>
            <w:shd w:val="clear" w:color="auto" w:fill="D2D2D2"/>
          </w:tcPr>
          <w:p>
            <w:pPr/>
          </w:p>
        </w:tc>
        <w:tc>
          <w:tcPr>
            <w:tcW w:w="659" w:type="dxa"/>
            <w:vMerge/>
            <w:tcBorders>
              <w:left w:val="single" w:sz="4" w:space="0" w:color="000000"/>
              <w:right w:val="single" w:sz="4" w:space="0" w:color="000000"/>
            </w:tcBorders>
            <w:shd w:val="clear" w:color="auto" w:fill="D2D2D2"/>
          </w:tcPr>
          <w:p>
            <w:pPr/>
          </w:p>
        </w:tc>
      </w:tr>
      <w:tr>
        <w:trPr>
          <w:trHeight w:val="156" w:hRule="exact"/>
        </w:trPr>
        <w:tc>
          <w:tcPr>
            <w:tcW w:w="1427" w:type="dxa"/>
            <w:vMerge/>
            <w:tcBorders>
              <w:left w:val="single" w:sz="4" w:space="0" w:color="000000"/>
              <w:right w:val="single" w:sz="4" w:space="0" w:color="000000"/>
            </w:tcBorders>
            <w:shd w:val="clear" w:color="auto" w:fill="D2D2D2"/>
          </w:tcPr>
          <w:p>
            <w:pPr/>
          </w:p>
        </w:tc>
        <w:tc>
          <w:tcPr>
            <w:tcW w:w="562" w:type="dxa"/>
            <w:vMerge w:val="restart"/>
            <w:tcBorders>
              <w:top w:val="nil" w:sz="6" w:space="0" w:color="auto"/>
              <w:left w:val="single" w:sz="4" w:space="0" w:color="000000"/>
              <w:right w:val="single" w:sz="4" w:space="0" w:color="000000"/>
            </w:tcBorders>
            <w:shd w:val="clear" w:color="auto" w:fill="D2D2D2"/>
          </w:tcPr>
          <w:p>
            <w:pPr/>
          </w:p>
        </w:tc>
        <w:tc>
          <w:tcPr>
            <w:tcW w:w="530" w:type="dxa"/>
            <w:vMerge/>
            <w:tcBorders>
              <w:left w:val="single" w:sz="4" w:space="0" w:color="000000"/>
              <w:right w:val="single" w:sz="4" w:space="0" w:color="000000"/>
            </w:tcBorders>
            <w:shd w:val="clear" w:color="auto" w:fill="D2D2D2"/>
          </w:tcPr>
          <w:p>
            <w:pPr/>
          </w:p>
        </w:tc>
        <w:tc>
          <w:tcPr>
            <w:tcW w:w="532" w:type="dxa"/>
            <w:vMerge/>
            <w:tcBorders>
              <w:left w:val="single" w:sz="4" w:space="0" w:color="000000"/>
              <w:right w:val="single" w:sz="4" w:space="0" w:color="000000"/>
            </w:tcBorders>
            <w:shd w:val="clear" w:color="auto" w:fill="D2D2D2"/>
          </w:tcPr>
          <w:p>
            <w:pPr/>
          </w:p>
        </w:tc>
        <w:tc>
          <w:tcPr>
            <w:tcW w:w="530"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65" w:type="dxa"/>
            <w:vMerge/>
            <w:tcBorders>
              <w:left w:val="single" w:sz="4" w:space="0" w:color="000000"/>
              <w:bottom w:val="nil" w:sz="6" w:space="0" w:color="auto"/>
              <w:right w:val="single" w:sz="4" w:space="0" w:color="000000"/>
            </w:tcBorders>
            <w:shd w:val="clear" w:color="auto" w:fill="D2D2D2"/>
          </w:tcPr>
          <w:p>
            <w:pPr/>
          </w:p>
        </w:tc>
        <w:tc>
          <w:tcPr>
            <w:tcW w:w="678" w:type="dxa"/>
            <w:vMerge/>
            <w:tcBorders>
              <w:left w:val="single" w:sz="4" w:space="0" w:color="000000"/>
              <w:bottom w:val="nil" w:sz="6" w:space="0" w:color="auto"/>
              <w:right w:val="single" w:sz="4" w:space="0" w:color="000000"/>
            </w:tcBorders>
            <w:shd w:val="clear" w:color="auto" w:fill="D2D2D2"/>
          </w:tcPr>
          <w:p>
            <w:pPr/>
          </w:p>
        </w:tc>
        <w:tc>
          <w:tcPr>
            <w:tcW w:w="652" w:type="dxa"/>
            <w:vMerge w:val="restart"/>
            <w:tcBorders>
              <w:top w:val="nil" w:sz="6" w:space="0" w:color="auto"/>
              <w:left w:val="single" w:sz="4" w:space="0" w:color="000000"/>
              <w:right w:val="single" w:sz="4" w:space="0" w:color="000000"/>
            </w:tcBorders>
            <w:shd w:val="clear" w:color="auto" w:fill="D2D2D2"/>
          </w:tcPr>
          <w:p>
            <w:pPr/>
          </w:p>
        </w:tc>
        <w:tc>
          <w:tcPr>
            <w:tcW w:w="659" w:type="dxa"/>
            <w:vMerge/>
            <w:tcBorders>
              <w:left w:val="single" w:sz="4" w:space="0" w:color="000000"/>
              <w:bottom w:val="nil" w:sz="6" w:space="0" w:color="auto"/>
              <w:right w:val="single" w:sz="4" w:space="0" w:color="000000"/>
            </w:tcBorders>
            <w:shd w:val="clear" w:color="auto" w:fill="D2D2D2"/>
          </w:tcPr>
          <w:p>
            <w:pPr/>
          </w:p>
        </w:tc>
      </w:tr>
      <w:tr>
        <w:trPr>
          <w:trHeight w:val="229" w:hRule="exact"/>
        </w:trPr>
        <w:tc>
          <w:tcPr>
            <w:tcW w:w="1427"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530" w:type="dxa"/>
            <w:vMerge/>
            <w:tcBorders>
              <w:left w:val="single" w:sz="4" w:space="0" w:color="000000"/>
              <w:bottom w:val="single" w:sz="4" w:space="0" w:color="000000"/>
              <w:right w:val="single" w:sz="4" w:space="0" w:color="000000"/>
            </w:tcBorders>
            <w:shd w:val="clear" w:color="auto" w:fill="D2D2D2"/>
          </w:tcPr>
          <w:p>
            <w:pPr/>
          </w:p>
        </w:tc>
        <w:tc>
          <w:tcPr>
            <w:tcW w:w="53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tcBorders>
              <w:top w:val="nil" w:sz="6" w:space="0" w:color="auto"/>
              <w:left w:val="single" w:sz="4" w:space="0" w:color="000000"/>
              <w:bottom w:val="single" w:sz="4" w:space="0" w:color="000000"/>
              <w:right w:val="single" w:sz="4" w:space="0" w:color="000000"/>
            </w:tcBorders>
            <w:shd w:val="clear" w:color="auto" w:fill="D2D2D2"/>
          </w:tcPr>
          <w:p>
            <w:pPr/>
          </w:p>
        </w:tc>
        <w:tc>
          <w:tcPr>
            <w:tcW w:w="678" w:type="dxa"/>
            <w:tcBorders>
              <w:top w:val="nil" w:sz="6" w:space="0" w:color="auto"/>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single" w:sz="4" w:space="0" w:color="000000"/>
              <w:right w:val="single" w:sz="4" w:space="0" w:color="000000"/>
            </w:tcBorders>
            <w:shd w:val="clear" w:color="auto" w:fill="D2D2D2"/>
          </w:tcPr>
          <w:p>
            <w:pPr/>
          </w:p>
        </w:tc>
        <w:tc>
          <w:tcPr>
            <w:tcW w:w="659"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317" w:hRule="exact"/>
        </w:trPr>
        <w:tc>
          <w:tcPr>
            <w:tcW w:w="1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227,436</w:t>
            </w:r>
          </w:p>
          <w:p>
            <w:pPr>
              <w:pStyle w:val="TableParagraph"/>
              <w:spacing w:line="240" w:lineRule="auto" w:before="106"/>
              <w:ind w:left="92" w:right="0"/>
              <w:jc w:val="left"/>
              <w:rPr>
                <w:rFonts w:ascii="Times New Roman" w:hAnsi="Times New Roman" w:cs="Times New Roman" w:eastAsia="Times New Roman" w:hint="default"/>
                <w:sz w:val="18"/>
                <w:szCs w:val="18"/>
              </w:rPr>
            </w:pPr>
            <w:r>
              <w:rPr>
                <w:rFonts w:ascii="Times New Roman"/>
                <w:sz w:val="18"/>
              </w:rPr>
              <w:t>,695.79</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-64,845.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38</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10,692,</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183.82</w:t>
            </w:r>
          </w:p>
        </w:tc>
        <w:tc>
          <w:tcPr>
            <w:tcW w:w="665" w:type="dxa"/>
            <w:vMerge w:val="restart"/>
            <w:tcBorders>
              <w:top w:val="single" w:sz="4" w:space="0" w:color="000000"/>
              <w:left w:val="single" w:sz="4" w:space="0" w:color="000000"/>
              <w:right w:val="single" w:sz="4" w:space="0" w:color="000000"/>
            </w:tcBorders>
          </w:tcPr>
          <w:p>
            <w:pPr/>
          </w:p>
        </w:tc>
        <w:tc>
          <w:tcPr>
            <w:tcW w:w="67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242,195</w:t>
            </w:r>
          </w:p>
          <w:p>
            <w:pPr>
              <w:pStyle w:val="TableParagraph"/>
              <w:spacing w:line="240" w:lineRule="auto" w:before="106"/>
              <w:ind w:left="104" w:right="0"/>
              <w:jc w:val="left"/>
              <w:rPr>
                <w:rFonts w:ascii="Times New Roman" w:hAnsi="Times New Roman" w:cs="Times New Roman" w:eastAsia="Times New Roman" w:hint="default"/>
                <w:sz w:val="18"/>
                <w:szCs w:val="18"/>
              </w:rPr>
            </w:pPr>
            <w:r>
              <w:rPr>
                <w:rFonts w:ascii="Times New Roman"/>
                <w:sz w:val="18"/>
              </w:rPr>
              <w:t>,631.08</w:t>
            </w:r>
          </w:p>
        </w:tc>
        <w:tc>
          <w:tcPr>
            <w:tcW w:w="652" w:type="dxa"/>
            <w:vMerge w:val="restart"/>
            <w:tcBorders>
              <w:top w:val="single" w:sz="4" w:space="0" w:color="000000"/>
              <w:left w:val="single" w:sz="4" w:space="0" w:color="000000"/>
              <w:right w:val="single" w:sz="4" w:space="0" w:color="000000"/>
            </w:tcBorders>
          </w:tcPr>
          <w:p>
            <w:pP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560,259</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,665.31</w:t>
            </w:r>
          </w:p>
        </w:tc>
      </w:tr>
      <w:tr>
        <w:trPr>
          <w:trHeight w:val="392" w:hRule="exact"/>
        </w:trPr>
        <w:tc>
          <w:tcPr>
            <w:tcW w:w="1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562"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78" w:type="dxa"/>
            <w:vMerge/>
            <w:tcBorders>
              <w:left w:val="single" w:sz="4" w:space="0" w:color="000000"/>
              <w:right w:val="single" w:sz="4" w:space="0" w:color="000000"/>
            </w:tcBorders>
          </w:tcPr>
          <w:p>
            <w:pPr/>
          </w:p>
        </w:tc>
        <w:tc>
          <w:tcPr>
            <w:tcW w:w="652"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78" w:type="dxa"/>
            <w:vMerge/>
            <w:tcBorders>
              <w:left w:val="single" w:sz="4" w:space="0" w:color="000000"/>
              <w:bottom w:val="single" w:sz="4" w:space="0" w:color="000000"/>
              <w:right w:val="single" w:sz="4" w:space="0" w:color="000000"/>
            </w:tcBorders>
          </w:tcPr>
          <w:p>
            <w:pPr/>
          </w:p>
        </w:tc>
        <w:tc>
          <w:tcPr>
            <w:tcW w:w="652"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43" w:firstLine="720"/>
              <w:jc w:val="left"/>
              <w:rPr>
                <w:rFonts w:ascii="宋体" w:hAnsi="宋体" w:cs="宋体" w:eastAsia="宋体" w:hint="default"/>
                <w:sz w:val="18"/>
                <w:szCs w:val="18"/>
              </w:rPr>
            </w:pPr>
            <w:r>
              <w:rPr>
                <w:rFonts w:ascii="宋体" w:hAnsi="宋体" w:cs="宋体" w:eastAsia="宋体" w:hint="default"/>
                <w:sz w:val="18"/>
                <w:szCs w:val="18"/>
              </w:rPr>
              <w:t>同一控 制下企业合并</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1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9" w:space="0" w:color="D2D2D2"/>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7" w:right="0"/>
              <w:jc w:val="left"/>
              <w:rPr>
                <w:rFonts w:ascii="Times New Roman" w:hAnsi="Times New Roman" w:cs="Times New Roman" w:eastAsia="Times New Roman" w:hint="default"/>
                <w:sz w:val="18"/>
                <w:szCs w:val="18"/>
              </w:rPr>
            </w:pPr>
            <w:r>
              <w:rPr>
                <w:rFonts w:ascii="Times New Roman"/>
                <w:sz w:val="18"/>
              </w:rPr>
              <w:t>227,436</w:t>
            </w:r>
          </w:p>
          <w:p>
            <w:pPr>
              <w:pStyle w:val="TableParagraph"/>
              <w:spacing w:line="240" w:lineRule="auto" w:before="106"/>
              <w:ind w:left="92" w:right="0"/>
              <w:jc w:val="left"/>
              <w:rPr>
                <w:rFonts w:ascii="Times New Roman" w:hAnsi="Times New Roman" w:cs="Times New Roman" w:eastAsia="Times New Roman" w:hint="default"/>
                <w:sz w:val="18"/>
                <w:szCs w:val="18"/>
              </w:rPr>
            </w:pPr>
            <w:r>
              <w:rPr>
                <w:rFonts w:ascii="Times New Roman"/>
                <w:sz w:val="18"/>
              </w:rPr>
              <w:t>,695.79</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-64,845.</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38</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10,692,</w:t>
            </w:r>
          </w:p>
          <w:p>
            <w:pPr>
              <w:pStyle w:val="TableParagraph"/>
              <w:spacing w:line="240" w:lineRule="auto" w:before="106"/>
              <w:ind w:left="136" w:right="0"/>
              <w:jc w:val="left"/>
              <w:rPr>
                <w:rFonts w:ascii="Times New Roman" w:hAnsi="Times New Roman" w:cs="Times New Roman" w:eastAsia="Times New Roman" w:hint="default"/>
                <w:sz w:val="18"/>
                <w:szCs w:val="18"/>
              </w:rPr>
            </w:pPr>
            <w:r>
              <w:rPr>
                <w:rFonts w:ascii="Times New Roman"/>
                <w:sz w:val="18"/>
              </w:rPr>
              <w:t>183.82</w:t>
            </w:r>
          </w:p>
        </w:tc>
        <w:tc>
          <w:tcPr>
            <w:tcW w:w="665" w:type="dxa"/>
            <w:vMerge w:val="restart"/>
            <w:tcBorders>
              <w:top w:val="single" w:sz="4" w:space="0" w:color="000000"/>
              <w:left w:val="single" w:sz="4" w:space="0" w:color="000000"/>
              <w:right w:val="single" w:sz="4" w:space="0" w:color="000000"/>
            </w:tcBorders>
          </w:tcPr>
          <w:p>
            <w:pPr/>
          </w:p>
        </w:tc>
        <w:tc>
          <w:tcPr>
            <w:tcW w:w="678"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242,195</w:t>
            </w:r>
          </w:p>
          <w:p>
            <w:pPr>
              <w:pStyle w:val="TableParagraph"/>
              <w:spacing w:line="240" w:lineRule="auto" w:before="106"/>
              <w:ind w:left="104" w:right="0"/>
              <w:jc w:val="left"/>
              <w:rPr>
                <w:rFonts w:ascii="Times New Roman" w:hAnsi="Times New Roman" w:cs="Times New Roman" w:eastAsia="Times New Roman" w:hint="default"/>
                <w:sz w:val="18"/>
                <w:szCs w:val="18"/>
              </w:rPr>
            </w:pPr>
            <w:r>
              <w:rPr>
                <w:rFonts w:ascii="Times New Roman"/>
                <w:sz w:val="18"/>
              </w:rPr>
              <w:t>,631.08</w:t>
            </w:r>
          </w:p>
        </w:tc>
        <w:tc>
          <w:tcPr>
            <w:tcW w:w="652" w:type="dxa"/>
            <w:vMerge w:val="restart"/>
            <w:tcBorders>
              <w:top w:val="single" w:sz="4" w:space="0" w:color="000000"/>
              <w:left w:val="single" w:sz="4" w:space="0" w:color="000000"/>
              <w:right w:val="single" w:sz="4" w:space="0" w:color="000000"/>
            </w:tcBorders>
          </w:tcPr>
          <w:p>
            <w:pP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560,259</w:t>
            </w:r>
          </w:p>
          <w:p>
            <w:pPr>
              <w:pStyle w:val="TableParagraph"/>
              <w:spacing w:line="240" w:lineRule="auto" w:before="106"/>
              <w:ind w:left="85" w:right="0"/>
              <w:jc w:val="left"/>
              <w:rPr>
                <w:rFonts w:ascii="Times New Roman" w:hAnsi="Times New Roman" w:cs="Times New Roman" w:eastAsia="Times New Roman" w:hint="default"/>
                <w:sz w:val="18"/>
                <w:szCs w:val="18"/>
              </w:rPr>
            </w:pPr>
            <w:r>
              <w:rPr>
                <w:rFonts w:ascii="Times New Roman"/>
                <w:sz w:val="18"/>
              </w:rPr>
              <w:t>,665.31</w:t>
            </w:r>
          </w:p>
        </w:tc>
      </w:tr>
      <w:tr>
        <w:trPr>
          <w:trHeight w:val="393" w:hRule="exact"/>
        </w:trPr>
        <w:tc>
          <w:tcPr>
            <w:tcW w:w="1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562"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78" w:type="dxa"/>
            <w:vMerge/>
            <w:tcBorders>
              <w:left w:val="single" w:sz="4" w:space="0" w:color="000000"/>
              <w:right w:val="single" w:sz="4" w:space="0" w:color="000000"/>
            </w:tcBorders>
          </w:tcPr>
          <w:p>
            <w:pPr/>
          </w:p>
        </w:tc>
        <w:tc>
          <w:tcPr>
            <w:tcW w:w="652"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317" w:hRule="exact"/>
        </w:trPr>
        <w:tc>
          <w:tcPr>
            <w:tcW w:w="1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78" w:type="dxa"/>
            <w:vMerge/>
            <w:tcBorders>
              <w:left w:val="single" w:sz="4" w:space="0" w:color="000000"/>
              <w:bottom w:val="single" w:sz="4" w:space="0" w:color="000000"/>
              <w:right w:val="single" w:sz="4" w:space="0" w:color="000000"/>
            </w:tcBorders>
          </w:tcPr>
          <w:p>
            <w:pPr/>
          </w:p>
        </w:tc>
        <w:tc>
          <w:tcPr>
            <w:tcW w:w="652"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1026"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22"/>
              <w:jc w:val="both"/>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pacing w:val="-5"/>
                <w:sz w:val="18"/>
                <w:szCs w:val="18"/>
              </w:rPr>
              <w:t>金额（减少以</w:t>
            </w:r>
            <w:r>
              <w:rPr>
                <w:rFonts w:ascii="Times New Roman" w:hAnsi="Times New Roman" w:cs="Times New Roman" w:eastAsia="Times New Roman" w:hint="default"/>
                <w:spacing w:val="-5"/>
                <w:sz w:val="18"/>
                <w:szCs w:val="18"/>
              </w:rPr>
              <w:t>“</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号填列）</w:t>
            </w:r>
          </w:p>
        </w:tc>
        <w:tc>
          <w:tcPr>
            <w:tcW w:w="56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200,00</w:t>
            </w:r>
          </w:p>
          <w:p>
            <w:pPr>
              <w:pStyle w:val="TableParagraph"/>
              <w:spacing w:line="240" w:lineRule="auto" w:before="105"/>
              <w:ind w:left="67"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337"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0,000.0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w w:val="95"/>
                <w:sz w:val="18"/>
              </w:rPr>
              <w:t>-8,074.0</w:t>
            </w:r>
            <w:r>
              <w:rPr>
                <w:rFonts w:ascii="Times New Roman"/>
                <w:sz w:val="18"/>
              </w:rPr>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5</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 w:right="0"/>
              <w:jc w:val="center"/>
              <w:rPr>
                <w:rFonts w:ascii="Times New Roman" w:hAnsi="Times New Roman" w:cs="Times New Roman" w:eastAsia="Times New Roman" w:hint="default"/>
                <w:sz w:val="18"/>
                <w:szCs w:val="18"/>
              </w:rPr>
            </w:pPr>
            <w:r>
              <w:rPr>
                <w:rFonts w:ascii="Times New Roman"/>
                <w:sz w:val="18"/>
              </w:rPr>
              <w:t>3,559,9</w:t>
            </w:r>
          </w:p>
          <w:p>
            <w:pPr>
              <w:pStyle w:val="TableParagraph"/>
              <w:spacing w:line="240" w:lineRule="auto" w:before="106"/>
              <w:ind w:left="203" w:right="0"/>
              <w:jc w:val="center"/>
              <w:rPr>
                <w:rFonts w:ascii="Times New Roman" w:hAnsi="Times New Roman" w:cs="Times New Roman" w:eastAsia="Times New Roman" w:hint="default"/>
                <w:sz w:val="18"/>
                <w:szCs w:val="18"/>
              </w:rPr>
            </w:pPr>
            <w:r>
              <w:rPr>
                <w:rFonts w:ascii="Times New Roman"/>
                <w:sz w:val="18"/>
              </w:rPr>
              <w:t>65.67</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33,053,</w:t>
            </w:r>
          </w:p>
          <w:p>
            <w:pPr>
              <w:pStyle w:val="TableParagraph"/>
              <w:spacing w:line="240" w:lineRule="auto" w:before="106"/>
              <w:ind w:left="149" w:right="0"/>
              <w:jc w:val="left"/>
              <w:rPr>
                <w:rFonts w:ascii="Times New Roman" w:hAnsi="Times New Roman" w:cs="Times New Roman" w:eastAsia="Times New Roman" w:hint="default"/>
                <w:sz w:val="18"/>
                <w:szCs w:val="18"/>
              </w:rPr>
            </w:pPr>
            <w:r>
              <w:rPr>
                <w:rFonts w:ascii="Times New Roman"/>
                <w:sz w:val="18"/>
              </w:rPr>
              <w:t>361.91</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30,853,</w:t>
            </w:r>
          </w:p>
          <w:p>
            <w:pPr>
              <w:pStyle w:val="TableParagraph"/>
              <w:spacing w:line="240" w:lineRule="auto" w:before="106"/>
              <w:ind w:left="124" w:right="0"/>
              <w:jc w:val="left"/>
              <w:rPr>
                <w:rFonts w:ascii="Times New Roman" w:hAnsi="Times New Roman" w:cs="Times New Roman" w:eastAsia="Times New Roman" w:hint="default"/>
                <w:sz w:val="18"/>
                <w:szCs w:val="18"/>
              </w:rPr>
            </w:pPr>
            <w:r>
              <w:rPr>
                <w:rFonts w:ascii="Times New Roman"/>
                <w:sz w:val="18"/>
              </w:rPr>
              <w:t>941.49</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67,459,</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195.02</w:t>
            </w: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22"/>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-8,074.0</w:t>
            </w:r>
            <w:r>
              <w:rPr>
                <w:rFonts w:ascii="Times New Roman"/>
                <w:sz w:val="18"/>
              </w:rPr>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5</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4" w:right="0"/>
              <w:jc w:val="left"/>
              <w:rPr>
                <w:rFonts w:ascii="Times New Roman" w:hAnsi="Times New Roman" w:cs="Times New Roman" w:eastAsia="Times New Roman" w:hint="default"/>
                <w:sz w:val="18"/>
                <w:szCs w:val="18"/>
              </w:rPr>
            </w:pPr>
            <w:r>
              <w:rPr>
                <w:rFonts w:ascii="Times New Roman"/>
                <w:sz w:val="18"/>
              </w:rPr>
              <w:t>48,613,</w:t>
            </w:r>
          </w:p>
          <w:p>
            <w:pPr>
              <w:pStyle w:val="TableParagraph"/>
              <w:spacing w:line="240" w:lineRule="auto" w:before="106"/>
              <w:ind w:left="149" w:right="0"/>
              <w:jc w:val="left"/>
              <w:rPr>
                <w:rFonts w:ascii="Times New Roman" w:hAnsi="Times New Roman" w:cs="Times New Roman" w:eastAsia="Times New Roman" w:hint="default"/>
                <w:sz w:val="18"/>
                <w:szCs w:val="18"/>
              </w:rPr>
            </w:pPr>
            <w:r>
              <w:rPr>
                <w:rFonts w:ascii="Times New Roman"/>
                <w:sz w:val="18"/>
              </w:rPr>
              <w:t>327.58</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center"/>
              <w:rPr>
                <w:rFonts w:ascii="Times New Roman" w:hAnsi="Times New Roman" w:cs="Times New Roman" w:eastAsia="Times New Roman" w:hint="default"/>
                <w:sz w:val="18"/>
                <w:szCs w:val="18"/>
              </w:rPr>
            </w:pPr>
            <w:r>
              <w:rPr>
                <w:rFonts w:ascii="Times New Roman"/>
                <w:sz w:val="18"/>
              </w:rPr>
              <w:t>6,703,1</w:t>
            </w:r>
          </w:p>
          <w:p>
            <w:pPr>
              <w:pStyle w:val="TableParagraph"/>
              <w:spacing w:line="240" w:lineRule="auto" w:before="106"/>
              <w:ind w:left="192" w:right="0"/>
              <w:jc w:val="center"/>
              <w:rPr>
                <w:rFonts w:ascii="Times New Roman" w:hAnsi="Times New Roman" w:cs="Times New Roman" w:eastAsia="Times New Roman" w:hint="default"/>
                <w:sz w:val="18"/>
                <w:szCs w:val="18"/>
              </w:rPr>
            </w:pPr>
            <w:r>
              <w:rPr>
                <w:rFonts w:ascii="Times New Roman"/>
                <w:sz w:val="18"/>
              </w:rPr>
              <w:t>65.48</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55,308,</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419.01</w:t>
            </w: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22"/>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和减少资本</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24,150,</w:t>
            </w:r>
          </w:p>
          <w:p>
            <w:pPr>
              <w:pStyle w:val="TableParagraph"/>
              <w:spacing w:line="240" w:lineRule="auto" w:before="106"/>
              <w:ind w:left="124" w:right="0"/>
              <w:jc w:val="left"/>
              <w:rPr>
                <w:rFonts w:ascii="Times New Roman" w:hAnsi="Times New Roman" w:cs="Times New Roman" w:eastAsia="Times New Roman" w:hint="default"/>
                <w:sz w:val="18"/>
                <w:szCs w:val="18"/>
              </w:rPr>
            </w:pPr>
            <w:r>
              <w:rPr>
                <w:rFonts w:ascii="Times New Roman"/>
                <w:sz w:val="18"/>
              </w:rPr>
              <w:t>776.01</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24,150,</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776.01</w:t>
            </w: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1"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 w:right="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61" w:hRule="exact"/>
        </w:trPr>
        <w:tc>
          <w:tcPr>
            <w:tcW w:w="1427" w:type="dxa"/>
            <w:tcBorders>
              <w:top w:val="single" w:sz="4" w:space="0" w:color="000000"/>
              <w:left w:val="single" w:sz="4" w:space="0" w:color="000000"/>
              <w:bottom w:val="nil" w:sz="6" w:space="0" w:color="auto"/>
              <w:right w:val="single" w:sz="4" w:space="0" w:color="000000"/>
            </w:tcBorders>
            <w:shd w:val="clear" w:color="auto" w:fill="D2D2D2"/>
          </w:tcPr>
          <w:p>
            <w:pPr/>
          </w:p>
        </w:tc>
        <w:tc>
          <w:tcPr>
            <w:tcW w:w="562" w:type="dxa"/>
            <w:vMerge w:val="restart"/>
            <w:tcBorders>
              <w:top w:val="single" w:sz="4" w:space="0" w:color="000000"/>
              <w:left w:val="single" w:sz="9" w:space="0" w:color="D2D2D2"/>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532" w:type="dxa"/>
            <w:vMerge w:val="restart"/>
            <w:tcBorders>
              <w:top w:val="single" w:sz="4" w:space="0" w:color="000000"/>
              <w:left w:val="single" w:sz="4" w:space="0" w:color="000000"/>
              <w:right w:val="single" w:sz="4" w:space="0" w:color="000000"/>
            </w:tcBorders>
          </w:tcPr>
          <w:p>
            <w:pPr/>
          </w:p>
        </w:tc>
        <w:tc>
          <w:tcPr>
            <w:tcW w:w="530"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78" w:type="dxa"/>
            <w:vMerge w:val="restart"/>
            <w:tcBorders>
              <w:top w:val="single" w:sz="4" w:space="0" w:color="000000"/>
              <w:left w:val="single" w:sz="4" w:space="0" w:color="000000"/>
              <w:right w:val="single" w:sz="4" w:space="0" w:color="000000"/>
            </w:tcBorders>
          </w:tcPr>
          <w:p>
            <w:pPr/>
          </w:p>
        </w:tc>
        <w:tc>
          <w:tcPr>
            <w:tcW w:w="652" w:type="dxa"/>
            <w:vMerge w:val="restart"/>
            <w:tcBorders>
              <w:top w:val="single" w:sz="4" w:space="0" w:color="000000"/>
              <w:left w:val="single" w:sz="4" w:space="0" w:color="000000"/>
              <w:right w:val="single" w:sz="4" w:space="0" w:color="000000"/>
            </w:tcBorders>
          </w:tcPr>
          <w:p>
            <w:pPr>
              <w:pStyle w:val="TableParagraph"/>
              <w:spacing w:line="240" w:lineRule="auto" w:before="91"/>
              <w:ind w:left="79" w:right="0"/>
              <w:jc w:val="left"/>
              <w:rPr>
                <w:rFonts w:ascii="Times New Roman" w:hAnsi="Times New Roman" w:cs="Times New Roman" w:eastAsia="Times New Roman" w:hint="default"/>
                <w:sz w:val="18"/>
                <w:szCs w:val="18"/>
              </w:rPr>
            </w:pPr>
            <w:r>
              <w:rPr>
                <w:rFonts w:ascii="Times New Roman"/>
                <w:sz w:val="18"/>
              </w:rPr>
              <w:t>24,150,</w:t>
            </w:r>
          </w:p>
          <w:p>
            <w:pPr>
              <w:pStyle w:val="TableParagraph"/>
              <w:spacing w:line="240" w:lineRule="auto" w:before="106"/>
              <w:ind w:left="124" w:right="0"/>
              <w:jc w:val="left"/>
              <w:rPr>
                <w:rFonts w:ascii="Times New Roman" w:hAnsi="Times New Roman" w:cs="Times New Roman" w:eastAsia="Times New Roman" w:hint="default"/>
                <w:sz w:val="18"/>
                <w:szCs w:val="18"/>
              </w:rPr>
            </w:pPr>
            <w:r>
              <w:rPr>
                <w:rFonts w:ascii="Times New Roman"/>
                <w:sz w:val="18"/>
              </w:rPr>
              <w:t>776.01</w:t>
            </w:r>
          </w:p>
        </w:tc>
        <w:tc>
          <w:tcPr>
            <w:tcW w:w="659" w:type="dxa"/>
            <w:vMerge w:val="restart"/>
            <w:tcBorders>
              <w:top w:val="single" w:sz="4" w:space="0" w:color="000000"/>
              <w:left w:val="single" w:sz="4" w:space="0" w:color="000000"/>
              <w:right w:val="single" w:sz="4" w:space="0" w:color="000000"/>
            </w:tcBorders>
          </w:tcPr>
          <w:p>
            <w:pPr>
              <w:pStyle w:val="TableParagraph"/>
              <w:spacing w:line="240" w:lineRule="auto" w:before="91"/>
              <w:ind w:left="85" w:right="0"/>
              <w:jc w:val="left"/>
              <w:rPr>
                <w:rFonts w:ascii="Times New Roman" w:hAnsi="Times New Roman" w:cs="Times New Roman" w:eastAsia="Times New Roman" w:hint="default"/>
                <w:sz w:val="18"/>
                <w:szCs w:val="18"/>
              </w:rPr>
            </w:pPr>
            <w:r>
              <w:rPr>
                <w:rFonts w:ascii="Times New Roman"/>
                <w:sz w:val="18"/>
              </w:rPr>
              <w:t>24,150,</w:t>
            </w:r>
          </w:p>
          <w:p>
            <w:pPr>
              <w:pStyle w:val="TableParagraph"/>
              <w:spacing w:line="240" w:lineRule="auto" w:before="106"/>
              <w:ind w:left="130" w:right="0"/>
              <w:jc w:val="left"/>
              <w:rPr>
                <w:rFonts w:ascii="Times New Roman" w:hAnsi="Times New Roman" w:cs="Times New Roman" w:eastAsia="Times New Roman" w:hint="default"/>
                <w:sz w:val="18"/>
                <w:szCs w:val="18"/>
              </w:rPr>
            </w:pPr>
            <w:r>
              <w:rPr>
                <w:rFonts w:ascii="Times New Roman"/>
                <w:sz w:val="18"/>
              </w:rPr>
              <w:t>776.01</w:t>
            </w:r>
          </w:p>
        </w:tc>
      </w:tr>
      <w:tr>
        <w:trPr>
          <w:trHeight w:val="392" w:hRule="exact"/>
        </w:trPr>
        <w:tc>
          <w:tcPr>
            <w:tcW w:w="1427"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vMerge/>
            <w:tcBorders>
              <w:left w:val="single" w:sz="9" w:space="0" w:color="D2D2D2"/>
              <w:right w:val="single" w:sz="4" w:space="0" w:color="000000"/>
            </w:tcBorders>
          </w:tcPr>
          <w:p>
            <w:pPr/>
          </w:p>
        </w:tc>
        <w:tc>
          <w:tcPr>
            <w:tcW w:w="530" w:type="dxa"/>
            <w:vMerge/>
            <w:tcBorders>
              <w:left w:val="single" w:sz="4" w:space="0" w:color="000000"/>
              <w:right w:val="single" w:sz="4" w:space="0" w:color="000000"/>
            </w:tcBorders>
          </w:tcPr>
          <w:p>
            <w:pPr/>
          </w:p>
        </w:tc>
        <w:tc>
          <w:tcPr>
            <w:tcW w:w="532" w:type="dxa"/>
            <w:vMerge/>
            <w:tcBorders>
              <w:left w:val="single" w:sz="4" w:space="0" w:color="000000"/>
              <w:right w:val="single" w:sz="4" w:space="0" w:color="000000"/>
            </w:tcBorders>
          </w:tcPr>
          <w:p>
            <w:pPr/>
          </w:p>
        </w:tc>
        <w:tc>
          <w:tcPr>
            <w:tcW w:w="530"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78" w:type="dxa"/>
            <w:vMerge/>
            <w:tcBorders>
              <w:left w:val="single" w:sz="4" w:space="0" w:color="000000"/>
              <w:right w:val="single" w:sz="4" w:space="0" w:color="000000"/>
            </w:tcBorders>
          </w:tcPr>
          <w:p>
            <w:pPr/>
          </w:p>
        </w:tc>
        <w:tc>
          <w:tcPr>
            <w:tcW w:w="652" w:type="dxa"/>
            <w:vMerge/>
            <w:tcBorders>
              <w:left w:val="single" w:sz="4" w:space="0" w:color="000000"/>
              <w:right w:val="single" w:sz="4" w:space="0" w:color="000000"/>
            </w:tcBorders>
          </w:tcPr>
          <w:p>
            <w:pPr/>
          </w:p>
        </w:tc>
        <w:tc>
          <w:tcPr>
            <w:tcW w:w="659" w:type="dxa"/>
            <w:vMerge/>
            <w:tcBorders>
              <w:left w:val="single" w:sz="4" w:space="0" w:color="000000"/>
              <w:right w:val="single" w:sz="4" w:space="0" w:color="000000"/>
            </w:tcBorders>
          </w:tcPr>
          <w:p>
            <w:pPr/>
          </w:p>
        </w:tc>
      </w:tr>
      <w:tr>
        <w:trPr>
          <w:trHeight w:val="161" w:hRule="exact"/>
        </w:trPr>
        <w:tc>
          <w:tcPr>
            <w:tcW w:w="1427" w:type="dxa"/>
            <w:tcBorders>
              <w:top w:val="nil" w:sz="6" w:space="0" w:color="auto"/>
              <w:left w:val="single" w:sz="4" w:space="0" w:color="000000"/>
              <w:bottom w:val="single" w:sz="4" w:space="0" w:color="000000"/>
              <w:right w:val="single" w:sz="4" w:space="0" w:color="000000"/>
            </w:tcBorders>
            <w:shd w:val="clear" w:color="auto" w:fill="D2D2D2"/>
          </w:tcPr>
          <w:p>
            <w:pPr/>
          </w:p>
        </w:tc>
        <w:tc>
          <w:tcPr>
            <w:tcW w:w="562" w:type="dxa"/>
            <w:vMerge/>
            <w:tcBorders>
              <w:left w:val="single" w:sz="9" w:space="0" w:color="D2D2D2"/>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532" w:type="dxa"/>
            <w:vMerge/>
            <w:tcBorders>
              <w:left w:val="single" w:sz="4" w:space="0" w:color="000000"/>
              <w:bottom w:val="single" w:sz="4" w:space="0" w:color="000000"/>
              <w:right w:val="single" w:sz="4" w:space="0" w:color="000000"/>
            </w:tcBorders>
          </w:tcPr>
          <w:p>
            <w:pPr/>
          </w:p>
        </w:tc>
        <w:tc>
          <w:tcPr>
            <w:tcW w:w="530"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78" w:type="dxa"/>
            <w:vMerge/>
            <w:tcBorders>
              <w:left w:val="single" w:sz="4" w:space="0" w:color="000000"/>
              <w:bottom w:val="single" w:sz="4" w:space="0" w:color="000000"/>
              <w:right w:val="single" w:sz="4" w:space="0" w:color="000000"/>
            </w:tcBorders>
          </w:tcPr>
          <w:p>
            <w:pPr/>
          </w:p>
        </w:tc>
        <w:tc>
          <w:tcPr>
            <w:tcW w:w="652" w:type="dxa"/>
            <w:vMerge/>
            <w:tcBorders>
              <w:left w:val="single" w:sz="4" w:space="0" w:color="000000"/>
              <w:bottom w:val="single" w:sz="4" w:space="0" w:color="000000"/>
              <w:right w:val="single" w:sz="4" w:space="0" w:color="000000"/>
            </w:tcBorders>
          </w:tcPr>
          <w:p>
            <w:pPr/>
          </w:p>
        </w:tc>
        <w:tc>
          <w:tcPr>
            <w:tcW w:w="659" w:type="dxa"/>
            <w:vMerge/>
            <w:tcBorders>
              <w:left w:val="single" w:sz="4" w:space="0" w:color="000000"/>
              <w:bottom w:val="single" w:sz="4" w:space="0" w:color="000000"/>
              <w:right w:val="single" w:sz="4" w:space="0" w:color="000000"/>
            </w:tcBorders>
          </w:tcPr>
          <w:p>
            <w:pP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562" w:type="dxa"/>
            <w:tcBorders>
              <w:top w:val="single" w:sz="4" w:space="0" w:color="000000"/>
              <w:left w:val="single" w:sz="13" w:space="0" w:color="D2D2D2"/>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91" w:right="0"/>
              <w:jc w:val="left"/>
              <w:rPr>
                <w:rFonts w:ascii="Times New Roman" w:hAnsi="Times New Roman" w:cs="Times New Roman" w:eastAsia="Times New Roman" w:hint="default"/>
                <w:sz w:val="18"/>
                <w:szCs w:val="18"/>
              </w:rPr>
            </w:pPr>
            <w:r>
              <w:rPr>
                <w:rFonts w:ascii="Times New Roman"/>
                <w:sz w:val="18"/>
              </w:rPr>
              <w:t>3,559,9</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4" w:right="0"/>
              <w:jc w:val="left"/>
              <w:rPr>
                <w:rFonts w:ascii="Times New Roman" w:hAnsi="Times New Roman" w:cs="Times New Roman" w:eastAsia="Times New Roman" w:hint="default"/>
                <w:sz w:val="18"/>
                <w:szCs w:val="18"/>
              </w:rPr>
            </w:pPr>
            <w:r>
              <w:rPr>
                <w:rFonts w:ascii="Times New Roman"/>
                <w:sz w:val="18"/>
              </w:rPr>
              <w:t>-15,559,</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25" w:right="0"/>
              <w:jc w:val="left"/>
              <w:rPr>
                <w:rFonts w:ascii="Times New Roman" w:hAnsi="Times New Roman" w:cs="Times New Roman" w:eastAsia="Times New Roman" w:hint="default"/>
                <w:sz w:val="18"/>
                <w:szCs w:val="18"/>
              </w:rPr>
            </w:pPr>
            <w:r>
              <w:rPr>
                <w:rFonts w:ascii="Times New Roman"/>
                <w:sz w:val="18"/>
              </w:rPr>
              <w:t>-12,000,</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437"/>
        <w:gridCol w:w="562"/>
        <w:gridCol w:w="530"/>
        <w:gridCol w:w="532"/>
        <w:gridCol w:w="530"/>
        <w:gridCol w:w="665"/>
        <w:gridCol w:w="665"/>
        <w:gridCol w:w="665"/>
        <w:gridCol w:w="665"/>
        <w:gridCol w:w="665"/>
        <w:gridCol w:w="665"/>
        <w:gridCol w:w="678"/>
        <w:gridCol w:w="652"/>
        <w:gridCol w:w="659"/>
      </w:tblGrid>
      <w:tr>
        <w:trPr>
          <w:trHeight w:val="36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6" w:right="0"/>
              <w:jc w:val="left"/>
              <w:rPr>
                <w:rFonts w:ascii="Times New Roman" w:hAnsi="Times New Roman" w:cs="Times New Roman" w:eastAsia="Times New Roman" w:hint="default"/>
                <w:sz w:val="18"/>
                <w:szCs w:val="18"/>
              </w:rPr>
            </w:pPr>
            <w:r>
              <w:rPr>
                <w:rFonts w:ascii="Times New Roman"/>
                <w:sz w:val="18"/>
              </w:rPr>
              <w:t>65.67</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49" w:right="0"/>
              <w:jc w:val="left"/>
              <w:rPr>
                <w:rFonts w:ascii="Times New Roman" w:hAnsi="Times New Roman" w:cs="Times New Roman" w:eastAsia="Times New Roman" w:hint="default"/>
                <w:sz w:val="18"/>
                <w:szCs w:val="18"/>
              </w:rPr>
            </w:pPr>
            <w:r>
              <w:rPr>
                <w:rFonts w:ascii="Times New Roman"/>
                <w:sz w:val="18"/>
              </w:rPr>
              <w:t>965.67</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30" w:right="0"/>
              <w:jc w:val="left"/>
              <w:rPr>
                <w:rFonts w:ascii="Times New Roman" w:hAnsi="Times New Roman" w:cs="Times New Roman" w:eastAsia="Times New Roman" w:hint="default"/>
                <w:sz w:val="18"/>
                <w:szCs w:val="18"/>
              </w:rPr>
            </w:pPr>
            <w:r>
              <w:rPr>
                <w:rFonts w:ascii="Times New Roman"/>
                <w:sz w:val="18"/>
              </w:rPr>
              <w:t>000.00</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 w:right="0"/>
              <w:jc w:val="center"/>
              <w:rPr>
                <w:rFonts w:ascii="Times New Roman" w:hAnsi="Times New Roman" w:cs="Times New Roman" w:eastAsia="Times New Roman" w:hint="default"/>
                <w:sz w:val="18"/>
                <w:szCs w:val="18"/>
              </w:rPr>
            </w:pPr>
            <w:r>
              <w:rPr>
                <w:rFonts w:ascii="Times New Roman"/>
                <w:sz w:val="18"/>
              </w:rPr>
              <w:t>3,559,9</w:t>
            </w:r>
          </w:p>
          <w:p>
            <w:pPr>
              <w:pStyle w:val="TableParagraph"/>
              <w:spacing w:line="240" w:lineRule="auto" w:before="105"/>
              <w:ind w:left="203" w:right="0"/>
              <w:jc w:val="center"/>
              <w:rPr>
                <w:rFonts w:ascii="Times New Roman" w:hAnsi="Times New Roman" w:cs="Times New Roman" w:eastAsia="Times New Roman" w:hint="default"/>
                <w:sz w:val="18"/>
                <w:szCs w:val="18"/>
              </w:rPr>
            </w:pPr>
            <w:r>
              <w:rPr>
                <w:rFonts w:ascii="Times New Roman"/>
                <w:sz w:val="18"/>
              </w:rPr>
              <w:t>65.67</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-3,559,9</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65.67</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 准备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-12,000,</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000.00</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-12,000,</w:t>
            </w:r>
          </w:p>
          <w:p>
            <w:pPr>
              <w:pStyle w:val="TableParagraph"/>
              <w:spacing w:line="240" w:lineRule="auto" w:before="105"/>
              <w:ind w:left="107" w:right="0"/>
              <w:jc w:val="center"/>
              <w:rPr>
                <w:rFonts w:ascii="Times New Roman" w:hAnsi="Times New Roman" w:cs="Times New Roman" w:eastAsia="Times New Roman" w:hint="default"/>
                <w:sz w:val="18"/>
                <w:szCs w:val="18"/>
              </w:rPr>
            </w:pPr>
            <w:r>
              <w:rPr>
                <w:rFonts w:ascii="Times New Roman"/>
                <w:sz w:val="18"/>
              </w:rPr>
              <w:t>000.00</w:t>
            </w: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 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2"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内部结转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200,00</w:t>
            </w:r>
          </w:p>
          <w:p>
            <w:pPr>
              <w:pStyle w:val="TableParagraph"/>
              <w:spacing w:line="240" w:lineRule="auto" w:before="104"/>
              <w:ind w:left="79"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-200,00</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0,000.0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200,00</w:t>
            </w:r>
          </w:p>
          <w:p>
            <w:pPr>
              <w:pStyle w:val="TableParagraph"/>
              <w:spacing w:line="240" w:lineRule="auto" w:before="104"/>
              <w:ind w:left="79"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-200,00</w:t>
            </w:r>
          </w:p>
          <w:p>
            <w:pPr>
              <w:pStyle w:val="TableParagraph"/>
              <w:spacing w:line="240" w:lineRule="auto" w:before="104"/>
              <w:ind w:right="20"/>
              <w:jc w:val="right"/>
              <w:rPr>
                <w:rFonts w:ascii="Times New Roman" w:hAnsi="Times New Roman" w:cs="Times New Roman" w:eastAsia="Times New Roman" w:hint="default"/>
                <w:sz w:val="18"/>
                <w:szCs w:val="18"/>
              </w:rPr>
            </w:pPr>
            <w:r>
              <w:rPr>
                <w:rFonts w:ascii="Times New Roman"/>
                <w:sz w:val="18"/>
              </w:rPr>
              <w:t>0,000.0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4"/>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left"/>
              <w:rPr>
                <w:rFonts w:ascii="Times New Roman" w:hAnsi="Times New Roman" w:cs="Times New Roman" w:eastAsia="Times New Roman" w:hint="default"/>
                <w:sz w:val="18"/>
                <w:szCs w:val="18"/>
              </w:rPr>
            </w:pPr>
            <w:r>
              <w:rPr>
                <w:rFonts w:ascii="Times New Roman"/>
                <w:sz w:val="18"/>
              </w:rPr>
              <w:t>280,00</w:t>
            </w:r>
          </w:p>
          <w:p>
            <w:pPr>
              <w:pStyle w:val="TableParagraph"/>
              <w:spacing w:line="240" w:lineRule="auto" w:before="104"/>
              <w:ind w:left="79"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349" w:right="0"/>
              <w:jc w:val="left"/>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2" w:right="0"/>
              <w:jc w:val="left"/>
              <w:rPr>
                <w:rFonts w:ascii="Times New Roman" w:hAnsi="Times New Roman" w:cs="Times New Roman" w:eastAsia="Times New Roman" w:hint="default"/>
                <w:sz w:val="18"/>
                <w:szCs w:val="18"/>
              </w:rPr>
            </w:pPr>
            <w:r>
              <w:rPr>
                <w:rFonts w:ascii="Times New Roman"/>
                <w:sz w:val="18"/>
              </w:rPr>
              <w:t>27,436,</w:t>
            </w:r>
          </w:p>
          <w:p>
            <w:pPr>
              <w:pStyle w:val="TableParagraph"/>
              <w:spacing w:line="240" w:lineRule="auto" w:before="105"/>
              <w:ind w:left="137" w:right="0"/>
              <w:jc w:val="left"/>
              <w:rPr>
                <w:rFonts w:ascii="Times New Roman" w:hAnsi="Times New Roman" w:cs="Times New Roman" w:eastAsia="Times New Roman" w:hint="default"/>
                <w:sz w:val="18"/>
                <w:szCs w:val="18"/>
              </w:rPr>
            </w:pPr>
            <w:r>
              <w:rPr>
                <w:rFonts w:ascii="Times New Roman"/>
                <w:sz w:val="18"/>
              </w:rPr>
              <w:t>695.79</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-72,919.</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43</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1" w:right="0"/>
              <w:jc w:val="left"/>
              <w:rPr>
                <w:rFonts w:ascii="Times New Roman" w:hAnsi="Times New Roman" w:cs="Times New Roman" w:eastAsia="Times New Roman" w:hint="default"/>
                <w:sz w:val="18"/>
                <w:szCs w:val="18"/>
              </w:rPr>
            </w:pPr>
            <w:r>
              <w:rPr>
                <w:rFonts w:ascii="Times New Roman"/>
                <w:sz w:val="18"/>
              </w:rPr>
              <w:t>14,252,</w:t>
            </w:r>
          </w:p>
          <w:p>
            <w:pPr>
              <w:pStyle w:val="TableParagraph"/>
              <w:spacing w:line="240" w:lineRule="auto" w:before="105"/>
              <w:ind w:left="136" w:right="0"/>
              <w:jc w:val="left"/>
              <w:rPr>
                <w:rFonts w:ascii="Times New Roman" w:hAnsi="Times New Roman" w:cs="Times New Roman" w:eastAsia="Times New Roman" w:hint="default"/>
                <w:sz w:val="18"/>
                <w:szCs w:val="18"/>
              </w:rPr>
            </w:pPr>
            <w:r>
              <w:rPr>
                <w:rFonts w:ascii="Times New Roman"/>
                <w:sz w:val="18"/>
              </w:rPr>
              <w:t>149.49</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275,248</w:t>
            </w:r>
          </w:p>
          <w:p>
            <w:pPr>
              <w:pStyle w:val="TableParagraph"/>
              <w:spacing w:line="240" w:lineRule="auto" w:before="105"/>
              <w:ind w:left="104" w:right="0"/>
              <w:jc w:val="left"/>
              <w:rPr>
                <w:rFonts w:ascii="Times New Roman" w:hAnsi="Times New Roman" w:cs="Times New Roman" w:eastAsia="Times New Roman" w:hint="default"/>
                <w:sz w:val="18"/>
                <w:szCs w:val="18"/>
              </w:rPr>
            </w:pPr>
            <w:r>
              <w:rPr>
                <w:rFonts w:ascii="Times New Roman"/>
                <w:sz w:val="18"/>
              </w:rPr>
              <w:t>,992.99</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9" w:right="0"/>
              <w:jc w:val="left"/>
              <w:rPr>
                <w:rFonts w:ascii="Times New Roman" w:hAnsi="Times New Roman" w:cs="Times New Roman" w:eastAsia="Times New Roman" w:hint="default"/>
                <w:sz w:val="18"/>
                <w:szCs w:val="18"/>
              </w:rPr>
            </w:pPr>
            <w:r>
              <w:rPr>
                <w:rFonts w:ascii="Times New Roman"/>
                <w:sz w:val="18"/>
              </w:rPr>
              <w:t>30,853,</w:t>
            </w:r>
          </w:p>
          <w:p>
            <w:pPr>
              <w:pStyle w:val="TableParagraph"/>
              <w:spacing w:line="240" w:lineRule="auto" w:before="105"/>
              <w:ind w:left="124" w:right="0"/>
              <w:jc w:val="left"/>
              <w:rPr>
                <w:rFonts w:ascii="Times New Roman" w:hAnsi="Times New Roman" w:cs="Times New Roman" w:eastAsia="Times New Roman" w:hint="default"/>
                <w:sz w:val="18"/>
                <w:szCs w:val="18"/>
              </w:rPr>
            </w:pPr>
            <w:r>
              <w:rPr>
                <w:rFonts w:ascii="Times New Roman"/>
                <w:sz w:val="18"/>
              </w:rPr>
              <w:t>941.49</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0" w:right="0"/>
              <w:jc w:val="left"/>
              <w:rPr>
                <w:rFonts w:ascii="Times New Roman" w:hAnsi="Times New Roman" w:cs="Times New Roman" w:eastAsia="Times New Roman" w:hint="default"/>
                <w:sz w:val="18"/>
                <w:szCs w:val="18"/>
              </w:rPr>
            </w:pPr>
            <w:r>
              <w:rPr>
                <w:rFonts w:ascii="Times New Roman"/>
                <w:sz w:val="18"/>
              </w:rPr>
              <w:t>627,718</w:t>
            </w:r>
          </w:p>
          <w:p>
            <w:pPr>
              <w:pStyle w:val="TableParagraph"/>
              <w:spacing w:line="240" w:lineRule="auto" w:before="105"/>
              <w:ind w:left="85" w:right="0"/>
              <w:jc w:val="left"/>
              <w:rPr>
                <w:rFonts w:ascii="Times New Roman" w:hAnsi="Times New Roman" w:cs="Times New Roman" w:eastAsia="Times New Roman" w:hint="default"/>
                <w:sz w:val="18"/>
                <w:szCs w:val="18"/>
              </w:rPr>
            </w:pPr>
            <w:r>
              <w:rPr>
                <w:rFonts w:ascii="Times New Roman"/>
                <w:sz w:val="18"/>
              </w:rPr>
              <w:t>,860.33</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8、母公司所有者权益变动表" w:id="161"/>
      <w:bookmarkEnd w:id="161"/>
      <w:r>
        <w:rPr>
          <w:b w:val="0"/>
          <w:bCs w:val="0"/>
        </w:rPr>
      </w:r>
      <w:r>
        <w:rPr>
          <w:rFonts w:ascii="Times New Roman" w:hAnsi="Times New Roman" w:cs="Times New Roman" w:eastAsia="Times New Roman" w:hint="default"/>
        </w:rPr>
        <w:t>8</w:t>
      </w:r>
      <w:r>
        <w:rPr/>
        <w:t>、母公司所有者权益变动表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1134"/>
        <w:jc w:val="left"/>
      </w:pPr>
      <w:r>
        <w:rPr/>
        <w:t>本期金额</w:t>
      </w:r>
    </w:p>
    <w:p>
      <w:pPr>
        <w:pStyle w:val="BodyText"/>
        <w:spacing w:line="240" w:lineRule="auto" w:before="116"/>
        <w:ind w:left="5856" w:right="1130"/>
        <w:jc w:val="right"/>
      </w:pPr>
      <w:r>
        <w:rPr/>
        <w:t>单位：元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430"/>
        <w:gridCol w:w="703"/>
        <w:gridCol w:w="653"/>
        <w:gridCol w:w="665"/>
        <w:gridCol w:w="654"/>
        <w:gridCol w:w="809"/>
        <w:gridCol w:w="797"/>
        <w:gridCol w:w="798"/>
        <w:gridCol w:w="798"/>
        <w:gridCol w:w="796"/>
        <w:gridCol w:w="676"/>
        <w:gridCol w:w="781"/>
      </w:tblGrid>
      <w:tr>
        <w:trPr>
          <w:trHeight w:val="397"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210" w:hRule="exact"/>
        </w:trPr>
        <w:tc>
          <w:tcPr>
            <w:tcW w:w="14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1"/>
              <w:ind w:right="9"/>
              <w:jc w:val="center"/>
              <w:rPr>
                <w:rFonts w:ascii="宋体" w:hAnsi="宋体" w:cs="宋体" w:eastAsia="宋体" w:hint="default"/>
                <w:sz w:val="18"/>
                <w:szCs w:val="18"/>
              </w:rPr>
            </w:pPr>
            <w:r>
              <w:rPr>
                <w:rFonts w:ascii="宋体" w:hAnsi="宋体" w:cs="宋体" w:eastAsia="宋体" w:hint="default"/>
                <w:sz w:val="18"/>
                <w:szCs w:val="18"/>
              </w:rPr>
              <w:t>项目</w:t>
            </w:r>
          </w:p>
        </w:tc>
        <w:tc>
          <w:tcPr>
            <w:tcW w:w="703" w:type="dxa"/>
            <w:tcBorders>
              <w:top w:val="single" w:sz="4" w:space="0" w:color="000000"/>
              <w:left w:val="single" w:sz="4" w:space="0" w:color="000000"/>
              <w:bottom w:val="nil" w:sz="6" w:space="0" w:color="auto"/>
              <w:right w:val="single" w:sz="4" w:space="0" w:color="000000"/>
            </w:tcBorders>
            <w:shd w:val="clear" w:color="auto" w:fill="D2D2D2"/>
          </w:tcPr>
          <w:p>
            <w:pPr/>
          </w:p>
        </w:tc>
        <w:tc>
          <w:tcPr>
            <w:tcW w:w="197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40"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809"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2"/>
              <w:ind w:left="304" w:right="31"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2"/>
              <w:ind w:left="214"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6" w:type="dxa"/>
            <w:tcBorders>
              <w:top w:val="single" w:sz="4" w:space="0" w:color="000000"/>
              <w:left w:val="single" w:sz="4" w:space="0" w:color="000000"/>
              <w:bottom w:val="nil" w:sz="6" w:space="0" w:color="auto"/>
              <w:right w:val="single" w:sz="4" w:space="0" w:color="000000"/>
            </w:tcBorders>
            <w:shd w:val="clear" w:color="auto" w:fill="D2D2D2"/>
          </w:tcPr>
          <w:p>
            <w:pP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2"/>
              <w:ind w:left="152" w:right="61"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2"/>
              <w:ind w:left="115"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2" w:hRule="exact"/>
        </w:trPr>
        <w:tc>
          <w:tcPr>
            <w:tcW w:w="1430" w:type="dxa"/>
            <w:vMerge/>
            <w:tcBorders>
              <w:left w:val="single" w:sz="4" w:space="0" w:color="000000"/>
              <w:bottom w:val="nil" w:sz="6" w:space="0" w:color="auto"/>
              <w:right w:val="single" w:sz="4" w:space="0" w:color="000000"/>
            </w:tcBorders>
            <w:shd w:val="clear" w:color="auto" w:fill="D2D2D2"/>
          </w:tcPr>
          <w:p>
            <w:pPr/>
          </w:p>
        </w:tc>
        <w:tc>
          <w:tcPr>
            <w:tcW w:w="70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60"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72" w:type="dxa"/>
            <w:gridSpan w:val="3"/>
            <w:vMerge/>
            <w:tcBorders>
              <w:left w:val="single" w:sz="4" w:space="0" w:color="000000"/>
              <w:bottom w:val="single" w:sz="4" w:space="0" w:color="000000"/>
              <w:right w:val="single" w:sz="4" w:space="0" w:color="000000"/>
            </w:tcBorders>
            <w:shd w:val="clear" w:color="auto" w:fill="D2D2D2"/>
          </w:tcPr>
          <w:p>
            <w:pPr/>
          </w:p>
        </w:tc>
        <w:tc>
          <w:tcPr>
            <w:tcW w:w="809"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44"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7"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0" w:hRule="exact"/>
        </w:trPr>
        <w:tc>
          <w:tcPr>
            <w:tcW w:w="1430" w:type="dxa"/>
            <w:vMerge w:val="restart"/>
            <w:tcBorders>
              <w:top w:val="nil" w:sz="6" w:space="0" w:color="auto"/>
              <w:left w:val="single" w:sz="4" w:space="0" w:color="000000"/>
              <w:right w:val="single" w:sz="4" w:space="0" w:color="000000"/>
            </w:tcBorders>
            <w:shd w:val="clear" w:color="auto" w:fill="D2D2D2"/>
          </w:tcPr>
          <w:p>
            <w:pPr/>
          </w:p>
        </w:tc>
        <w:tc>
          <w:tcPr>
            <w:tcW w:w="703" w:type="dxa"/>
            <w:vMerge/>
            <w:tcBorders>
              <w:left w:val="single" w:sz="4" w:space="0" w:color="000000"/>
              <w:bottom w:val="nil" w:sz="6" w:space="0" w:color="auto"/>
              <w:right w:val="single" w:sz="4" w:space="0" w:color="000000"/>
            </w:tcBorders>
            <w:shd w:val="clear" w:color="auto" w:fill="D2D2D2"/>
          </w:tcPr>
          <w:p>
            <w:pPr/>
          </w:p>
        </w:tc>
        <w:tc>
          <w:tcPr>
            <w:tcW w:w="65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44"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5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09"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bottom w:val="nil" w:sz="6" w:space="0" w:color="auto"/>
              <w:right w:val="single" w:sz="4" w:space="0" w:color="000000"/>
            </w:tcBorders>
            <w:shd w:val="clear" w:color="auto" w:fill="D2D2D2"/>
          </w:tcPr>
          <w:p>
            <w:pPr/>
          </w:p>
        </w:tc>
        <w:tc>
          <w:tcPr>
            <w:tcW w:w="796" w:type="dxa"/>
            <w:vMerge/>
            <w:tcBorders>
              <w:left w:val="single" w:sz="4" w:space="0" w:color="000000"/>
              <w:bottom w:val="nil" w:sz="6" w:space="0" w:color="auto"/>
              <w:right w:val="single" w:sz="4" w:space="0" w:color="000000"/>
            </w:tcBorders>
            <w:shd w:val="clear" w:color="auto" w:fill="D2D2D2"/>
          </w:tcPr>
          <w:p>
            <w:pP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6" w:hRule="exact"/>
        </w:trPr>
        <w:tc>
          <w:tcPr>
            <w:tcW w:w="1430" w:type="dxa"/>
            <w:vMerge/>
            <w:tcBorders>
              <w:left w:val="single" w:sz="4" w:space="0" w:color="000000"/>
              <w:bottom w:val="single" w:sz="4" w:space="0" w:color="000000"/>
              <w:right w:val="single" w:sz="4" w:space="0" w:color="000000"/>
            </w:tcBorders>
            <w:shd w:val="clear" w:color="auto" w:fill="D2D2D2"/>
          </w:tcPr>
          <w:p>
            <w:pPr/>
          </w:p>
        </w:tc>
        <w:tc>
          <w:tcPr>
            <w:tcW w:w="703" w:type="dxa"/>
            <w:tcBorders>
              <w:top w:val="nil" w:sz="6" w:space="0" w:color="auto"/>
              <w:left w:val="single" w:sz="4" w:space="0" w:color="000000"/>
              <w:bottom w:val="single" w:sz="4" w:space="0" w:color="000000"/>
              <w:right w:val="single" w:sz="4" w:space="0" w:color="000000"/>
            </w:tcBorders>
            <w:shd w:val="clear" w:color="auto" w:fill="D2D2D2"/>
          </w:tcPr>
          <w:p>
            <w:pPr/>
          </w:p>
        </w:tc>
        <w:tc>
          <w:tcPr>
            <w:tcW w:w="653"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54" w:type="dxa"/>
            <w:vMerge/>
            <w:tcBorders>
              <w:left w:val="single" w:sz="4" w:space="0" w:color="000000"/>
              <w:bottom w:val="single" w:sz="4" w:space="0" w:color="000000"/>
              <w:right w:val="single" w:sz="4" w:space="0" w:color="000000"/>
            </w:tcBorders>
            <w:shd w:val="clear" w:color="auto" w:fill="D2D2D2"/>
          </w:tcPr>
          <w:p>
            <w:pPr/>
          </w:p>
        </w:tc>
        <w:tc>
          <w:tcPr>
            <w:tcW w:w="809"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tcBorders>
              <w:top w:val="nil" w:sz="6" w:space="0" w:color="auto"/>
              <w:left w:val="single" w:sz="4" w:space="0" w:color="000000"/>
              <w:bottom w:val="single" w:sz="4" w:space="0" w:color="000000"/>
              <w:right w:val="single" w:sz="4" w:space="0" w:color="000000"/>
            </w:tcBorders>
            <w:shd w:val="clear" w:color="auto" w:fill="D2D2D2"/>
          </w:tcPr>
          <w:p>
            <w:pPr/>
          </w:p>
        </w:tc>
        <w:tc>
          <w:tcPr>
            <w:tcW w:w="796" w:type="dxa"/>
            <w:tcBorders>
              <w:top w:val="nil" w:sz="6" w:space="0" w:color="auto"/>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7"/>
                <w:sz w:val="18"/>
                <w:szCs w:val="18"/>
              </w:rPr>
              <w:t>一、上年期末余额</w:t>
            </w:r>
          </w:p>
        </w:tc>
        <w:tc>
          <w:tcPr>
            <w:tcW w:w="7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11"/>
              <w:ind w:left="16" w:right="0"/>
              <w:jc w:val="left"/>
              <w:rPr>
                <w:rFonts w:ascii="Times New Roman" w:hAnsi="Times New Roman" w:cs="Times New Roman" w:eastAsia="Times New Roman" w:hint="default"/>
                <w:sz w:val="18"/>
                <w:szCs w:val="18"/>
              </w:rPr>
            </w:pPr>
            <w:r>
              <w:rPr>
                <w:rFonts w:ascii="Times New Roman"/>
                <w:sz w:val="18"/>
              </w:rPr>
              <w:t>280,000,</w:t>
            </w:r>
          </w:p>
        </w:tc>
        <w:tc>
          <w:tcPr>
            <w:tcW w:w="653"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
        </w:tc>
        <w:tc>
          <w:tcPr>
            <w:tcW w:w="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55" w:right="0"/>
              <w:jc w:val="left"/>
              <w:rPr>
                <w:rFonts w:ascii="Times New Roman" w:hAnsi="Times New Roman" w:cs="Times New Roman" w:eastAsia="Times New Roman" w:hint="default"/>
                <w:sz w:val="18"/>
                <w:szCs w:val="18"/>
              </w:rPr>
            </w:pPr>
            <w:r>
              <w:rPr>
                <w:rFonts w:ascii="Times New Roman"/>
                <w:sz w:val="18"/>
              </w:rPr>
              <w:t>27,446,93</w:t>
            </w:r>
          </w:p>
        </w:tc>
        <w:tc>
          <w:tcPr>
            <w:tcW w:w="797" w:type="dxa"/>
            <w:tcBorders>
              <w:top w:val="single" w:sz="18" w:space="0" w:color="D2D2D2"/>
              <w:left w:val="single" w:sz="4" w:space="0" w:color="000000"/>
              <w:bottom w:val="single" w:sz="4" w:space="0" w:color="000000"/>
              <w:right w:val="single" w:sz="4" w:space="0" w:color="000000"/>
            </w:tcBorders>
          </w:tcPr>
          <w:p>
            <w:pPr/>
          </w:p>
        </w:tc>
        <w:tc>
          <w:tcPr>
            <w:tcW w:w="798" w:type="dxa"/>
            <w:tcBorders>
              <w:top w:val="single" w:sz="18" w:space="0" w:color="D2D2D2"/>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44" w:right="0"/>
              <w:jc w:val="left"/>
              <w:rPr>
                <w:rFonts w:ascii="Times New Roman" w:hAnsi="Times New Roman" w:cs="Times New Roman" w:eastAsia="Times New Roman" w:hint="default"/>
                <w:sz w:val="18"/>
                <w:szCs w:val="18"/>
              </w:rPr>
            </w:pPr>
            <w:r>
              <w:rPr>
                <w:rFonts w:ascii="Times New Roman"/>
                <w:sz w:val="18"/>
              </w:rPr>
              <w:t>14,252,14</w:t>
            </w:r>
          </w:p>
        </w:tc>
        <w:tc>
          <w:tcPr>
            <w:tcW w:w="676" w:type="dxa"/>
            <w:tcBorders>
              <w:top w:val="single" w:sz="18" w:space="0" w:color="D2D2D2"/>
              <w:left w:val="single" w:sz="4" w:space="0" w:color="000000"/>
              <w:bottom w:val="single" w:sz="4" w:space="0" w:color="000000"/>
              <w:right w:val="single" w:sz="4" w:space="0" w:color="000000"/>
            </w:tcBorders>
          </w:tcPr>
          <w:p>
            <w:pPr>
              <w:pStyle w:val="TableParagraph"/>
              <w:spacing w:line="240" w:lineRule="auto" w:before="93"/>
              <w:ind w:left="59" w:right="0"/>
              <w:jc w:val="left"/>
              <w:rPr>
                <w:rFonts w:ascii="Times New Roman" w:hAnsi="Times New Roman" w:cs="Times New Roman" w:eastAsia="Times New Roman" w:hint="default"/>
                <w:sz w:val="18"/>
                <w:szCs w:val="18"/>
              </w:rPr>
            </w:pPr>
            <w:r>
              <w:rPr>
                <w:rFonts w:ascii="Times New Roman"/>
                <w:sz w:val="18"/>
              </w:rPr>
              <w:t>109,339</w:t>
            </w:r>
          </w:p>
        </w:tc>
        <w:tc>
          <w:tcPr>
            <w:tcW w:w="781" w:type="dxa"/>
            <w:tcBorders>
              <w:top w:val="single" w:sz="18" w:space="0" w:color="D2D2D2"/>
              <w:left w:val="single" w:sz="4" w:space="0" w:color="000000"/>
              <w:bottom w:val="single" w:sz="4" w:space="0" w:color="000000"/>
              <w:right w:val="single" w:sz="4" w:space="0" w:color="000000"/>
            </w:tcBorders>
          </w:tcPr>
          <w:p>
            <w:pPr>
              <w:pStyle w:val="TableParagraph"/>
              <w:spacing w:line="240" w:lineRule="auto" w:before="93"/>
              <w:ind w:left="27" w:right="0"/>
              <w:jc w:val="left"/>
              <w:rPr>
                <w:rFonts w:ascii="Times New Roman" w:hAnsi="Times New Roman" w:cs="Times New Roman" w:eastAsia="Times New Roman" w:hint="default"/>
                <w:sz w:val="18"/>
                <w:szCs w:val="18"/>
              </w:rPr>
            </w:pPr>
            <w:r>
              <w:rPr>
                <w:rFonts w:ascii="Times New Roman"/>
                <w:sz w:val="18"/>
              </w:rPr>
              <w:t>431,038,5</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36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63" w:right="0"/>
              <w:jc w:val="left"/>
              <w:rPr>
                <w:rFonts w:ascii="Times New Roman" w:hAnsi="Times New Roman" w:cs="Times New Roman" w:eastAsia="Times New Roman" w:hint="default"/>
                <w:sz w:val="18"/>
                <w:szCs w:val="18"/>
              </w:rPr>
            </w:pPr>
            <w:r>
              <w:rPr>
                <w:rFonts w:ascii="Times New Roman"/>
                <w:sz w:val="18"/>
              </w:rPr>
              <w:t>000.00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9" w:right="0"/>
              <w:jc w:val="left"/>
              <w:rPr>
                <w:rFonts w:ascii="Times New Roman" w:hAnsi="Times New Roman" w:cs="Times New Roman" w:eastAsia="Times New Roman" w:hint="default"/>
                <w:sz w:val="18"/>
                <w:szCs w:val="18"/>
              </w:rPr>
            </w:pPr>
            <w:r>
              <w:rPr>
                <w:rFonts w:ascii="Times New Roman"/>
                <w:sz w:val="18"/>
              </w:rPr>
              <w:t>0.45</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49" w:right="0"/>
              <w:jc w:val="left"/>
              <w:rPr>
                <w:rFonts w:ascii="Times New Roman" w:hAnsi="Times New Roman" w:cs="Times New Roman" w:eastAsia="Times New Roman" w:hint="default"/>
                <w:sz w:val="18"/>
                <w:szCs w:val="18"/>
              </w:rPr>
            </w:pPr>
            <w:r>
              <w:rPr>
                <w:rFonts w:ascii="Times New Roman"/>
                <w:sz w:val="18"/>
              </w:rPr>
              <w:t>9.49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sz w:val="18"/>
              </w:rPr>
              <w:t>,490.51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Times New Roman" w:hAnsi="Times New Roman" w:cs="Times New Roman" w:eastAsia="Times New Roman" w:hint="default"/>
                <w:sz w:val="18"/>
                <w:szCs w:val="18"/>
              </w:rPr>
            </w:pPr>
            <w:r>
              <w:rPr>
                <w:rFonts w:ascii="Times New Roman"/>
                <w:sz w:val="18"/>
              </w:rPr>
              <w:t>70.45</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7"/>
              <w:ind w:left="22"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二、本年期初余额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280,000,</w:t>
            </w:r>
          </w:p>
          <w:p>
            <w:pPr>
              <w:pStyle w:val="TableParagraph"/>
              <w:spacing w:line="240" w:lineRule="auto" w:before="105"/>
              <w:ind w:left="140" w:right="0"/>
              <w:jc w:val="center"/>
              <w:rPr>
                <w:rFonts w:ascii="Times New Roman" w:hAnsi="Times New Roman" w:cs="Times New Roman" w:eastAsia="Times New Roman" w:hint="default"/>
                <w:sz w:val="18"/>
                <w:szCs w:val="18"/>
              </w:rPr>
            </w:pPr>
            <w:r>
              <w:rPr>
                <w:rFonts w:ascii="Times New Roman"/>
                <w:sz w:val="18"/>
              </w:rPr>
              <w:t>000.00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27,446,93</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0.45</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14,252,14</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9.49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109,339</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,490.51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431,038,5</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70.45</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21"/>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-189,413.</w:t>
            </w:r>
            <w:r>
              <w:rPr>
                <w:rFonts w:ascii="Times New Roman"/>
                <w:sz w:val="18"/>
              </w:rPr>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4,924,422</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.48</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38,719,</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802.29</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4" w:right="0"/>
              <w:jc w:val="left"/>
              <w:rPr>
                <w:rFonts w:ascii="Times New Roman" w:hAnsi="Times New Roman" w:cs="Times New Roman" w:eastAsia="Times New Roman" w:hint="default"/>
                <w:sz w:val="18"/>
                <w:szCs w:val="18"/>
              </w:rPr>
            </w:pPr>
            <w:r>
              <w:rPr>
                <w:rFonts w:ascii="Times New Roman"/>
                <w:sz w:val="18"/>
              </w:rPr>
              <w:t>43,454,81</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1.03</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49,244,</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224.77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49,244,22</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4.77</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-189,413.</w:t>
            </w:r>
            <w:r>
              <w:rPr>
                <w:rFonts w:ascii="Times New Roman"/>
                <w:sz w:val="18"/>
              </w:rPr>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-189,413.</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74</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-189,413.</w:t>
            </w:r>
            <w:r>
              <w:rPr>
                <w:rFonts w:ascii="Times New Roman"/>
                <w:sz w:val="18"/>
              </w:rPr>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74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-189,413.</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74</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4,924,422</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.48</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-10,524,</w:t>
            </w:r>
          </w:p>
          <w:p>
            <w:pPr>
              <w:pStyle w:val="TableParagraph"/>
              <w:spacing w:line="240" w:lineRule="auto" w:before="105"/>
              <w:ind w:left="126" w:right="0"/>
              <w:jc w:val="center"/>
              <w:rPr>
                <w:rFonts w:ascii="Times New Roman" w:hAnsi="Times New Roman" w:cs="Times New Roman" w:eastAsia="Times New Roman" w:hint="default"/>
                <w:sz w:val="18"/>
                <w:szCs w:val="18"/>
              </w:rPr>
            </w:pPr>
            <w:r>
              <w:rPr>
                <w:rFonts w:ascii="Times New Roman"/>
                <w:sz w:val="18"/>
              </w:rPr>
              <w:t>422.48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-5,600,00</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4,924,422</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.48</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-4,924,4</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22.48</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-5,600,0</w:t>
            </w:r>
          </w:p>
          <w:p>
            <w:pPr>
              <w:pStyle w:val="TableParagraph"/>
              <w:spacing w:line="240" w:lineRule="auto" w:before="105"/>
              <w:ind w:left="216" w:right="0"/>
              <w:jc w:val="center"/>
              <w:rPr>
                <w:rFonts w:ascii="Times New Roman" w:hAnsi="Times New Roman" w:cs="Times New Roman" w:eastAsia="Times New Roman" w:hint="default"/>
                <w:sz w:val="18"/>
                <w:szCs w:val="18"/>
              </w:rPr>
            </w:pPr>
            <w:r>
              <w:rPr>
                <w:rFonts w:ascii="Times New Roman"/>
                <w:sz w:val="18"/>
              </w:rPr>
              <w:t>00.00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-5,600,00</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46"/>
          <w:pgSz w:w="11910" w:h="16840"/>
          <w:pgMar w:footer="979" w:header="747"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280,000,</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000.00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27,257,51</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6.71</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19,176,57</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1.97</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148,059</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,292.80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474,493,3</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81.48</w:t>
            </w:r>
          </w:p>
        </w:tc>
      </w:tr>
    </w:tbl>
    <w:p>
      <w:pPr>
        <w:pStyle w:val="BodyText"/>
        <w:spacing w:line="240" w:lineRule="auto" w:before="51"/>
        <w:ind w:right="1134"/>
        <w:jc w:val="left"/>
      </w:pPr>
      <w:r>
        <w:rPr/>
        <w:t>上期金额</w:t>
      </w:r>
    </w:p>
    <w:p>
      <w:pPr>
        <w:pStyle w:val="BodyText"/>
        <w:spacing w:line="240" w:lineRule="auto" w:before="117"/>
        <w:ind w:left="5856" w:right="1130"/>
        <w:jc w:val="right"/>
      </w:pPr>
      <w:r>
        <w:rPr/>
        <w:t>单位：元</w:t>
      </w:r>
    </w:p>
    <w:p>
      <w:pPr>
        <w:spacing w:line="240" w:lineRule="auto" w:before="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430"/>
        <w:gridCol w:w="691"/>
        <w:gridCol w:w="665"/>
        <w:gridCol w:w="665"/>
        <w:gridCol w:w="665"/>
        <w:gridCol w:w="797"/>
        <w:gridCol w:w="798"/>
        <w:gridCol w:w="798"/>
        <w:gridCol w:w="798"/>
        <w:gridCol w:w="797"/>
        <w:gridCol w:w="676"/>
        <w:gridCol w:w="781"/>
      </w:tblGrid>
      <w:tr>
        <w:trPr>
          <w:trHeight w:val="397"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211" w:hRule="exact"/>
        </w:trPr>
        <w:tc>
          <w:tcPr>
            <w:tcW w:w="143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62"/>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691" w:type="dxa"/>
            <w:tcBorders>
              <w:top w:val="single" w:sz="4" w:space="0" w:color="000000"/>
              <w:left w:val="single" w:sz="4" w:space="0" w:color="000000"/>
              <w:bottom w:val="nil" w:sz="6" w:space="0" w:color="auto"/>
              <w:right w:val="single" w:sz="4" w:space="0" w:color="000000"/>
            </w:tcBorders>
            <w:shd w:val="clear" w:color="auto" w:fill="D2D2D2"/>
          </w:tcPr>
          <w:p>
            <w:pPr/>
          </w:p>
        </w:tc>
        <w:tc>
          <w:tcPr>
            <w:tcW w:w="1995"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7"/>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304" w:right="31" w:hanging="270"/>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214" w:right="31" w:hanging="180"/>
              <w:jc w:val="left"/>
              <w:rPr>
                <w:rFonts w:ascii="宋体" w:hAnsi="宋体" w:cs="宋体" w:eastAsia="宋体" w:hint="default"/>
                <w:sz w:val="18"/>
                <w:szCs w:val="18"/>
              </w:rPr>
            </w:pPr>
            <w:r>
              <w:rPr>
                <w:rFonts w:ascii="宋体" w:hAnsi="宋体" w:cs="宋体" w:eastAsia="宋体" w:hint="default"/>
                <w:sz w:val="18"/>
                <w:szCs w:val="18"/>
              </w:rPr>
              <w:t>其他综合 收益</w:t>
            </w:r>
          </w:p>
        </w:tc>
        <w:tc>
          <w:tcPr>
            <w:tcW w:w="798" w:type="dxa"/>
            <w:tcBorders>
              <w:top w:val="single" w:sz="4" w:space="0" w:color="000000"/>
              <w:left w:val="single" w:sz="4" w:space="0" w:color="000000"/>
              <w:bottom w:val="nil" w:sz="6" w:space="0" w:color="auto"/>
              <w:right w:val="single" w:sz="4" w:space="0" w:color="000000"/>
            </w:tcBorders>
            <w:shd w:val="clear" w:color="auto" w:fill="D2D2D2"/>
          </w:tcPr>
          <w:p>
            <w:pPr/>
          </w:p>
        </w:tc>
        <w:tc>
          <w:tcPr>
            <w:tcW w:w="797" w:type="dxa"/>
            <w:tcBorders>
              <w:top w:val="single" w:sz="4" w:space="0" w:color="000000"/>
              <w:left w:val="single" w:sz="4" w:space="0" w:color="000000"/>
              <w:bottom w:val="nil" w:sz="6" w:space="0" w:color="auto"/>
              <w:right w:val="single" w:sz="4" w:space="0" w:color="000000"/>
            </w:tcBorders>
            <w:shd w:val="clear" w:color="auto" w:fill="D2D2D2"/>
          </w:tcPr>
          <w:p>
            <w:pP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152" w:right="61" w:hanging="90"/>
              <w:jc w:val="left"/>
              <w:rPr>
                <w:rFonts w:ascii="宋体" w:hAnsi="宋体" w:cs="宋体" w:eastAsia="宋体" w:hint="default"/>
                <w:sz w:val="18"/>
                <w:szCs w:val="18"/>
              </w:rPr>
            </w:pPr>
            <w:r>
              <w:rPr>
                <w:rFonts w:ascii="宋体" w:hAnsi="宋体" w:cs="宋体" w:eastAsia="宋体" w:hint="default"/>
                <w:sz w:val="18"/>
                <w:szCs w:val="18"/>
              </w:rPr>
              <w:t>未分配 利润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1"/>
              <w:ind w:left="115" w:right="24" w:hanging="90"/>
              <w:jc w:val="left"/>
              <w:rPr>
                <w:rFonts w:ascii="宋体" w:hAnsi="宋体" w:cs="宋体" w:eastAsia="宋体" w:hint="default"/>
                <w:sz w:val="18"/>
                <w:szCs w:val="18"/>
              </w:rPr>
            </w:pPr>
            <w:r>
              <w:rPr>
                <w:rFonts w:ascii="宋体" w:hAnsi="宋体" w:cs="宋体" w:eastAsia="宋体" w:hint="default"/>
                <w:sz w:val="18"/>
                <w:szCs w:val="18"/>
              </w:rPr>
              <w:t>所有者权 益合计</w:t>
            </w:r>
          </w:p>
        </w:tc>
      </w:tr>
      <w:tr>
        <w:trPr>
          <w:trHeight w:val="193" w:hRule="exact"/>
        </w:trPr>
        <w:tc>
          <w:tcPr>
            <w:tcW w:w="1430" w:type="dxa"/>
            <w:vMerge/>
            <w:tcBorders>
              <w:left w:val="single" w:sz="4" w:space="0" w:color="000000"/>
              <w:bottom w:val="nil" w:sz="6" w:space="0" w:color="auto"/>
              <w:right w:val="single" w:sz="4" w:space="0" w:color="000000"/>
            </w:tcBorders>
            <w:shd w:val="clear" w:color="auto" w:fill="D2D2D2"/>
          </w:tcPr>
          <w:p>
            <w:pPr/>
          </w:p>
        </w:tc>
        <w:tc>
          <w:tcPr>
            <w:tcW w:w="69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59"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vMerge/>
            <w:tcBorders>
              <w:left w:val="single" w:sz="4" w:space="0" w:color="000000"/>
              <w:bottom w:val="single" w:sz="4" w:space="0" w:color="000000"/>
              <w:right w:val="single" w:sz="4" w:space="0" w:color="000000"/>
            </w:tcBorders>
            <w:shd w:val="clear" w:color="auto" w:fill="D2D2D2"/>
          </w:tcPr>
          <w:p>
            <w:pP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79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199" w:hRule="exact"/>
        </w:trPr>
        <w:tc>
          <w:tcPr>
            <w:tcW w:w="1430" w:type="dxa"/>
            <w:vMerge w:val="restart"/>
            <w:tcBorders>
              <w:top w:val="nil" w:sz="6" w:space="0" w:color="auto"/>
              <w:left w:val="single" w:sz="4" w:space="0" w:color="000000"/>
              <w:right w:val="single" w:sz="4" w:space="0" w:color="000000"/>
            </w:tcBorders>
            <w:shd w:val="clear" w:color="auto" w:fill="D2D2D2"/>
          </w:tcPr>
          <w:p>
            <w:pPr/>
          </w:p>
        </w:tc>
        <w:tc>
          <w:tcPr>
            <w:tcW w:w="691" w:type="dxa"/>
            <w:vMerge/>
            <w:tcBorders>
              <w:left w:val="single" w:sz="4" w:space="0" w:color="000000"/>
              <w:bottom w:val="nil" w:sz="6" w:space="0" w:color="auto"/>
              <w:right w:val="single" w:sz="4" w:space="0" w:color="000000"/>
            </w:tcBorders>
            <w:shd w:val="clear" w:color="auto" w:fill="D2D2D2"/>
          </w:tcPr>
          <w:p>
            <w:pP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56" w:right="0"/>
              <w:jc w:val="left"/>
              <w:rPr>
                <w:rFonts w:ascii="宋体" w:hAnsi="宋体" w:cs="宋体" w:eastAsia="宋体" w:hint="default"/>
                <w:sz w:val="18"/>
                <w:szCs w:val="18"/>
              </w:rPr>
            </w:pPr>
            <w:r>
              <w:rPr>
                <w:rFonts w:ascii="宋体" w:hAnsi="宋体" w:cs="宋体" w:eastAsia="宋体" w:hint="default"/>
                <w:sz w:val="18"/>
                <w:szCs w:val="18"/>
              </w:rPr>
              <w:t>优先股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56" w:right="0"/>
              <w:jc w:val="left"/>
              <w:rPr>
                <w:rFonts w:ascii="宋体" w:hAnsi="宋体" w:cs="宋体" w:eastAsia="宋体" w:hint="default"/>
                <w:sz w:val="18"/>
                <w:szCs w:val="18"/>
              </w:rPr>
            </w:pPr>
            <w:r>
              <w:rPr>
                <w:rFonts w:ascii="宋体" w:hAnsi="宋体" w:cs="宋体" w:eastAsia="宋体" w:hint="default"/>
                <w:sz w:val="18"/>
                <w:szCs w:val="18"/>
              </w:rPr>
              <w:t>永续债</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4"/>
              <w:ind w:left="14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nil" w:sz="6" w:space="0" w:color="auto"/>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right w:val="single" w:sz="4" w:space="0" w:color="000000"/>
            </w:tcBorders>
            <w:shd w:val="clear" w:color="auto" w:fill="D2D2D2"/>
          </w:tcPr>
          <w:p>
            <w:pPr/>
          </w:p>
        </w:tc>
        <w:tc>
          <w:tcPr>
            <w:tcW w:w="798" w:type="dxa"/>
            <w:vMerge/>
            <w:tcBorders>
              <w:left w:val="single" w:sz="4" w:space="0" w:color="000000"/>
              <w:bottom w:val="nil" w:sz="6" w:space="0" w:color="auto"/>
              <w:right w:val="single" w:sz="4" w:space="0" w:color="000000"/>
            </w:tcBorders>
            <w:shd w:val="clear" w:color="auto" w:fill="D2D2D2"/>
          </w:tcPr>
          <w:p>
            <w:pPr/>
          </w:p>
        </w:tc>
        <w:tc>
          <w:tcPr>
            <w:tcW w:w="797" w:type="dxa"/>
            <w:vMerge/>
            <w:tcBorders>
              <w:left w:val="single" w:sz="4" w:space="0" w:color="000000"/>
              <w:bottom w:val="nil" w:sz="6" w:space="0" w:color="auto"/>
              <w:right w:val="single" w:sz="4" w:space="0" w:color="000000"/>
            </w:tcBorders>
            <w:shd w:val="clear" w:color="auto" w:fill="D2D2D2"/>
          </w:tcPr>
          <w:p>
            <w:pPr/>
          </w:p>
        </w:tc>
        <w:tc>
          <w:tcPr>
            <w:tcW w:w="676" w:type="dxa"/>
            <w:vMerge/>
            <w:tcBorders>
              <w:left w:val="single" w:sz="4" w:space="0" w:color="000000"/>
              <w:right w:val="single" w:sz="4" w:space="0" w:color="000000"/>
            </w:tcBorders>
            <w:shd w:val="clear" w:color="auto" w:fill="D2D2D2"/>
          </w:tcPr>
          <w:p>
            <w:pPr/>
          </w:p>
        </w:tc>
        <w:tc>
          <w:tcPr>
            <w:tcW w:w="781" w:type="dxa"/>
            <w:vMerge/>
            <w:tcBorders>
              <w:left w:val="single" w:sz="4" w:space="0" w:color="000000"/>
              <w:right w:val="single" w:sz="4" w:space="0" w:color="000000"/>
            </w:tcBorders>
            <w:shd w:val="clear" w:color="auto" w:fill="D2D2D2"/>
          </w:tcPr>
          <w:p>
            <w:pPr/>
          </w:p>
        </w:tc>
      </w:tr>
      <w:tr>
        <w:trPr>
          <w:trHeight w:val="205" w:hRule="exact"/>
        </w:trPr>
        <w:tc>
          <w:tcPr>
            <w:tcW w:w="1430" w:type="dxa"/>
            <w:vMerge/>
            <w:tcBorders>
              <w:left w:val="single" w:sz="4" w:space="0" w:color="000000"/>
              <w:bottom w:val="single" w:sz="4" w:space="0" w:color="000000"/>
              <w:right w:val="single" w:sz="4" w:space="0" w:color="000000"/>
            </w:tcBorders>
            <w:shd w:val="clear" w:color="auto" w:fill="D2D2D2"/>
          </w:tcPr>
          <w:p>
            <w:pPr/>
          </w:p>
        </w:tc>
        <w:tc>
          <w:tcPr>
            <w:tcW w:w="691" w:type="dxa"/>
            <w:tcBorders>
              <w:top w:val="nil" w:sz="6" w:space="0" w:color="auto"/>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tcBorders>
              <w:top w:val="nil" w:sz="6" w:space="0" w:color="auto"/>
              <w:left w:val="single" w:sz="4" w:space="0" w:color="000000"/>
              <w:bottom w:val="single" w:sz="4" w:space="0" w:color="000000"/>
              <w:right w:val="single" w:sz="4" w:space="0" w:color="000000"/>
            </w:tcBorders>
            <w:shd w:val="clear" w:color="auto" w:fill="D2D2D2"/>
          </w:tcPr>
          <w:p>
            <w:pPr/>
          </w:p>
        </w:tc>
        <w:tc>
          <w:tcPr>
            <w:tcW w:w="797" w:type="dxa"/>
            <w:tcBorders>
              <w:top w:val="nil" w:sz="6" w:space="0" w:color="auto"/>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162"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80,000,0</w:t>
            </w:r>
          </w:p>
          <w:p>
            <w:pPr>
              <w:pStyle w:val="TableParagraph"/>
              <w:spacing w:line="240" w:lineRule="auto" w:before="105"/>
              <w:ind w:left="245" w:right="0"/>
              <w:jc w:val="left"/>
              <w:rPr>
                <w:rFonts w:ascii="Times New Roman" w:hAnsi="Times New Roman" w:cs="Times New Roman" w:eastAsia="Times New Roman" w:hint="default"/>
                <w:sz w:val="18"/>
                <w:szCs w:val="18"/>
              </w:rPr>
            </w:pPr>
            <w:r>
              <w:rPr>
                <w:rFonts w:ascii="Times New Roman"/>
                <w:sz w:val="18"/>
              </w:rPr>
              <w:t>00.00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227,446,9</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30.45</w:t>
            </w:r>
          </w:p>
        </w:tc>
        <w:tc>
          <w:tcPr>
            <w:tcW w:w="798" w:type="dxa"/>
            <w:vMerge w:val="restart"/>
            <w:tcBorders>
              <w:top w:val="single" w:sz="22" w:space="0" w:color="D2D2D2"/>
              <w:left w:val="single" w:sz="4" w:space="0" w:color="000000"/>
              <w:right w:val="single" w:sz="4" w:space="0" w:color="000000"/>
            </w:tcBorders>
          </w:tcPr>
          <w:p>
            <w:pPr/>
          </w:p>
        </w:tc>
        <w:tc>
          <w:tcPr>
            <w:tcW w:w="798" w:type="dxa"/>
            <w:vMerge w:val="restart"/>
            <w:tcBorders>
              <w:top w:val="single" w:sz="22" w:space="0" w:color="D2D2D2"/>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10,692,18</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3.82</w:t>
            </w:r>
          </w:p>
        </w:tc>
        <w:tc>
          <w:tcPr>
            <w:tcW w:w="676" w:type="dxa"/>
            <w:vMerge w:val="restart"/>
            <w:tcBorders>
              <w:top w:val="single" w:sz="22" w:space="0" w:color="D2D2D2"/>
              <w:left w:val="single" w:sz="4" w:space="0" w:color="000000"/>
              <w:right w:val="single" w:sz="4" w:space="0" w:color="000000"/>
            </w:tcBorders>
          </w:tcPr>
          <w:p>
            <w:pPr>
              <w:pStyle w:val="TableParagraph"/>
              <w:spacing w:line="240" w:lineRule="auto" w:before="70"/>
              <w:ind w:left="103" w:right="0"/>
              <w:jc w:val="left"/>
              <w:rPr>
                <w:rFonts w:ascii="Times New Roman" w:hAnsi="Times New Roman" w:cs="Times New Roman" w:eastAsia="Times New Roman" w:hint="default"/>
                <w:sz w:val="18"/>
                <w:szCs w:val="18"/>
              </w:rPr>
            </w:pPr>
            <w:r>
              <w:rPr>
                <w:rFonts w:ascii="Times New Roman"/>
                <w:sz w:val="18"/>
              </w:rPr>
              <w:t>89,299,</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799.51</w:t>
            </w:r>
          </w:p>
        </w:tc>
        <w:tc>
          <w:tcPr>
            <w:tcW w:w="781" w:type="dxa"/>
            <w:vMerge w:val="restart"/>
            <w:tcBorders>
              <w:top w:val="single" w:sz="22" w:space="0" w:color="D2D2D2"/>
              <w:left w:val="single" w:sz="4" w:space="0" w:color="000000"/>
              <w:right w:val="single" w:sz="4" w:space="0" w:color="000000"/>
            </w:tcBorders>
          </w:tcPr>
          <w:p>
            <w:pPr>
              <w:pStyle w:val="TableParagraph"/>
              <w:spacing w:line="240" w:lineRule="auto" w:before="70"/>
              <w:ind w:left="27" w:right="0"/>
              <w:jc w:val="left"/>
              <w:rPr>
                <w:rFonts w:ascii="Times New Roman" w:hAnsi="Times New Roman" w:cs="Times New Roman" w:eastAsia="Times New Roman" w:hint="default"/>
                <w:sz w:val="18"/>
                <w:szCs w:val="18"/>
              </w:rPr>
            </w:pPr>
            <w:r>
              <w:rPr>
                <w:rFonts w:ascii="Times New Roman"/>
                <w:sz w:val="18"/>
              </w:rPr>
              <w:t>407,438,9</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13.78</w:t>
            </w:r>
          </w:p>
        </w:tc>
      </w:tr>
      <w:tr>
        <w:trPr>
          <w:trHeight w:val="391" w:hRule="exact"/>
        </w:trPr>
        <w:tc>
          <w:tcPr>
            <w:tcW w:w="14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22"/>
              <w:jc w:val="right"/>
              <w:rPr>
                <w:rFonts w:ascii="宋体" w:hAnsi="宋体" w:cs="宋体" w:eastAsia="宋体" w:hint="default"/>
                <w:sz w:val="18"/>
                <w:szCs w:val="18"/>
              </w:rPr>
            </w:pPr>
            <w:r>
              <w:rPr>
                <w:rFonts w:ascii="宋体" w:hAnsi="宋体" w:cs="宋体" w:eastAsia="宋体" w:hint="default"/>
                <w:spacing w:val="-7"/>
                <w:w w:val="95"/>
                <w:sz w:val="18"/>
                <w:szCs w:val="18"/>
              </w:rPr>
              <w:t>一、上年期末余额</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1" w:right="22" w:firstLine="360"/>
              <w:jc w:val="left"/>
              <w:rPr>
                <w:rFonts w:ascii="宋体" w:hAnsi="宋体" w:cs="宋体" w:eastAsia="宋体" w:hint="default"/>
                <w:sz w:val="18"/>
                <w:szCs w:val="18"/>
              </w:rPr>
            </w:pPr>
            <w:r>
              <w:rPr>
                <w:rFonts w:ascii="宋体" w:hAnsi="宋体" w:cs="宋体" w:eastAsia="宋体" w:hint="default"/>
                <w:spacing w:val="-10"/>
                <w:sz w:val="18"/>
                <w:szCs w:val="18"/>
              </w:rPr>
              <w:t>加：会计政策</w:t>
            </w:r>
            <w:r>
              <w:rPr>
                <w:rFonts w:ascii="宋体" w:hAnsi="宋体" w:cs="宋体" w:eastAsia="宋体" w:hint="default"/>
                <w:sz w:val="18"/>
                <w:szCs w:val="18"/>
              </w:rPr>
              <w:t> 变更</w:t>
            </w:r>
          </w:p>
        </w:tc>
        <w:tc>
          <w:tcPr>
            <w:tcW w:w="691"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前期差</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错更正</w:t>
            </w:r>
          </w:p>
        </w:tc>
        <w:tc>
          <w:tcPr>
            <w:tcW w:w="691"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62" w:hRule="exact"/>
        </w:trPr>
        <w:tc>
          <w:tcPr>
            <w:tcW w:w="1430" w:type="dxa"/>
            <w:tcBorders>
              <w:top w:val="single" w:sz="4" w:space="0" w:color="000000"/>
              <w:left w:val="single" w:sz="4" w:space="0" w:color="000000"/>
              <w:bottom w:val="nil" w:sz="6" w:space="0" w:color="auto"/>
              <w:right w:val="single" w:sz="4" w:space="0" w:color="000000"/>
            </w:tcBorders>
            <w:shd w:val="clear" w:color="auto" w:fill="D2D2D2"/>
          </w:tcPr>
          <w:p>
            <w:pPr/>
          </w:p>
        </w:tc>
        <w:tc>
          <w:tcPr>
            <w:tcW w:w="691" w:type="dxa"/>
            <w:vMerge w:val="restart"/>
            <w:tcBorders>
              <w:top w:val="single" w:sz="4" w:space="0" w:color="000000"/>
              <w:left w:val="single" w:sz="10" w:space="0" w:color="D2D2D2"/>
              <w:right w:val="single" w:sz="4" w:space="0" w:color="000000"/>
            </w:tcBorders>
          </w:tcPr>
          <w:p>
            <w:pPr>
              <w:pStyle w:val="TableParagraph"/>
              <w:spacing w:line="240" w:lineRule="auto" w:before="92"/>
              <w:ind w:left="20" w:right="0"/>
              <w:jc w:val="left"/>
              <w:rPr>
                <w:rFonts w:ascii="Times New Roman" w:hAnsi="Times New Roman" w:cs="Times New Roman" w:eastAsia="Times New Roman" w:hint="default"/>
                <w:sz w:val="18"/>
                <w:szCs w:val="18"/>
              </w:rPr>
            </w:pPr>
            <w:r>
              <w:rPr>
                <w:rFonts w:ascii="Times New Roman"/>
                <w:sz w:val="18"/>
              </w:rPr>
              <w:t>80,000,0</w:t>
            </w:r>
          </w:p>
          <w:p>
            <w:pPr>
              <w:pStyle w:val="TableParagraph"/>
              <w:spacing w:line="240" w:lineRule="auto" w:before="105"/>
              <w:ind w:left="245" w:right="0"/>
              <w:jc w:val="left"/>
              <w:rPr>
                <w:rFonts w:ascii="Times New Roman" w:hAnsi="Times New Roman" w:cs="Times New Roman" w:eastAsia="Times New Roman" w:hint="default"/>
                <w:sz w:val="18"/>
                <w:szCs w:val="18"/>
              </w:rPr>
            </w:pPr>
            <w:r>
              <w:rPr>
                <w:rFonts w:ascii="Times New Roman"/>
                <w:sz w:val="18"/>
              </w:rPr>
              <w:t>00.00</w:t>
            </w: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665"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227,446,9</w:t>
            </w:r>
          </w:p>
          <w:p>
            <w:pPr>
              <w:pStyle w:val="TableParagraph"/>
              <w:spacing w:line="240" w:lineRule="auto" w:before="105"/>
              <w:ind w:left="359" w:right="0"/>
              <w:jc w:val="left"/>
              <w:rPr>
                <w:rFonts w:ascii="Times New Roman" w:hAnsi="Times New Roman" w:cs="Times New Roman" w:eastAsia="Times New Roman" w:hint="default"/>
                <w:sz w:val="18"/>
                <w:szCs w:val="18"/>
              </w:rPr>
            </w:pPr>
            <w:r>
              <w:rPr>
                <w:rFonts w:ascii="Times New Roman"/>
                <w:sz w:val="18"/>
              </w:rPr>
              <w:t>30.45</w:t>
            </w: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8" w:type="dxa"/>
            <w:vMerge w:val="restart"/>
            <w:tcBorders>
              <w:top w:val="single" w:sz="4" w:space="0" w:color="000000"/>
              <w:left w:val="single" w:sz="4" w:space="0" w:color="000000"/>
              <w:right w:val="single" w:sz="4" w:space="0" w:color="000000"/>
            </w:tcBorders>
          </w:tcPr>
          <w:p>
            <w:pPr/>
          </w:p>
        </w:tc>
        <w:tc>
          <w:tcPr>
            <w:tcW w:w="797" w:type="dxa"/>
            <w:vMerge w:val="restart"/>
            <w:tcBorders>
              <w:top w:val="single" w:sz="4" w:space="0" w:color="000000"/>
              <w:left w:val="single" w:sz="4" w:space="0" w:color="000000"/>
              <w:right w:val="single" w:sz="4" w:space="0" w:color="000000"/>
            </w:tcBorders>
          </w:tcPr>
          <w:p>
            <w:pPr>
              <w:pStyle w:val="TableParagraph"/>
              <w:spacing w:line="240" w:lineRule="auto" w:before="92"/>
              <w:ind w:left="44" w:right="0"/>
              <w:jc w:val="left"/>
              <w:rPr>
                <w:rFonts w:ascii="Times New Roman" w:hAnsi="Times New Roman" w:cs="Times New Roman" w:eastAsia="Times New Roman" w:hint="default"/>
                <w:sz w:val="18"/>
                <w:szCs w:val="18"/>
              </w:rPr>
            </w:pPr>
            <w:r>
              <w:rPr>
                <w:rFonts w:ascii="Times New Roman"/>
                <w:sz w:val="18"/>
              </w:rPr>
              <w:t>10,692,18</w:t>
            </w:r>
          </w:p>
          <w:p>
            <w:pPr>
              <w:pStyle w:val="TableParagraph"/>
              <w:spacing w:line="240" w:lineRule="auto" w:before="105"/>
              <w:ind w:left="449" w:right="0"/>
              <w:jc w:val="left"/>
              <w:rPr>
                <w:rFonts w:ascii="Times New Roman" w:hAnsi="Times New Roman" w:cs="Times New Roman" w:eastAsia="Times New Roman" w:hint="default"/>
                <w:sz w:val="18"/>
                <w:szCs w:val="18"/>
              </w:rPr>
            </w:pPr>
            <w:r>
              <w:rPr>
                <w:rFonts w:ascii="Times New Roman"/>
                <w:sz w:val="18"/>
              </w:rPr>
              <w:t>3.82</w:t>
            </w:r>
          </w:p>
        </w:tc>
        <w:tc>
          <w:tcPr>
            <w:tcW w:w="676" w:type="dxa"/>
            <w:vMerge w:val="restart"/>
            <w:tcBorders>
              <w:top w:val="single" w:sz="4" w:space="0" w:color="000000"/>
              <w:left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89,299,</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799.51</w:t>
            </w:r>
          </w:p>
        </w:tc>
        <w:tc>
          <w:tcPr>
            <w:tcW w:w="781" w:type="dxa"/>
            <w:vMerge w:val="restart"/>
            <w:tcBorders>
              <w:top w:val="single" w:sz="4" w:space="0" w:color="000000"/>
              <w:left w:val="single" w:sz="4" w:space="0" w:color="000000"/>
              <w:right w:val="single" w:sz="4" w:space="0" w:color="000000"/>
            </w:tcBorders>
          </w:tcPr>
          <w:p>
            <w:pPr>
              <w:pStyle w:val="TableParagraph"/>
              <w:spacing w:line="240" w:lineRule="auto" w:before="92"/>
              <w:ind w:left="27" w:right="0"/>
              <w:jc w:val="left"/>
              <w:rPr>
                <w:rFonts w:ascii="Times New Roman" w:hAnsi="Times New Roman" w:cs="Times New Roman" w:eastAsia="Times New Roman" w:hint="default"/>
                <w:sz w:val="18"/>
                <w:szCs w:val="18"/>
              </w:rPr>
            </w:pPr>
            <w:r>
              <w:rPr>
                <w:rFonts w:ascii="Times New Roman"/>
                <w:sz w:val="18"/>
              </w:rPr>
              <w:t>407,438,9</w:t>
            </w:r>
          </w:p>
          <w:p>
            <w:pPr>
              <w:pStyle w:val="TableParagraph"/>
              <w:spacing w:line="240" w:lineRule="auto" w:before="105"/>
              <w:ind w:left="343" w:right="0"/>
              <w:jc w:val="left"/>
              <w:rPr>
                <w:rFonts w:ascii="Times New Roman" w:hAnsi="Times New Roman" w:cs="Times New Roman" w:eastAsia="Times New Roman" w:hint="default"/>
                <w:sz w:val="18"/>
                <w:szCs w:val="18"/>
              </w:rPr>
            </w:pPr>
            <w:r>
              <w:rPr>
                <w:rFonts w:ascii="Times New Roman"/>
                <w:sz w:val="18"/>
              </w:rPr>
              <w:t>13.78</w:t>
            </w:r>
          </w:p>
        </w:tc>
      </w:tr>
      <w:tr>
        <w:trPr>
          <w:trHeight w:val="391" w:hRule="exact"/>
        </w:trPr>
        <w:tc>
          <w:tcPr>
            <w:tcW w:w="143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22"/>
              <w:jc w:val="right"/>
              <w:rPr>
                <w:rFonts w:ascii="宋体" w:hAnsi="宋体" w:cs="宋体" w:eastAsia="宋体" w:hint="default"/>
                <w:sz w:val="18"/>
                <w:szCs w:val="18"/>
              </w:rPr>
            </w:pPr>
            <w:r>
              <w:rPr>
                <w:rFonts w:ascii="宋体" w:hAnsi="宋体" w:cs="宋体" w:eastAsia="宋体" w:hint="default"/>
                <w:spacing w:val="-7"/>
                <w:w w:val="95"/>
                <w:sz w:val="18"/>
                <w:szCs w:val="18"/>
              </w:rPr>
              <w:t>二、本年期初余额</w:t>
            </w:r>
          </w:p>
        </w:tc>
        <w:tc>
          <w:tcPr>
            <w:tcW w:w="691" w:type="dxa"/>
            <w:vMerge/>
            <w:tcBorders>
              <w:left w:val="single" w:sz="10" w:space="0" w:color="D2D2D2"/>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665"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8" w:type="dxa"/>
            <w:vMerge/>
            <w:tcBorders>
              <w:left w:val="single" w:sz="4" w:space="0" w:color="000000"/>
              <w:right w:val="single" w:sz="4" w:space="0" w:color="000000"/>
            </w:tcBorders>
          </w:tcPr>
          <w:p>
            <w:pPr/>
          </w:p>
        </w:tc>
        <w:tc>
          <w:tcPr>
            <w:tcW w:w="797" w:type="dxa"/>
            <w:vMerge/>
            <w:tcBorders>
              <w:left w:val="single" w:sz="4" w:space="0" w:color="000000"/>
              <w:right w:val="single" w:sz="4" w:space="0" w:color="000000"/>
            </w:tcBorders>
          </w:tcPr>
          <w:p>
            <w:pPr/>
          </w:p>
        </w:tc>
        <w:tc>
          <w:tcPr>
            <w:tcW w:w="676"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r>
      <w:tr>
        <w:trPr>
          <w:trHeight w:val="161" w:hRule="exact"/>
        </w:trPr>
        <w:tc>
          <w:tcPr>
            <w:tcW w:w="1430" w:type="dxa"/>
            <w:tcBorders>
              <w:top w:val="nil" w:sz="6" w:space="0" w:color="auto"/>
              <w:left w:val="single" w:sz="4" w:space="0" w:color="000000"/>
              <w:bottom w:val="single" w:sz="4" w:space="0" w:color="000000"/>
              <w:right w:val="single" w:sz="4" w:space="0" w:color="000000"/>
            </w:tcBorders>
            <w:shd w:val="clear" w:color="auto" w:fill="D2D2D2"/>
          </w:tcPr>
          <w:p>
            <w:pPr/>
          </w:p>
        </w:tc>
        <w:tc>
          <w:tcPr>
            <w:tcW w:w="691" w:type="dxa"/>
            <w:vMerge/>
            <w:tcBorders>
              <w:left w:val="single" w:sz="10" w:space="0" w:color="D2D2D2"/>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665"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8" w:type="dxa"/>
            <w:vMerge/>
            <w:tcBorders>
              <w:left w:val="single" w:sz="4" w:space="0" w:color="000000"/>
              <w:bottom w:val="single" w:sz="4" w:space="0" w:color="000000"/>
              <w:right w:val="single" w:sz="4" w:space="0" w:color="000000"/>
            </w:tcBorders>
          </w:tcPr>
          <w:p>
            <w:pPr/>
          </w:p>
        </w:tc>
        <w:tc>
          <w:tcPr>
            <w:tcW w:w="797" w:type="dxa"/>
            <w:vMerge/>
            <w:tcBorders>
              <w:left w:val="single" w:sz="4" w:space="0" w:color="000000"/>
              <w:bottom w:val="single" w:sz="4" w:space="0" w:color="000000"/>
              <w:right w:val="single" w:sz="4" w:space="0" w:color="000000"/>
            </w:tcBorders>
          </w:tcPr>
          <w:p>
            <w:pPr/>
          </w:p>
        </w:tc>
        <w:tc>
          <w:tcPr>
            <w:tcW w:w="676"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r>
      <w:tr>
        <w:trPr>
          <w:trHeight w:val="1026"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11" w:right="21"/>
              <w:jc w:val="both"/>
              <w:rPr>
                <w:rFonts w:ascii="宋体" w:hAnsi="宋体" w:cs="宋体" w:eastAsia="宋体" w:hint="default"/>
                <w:sz w:val="18"/>
                <w:szCs w:val="18"/>
              </w:rPr>
            </w:pPr>
            <w:r>
              <w:rPr>
                <w:rFonts w:ascii="宋体" w:hAnsi="宋体" w:cs="宋体" w:eastAsia="宋体" w:hint="default"/>
                <w:spacing w:val="-7"/>
                <w:sz w:val="18"/>
                <w:szCs w:val="18"/>
              </w:rPr>
              <w:t>三、本期增减变动</w:t>
            </w:r>
            <w:r>
              <w:rPr>
                <w:rFonts w:ascii="宋体" w:hAnsi="宋体" w:cs="宋体" w:eastAsia="宋体" w:hint="default"/>
                <w:sz w:val="18"/>
                <w:szCs w:val="18"/>
              </w:rPr>
              <w:t> </w:t>
            </w:r>
            <w:r>
              <w:rPr>
                <w:rFonts w:ascii="宋体" w:hAnsi="宋体" w:cs="宋体" w:eastAsia="宋体" w:hint="default"/>
                <w:spacing w:val="-4"/>
                <w:sz w:val="18"/>
                <w:szCs w:val="18"/>
              </w:rPr>
              <w:t>金额（减少以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Times New Roman" w:hAnsi="Times New Roman" w:cs="Times New Roman" w:eastAsia="Times New Roman" w:hint="default"/>
                <w:w w:val="100"/>
                <w:sz w:val="18"/>
                <w:szCs w:val="18"/>
              </w:rPr>
              <w:t> </w:t>
            </w:r>
            <w:r>
              <w:rPr>
                <w:rFonts w:ascii="宋体" w:hAnsi="宋体" w:cs="宋体" w:eastAsia="宋体" w:hint="default"/>
                <w:sz w:val="18"/>
                <w:szCs w:val="18"/>
              </w:rPr>
              <w:t>号填列）</w:t>
            </w:r>
          </w:p>
        </w:tc>
        <w:tc>
          <w:tcPr>
            <w:tcW w:w="69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6"/>
              <w:jc w:val="center"/>
              <w:rPr>
                <w:rFonts w:ascii="Times New Roman" w:hAnsi="Times New Roman" w:cs="Times New Roman" w:eastAsia="Times New Roman" w:hint="default"/>
                <w:sz w:val="18"/>
                <w:szCs w:val="18"/>
              </w:rPr>
            </w:pPr>
            <w:r>
              <w:rPr>
                <w:rFonts w:ascii="Times New Roman"/>
                <w:sz w:val="18"/>
              </w:rPr>
              <w:t>200,000,</w:t>
            </w:r>
          </w:p>
          <w:p>
            <w:pPr>
              <w:pStyle w:val="TableParagraph"/>
              <w:spacing w:line="240" w:lineRule="auto" w:before="105"/>
              <w:ind w:left="128" w:right="0"/>
              <w:jc w:val="center"/>
              <w:rPr>
                <w:rFonts w:ascii="Times New Roman" w:hAnsi="Times New Roman" w:cs="Times New Roman" w:eastAsia="Times New Roman" w:hint="default"/>
                <w:sz w:val="18"/>
                <w:szCs w:val="18"/>
              </w:rPr>
            </w:pPr>
            <w:r>
              <w:rPr>
                <w:rFonts w:ascii="Times New Roman"/>
                <w:sz w:val="18"/>
              </w:rPr>
              <w:t>000.00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1" w:right="0"/>
              <w:jc w:val="center"/>
              <w:rPr>
                <w:rFonts w:ascii="Times New Roman" w:hAnsi="Times New Roman" w:cs="Times New Roman" w:eastAsia="Times New Roman" w:hint="default"/>
                <w:sz w:val="18"/>
                <w:szCs w:val="18"/>
              </w:rPr>
            </w:pPr>
            <w:r>
              <w:rPr>
                <w:rFonts w:ascii="Times New Roman"/>
                <w:sz w:val="18"/>
              </w:rPr>
              <w:t>-200,000,</w:t>
            </w:r>
          </w:p>
          <w:p>
            <w:pPr>
              <w:pStyle w:val="TableParagraph"/>
              <w:spacing w:line="240" w:lineRule="auto" w:before="105"/>
              <w:ind w:left="248" w:right="0"/>
              <w:jc w:val="center"/>
              <w:rPr>
                <w:rFonts w:ascii="Times New Roman" w:hAnsi="Times New Roman" w:cs="Times New Roman" w:eastAsia="Times New Roman" w:hint="default"/>
                <w:sz w:val="18"/>
                <w:szCs w:val="18"/>
              </w:rPr>
            </w:pPr>
            <w:r>
              <w:rPr>
                <w:rFonts w:ascii="Times New Roman"/>
                <w:sz w:val="18"/>
              </w:rPr>
              <w:t>000.00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3,559,965</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.67</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20,039,</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691.00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7" w:right="0"/>
              <w:jc w:val="left"/>
              <w:rPr>
                <w:rFonts w:ascii="Times New Roman" w:hAnsi="Times New Roman" w:cs="Times New Roman" w:eastAsia="Times New Roman" w:hint="default"/>
                <w:sz w:val="18"/>
                <w:szCs w:val="18"/>
              </w:rPr>
            </w:pPr>
            <w:r>
              <w:rPr>
                <w:rFonts w:ascii="Times New Roman"/>
                <w:sz w:val="18"/>
              </w:rPr>
              <w:t>23,599,65</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6.67</w:t>
            </w: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22"/>
              <w:jc w:val="left"/>
              <w:rPr>
                <w:rFonts w:ascii="宋体" w:hAnsi="宋体" w:cs="宋体" w:eastAsia="宋体" w:hint="default"/>
                <w:sz w:val="18"/>
                <w:szCs w:val="18"/>
              </w:rPr>
            </w:pPr>
            <w:r>
              <w:rPr>
                <w:rFonts w:ascii="宋体" w:hAnsi="宋体" w:cs="宋体" w:eastAsia="宋体" w:hint="default"/>
                <w:spacing w:val="-7"/>
                <w:sz w:val="18"/>
                <w:szCs w:val="18"/>
              </w:rPr>
              <w:t>（一）综合收益总</w:t>
            </w:r>
            <w:r>
              <w:rPr>
                <w:rFonts w:ascii="宋体" w:hAnsi="宋体" w:cs="宋体" w:eastAsia="宋体" w:hint="default"/>
                <w:sz w:val="18"/>
                <w:szCs w:val="18"/>
              </w:rPr>
              <w:t> 额</w:t>
            </w:r>
          </w:p>
        </w:tc>
        <w:tc>
          <w:tcPr>
            <w:tcW w:w="691"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35,599,</w:t>
            </w:r>
          </w:p>
          <w:p>
            <w:pPr>
              <w:pStyle w:val="TableParagraph"/>
              <w:spacing w:line="240" w:lineRule="auto" w:before="105"/>
              <w:ind w:left="148" w:right="0"/>
              <w:jc w:val="left"/>
              <w:rPr>
                <w:rFonts w:ascii="Times New Roman" w:hAnsi="Times New Roman" w:cs="Times New Roman" w:eastAsia="Times New Roman" w:hint="default"/>
                <w:sz w:val="18"/>
                <w:szCs w:val="18"/>
              </w:rPr>
            </w:pPr>
            <w:r>
              <w:rPr>
                <w:rFonts w:ascii="Times New Roman"/>
                <w:sz w:val="18"/>
              </w:rPr>
              <w:t>656.67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7" w:right="0"/>
              <w:jc w:val="left"/>
              <w:rPr>
                <w:rFonts w:ascii="Times New Roman" w:hAnsi="Times New Roman" w:cs="Times New Roman" w:eastAsia="Times New Roman" w:hint="default"/>
                <w:sz w:val="18"/>
                <w:szCs w:val="18"/>
              </w:rPr>
            </w:pPr>
            <w:r>
              <w:rPr>
                <w:rFonts w:ascii="Times New Roman"/>
                <w:sz w:val="18"/>
              </w:rPr>
              <w:t>35,599,65</w:t>
            </w:r>
          </w:p>
          <w:p>
            <w:pPr>
              <w:pStyle w:val="TableParagraph"/>
              <w:spacing w:line="240" w:lineRule="auto" w:before="105"/>
              <w:ind w:left="433" w:right="0"/>
              <w:jc w:val="left"/>
              <w:rPr>
                <w:rFonts w:ascii="Times New Roman" w:hAnsi="Times New Roman" w:cs="Times New Roman" w:eastAsia="Times New Roman" w:hint="default"/>
                <w:sz w:val="18"/>
                <w:szCs w:val="18"/>
              </w:rPr>
            </w:pPr>
            <w:r>
              <w:rPr>
                <w:rFonts w:ascii="Times New Roman"/>
                <w:sz w:val="18"/>
              </w:rPr>
              <w:t>6.67</w:t>
            </w: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22"/>
              <w:jc w:val="left"/>
              <w:rPr>
                <w:rFonts w:ascii="宋体" w:hAnsi="宋体" w:cs="宋体" w:eastAsia="宋体" w:hint="default"/>
                <w:sz w:val="18"/>
                <w:szCs w:val="18"/>
              </w:rPr>
            </w:pPr>
            <w:r>
              <w:rPr>
                <w:rFonts w:ascii="宋体" w:hAnsi="宋体" w:cs="宋体" w:eastAsia="宋体" w:hint="default"/>
                <w:spacing w:val="-7"/>
                <w:sz w:val="18"/>
                <w:szCs w:val="18"/>
              </w:rPr>
              <w:t>（二）所有者投入</w:t>
            </w:r>
            <w:r>
              <w:rPr>
                <w:rFonts w:ascii="宋体" w:hAnsi="宋体" w:cs="宋体" w:eastAsia="宋体" w:hint="default"/>
                <w:sz w:val="18"/>
                <w:szCs w:val="18"/>
              </w:rPr>
              <w:t> 和减少资本</w:t>
            </w:r>
          </w:p>
        </w:tc>
        <w:tc>
          <w:tcPr>
            <w:tcW w:w="691"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．所有者投入的 普通股</w:t>
            </w:r>
          </w:p>
        </w:tc>
        <w:tc>
          <w:tcPr>
            <w:tcW w:w="691"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．其他权益工具 持有者投入资本</w:t>
            </w:r>
          </w:p>
        </w:tc>
        <w:tc>
          <w:tcPr>
            <w:tcW w:w="691"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14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11"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．股份支付计入 所有者权益的金 额</w:t>
            </w:r>
          </w:p>
        </w:tc>
        <w:tc>
          <w:tcPr>
            <w:tcW w:w="691" w:type="dxa"/>
            <w:tcBorders>
              <w:top w:val="single" w:sz="4" w:space="0" w:color="000000"/>
              <w:left w:val="single" w:sz="13" w:space="0" w:color="D2D2D2"/>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47"/>
          <w:pgSz w:w="11910" w:h="16840"/>
          <w:pgMar w:footer="979" w:header="747" w:top="1060" w:bottom="1160" w:left="980" w:right="0"/>
          <w:pgNumType w:start="101"/>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3,559,965</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.67</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-15,559,</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965.67</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-12,000,0</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00.00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3,559,965</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.67</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1" w:right="0"/>
              <w:jc w:val="center"/>
              <w:rPr>
                <w:rFonts w:ascii="Times New Roman" w:hAnsi="Times New Roman" w:cs="Times New Roman" w:eastAsia="Times New Roman" w:hint="default"/>
                <w:sz w:val="18"/>
                <w:szCs w:val="18"/>
              </w:rPr>
            </w:pPr>
            <w:r>
              <w:rPr>
                <w:rFonts w:ascii="Times New Roman"/>
                <w:sz w:val="18"/>
              </w:rPr>
              <w:t>-3,559,9</w:t>
            </w:r>
          </w:p>
          <w:p>
            <w:pPr>
              <w:pStyle w:val="TableParagraph"/>
              <w:spacing w:line="240" w:lineRule="auto" w:before="106"/>
              <w:ind w:left="216" w:right="0"/>
              <w:jc w:val="center"/>
              <w:rPr>
                <w:rFonts w:ascii="Times New Roman" w:hAnsi="Times New Roman" w:cs="Times New Roman" w:eastAsia="Times New Roman" w:hint="default"/>
                <w:sz w:val="18"/>
                <w:szCs w:val="18"/>
              </w:rPr>
            </w:pPr>
            <w:r>
              <w:rPr>
                <w:rFonts w:ascii="Times New Roman"/>
                <w:sz w:val="18"/>
              </w:rPr>
              <w:t>65.67</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．对所有者（或 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 w:right="0"/>
              <w:jc w:val="center"/>
              <w:rPr>
                <w:rFonts w:ascii="Times New Roman" w:hAnsi="Times New Roman" w:cs="Times New Roman" w:eastAsia="Times New Roman" w:hint="default"/>
                <w:sz w:val="18"/>
                <w:szCs w:val="18"/>
              </w:rPr>
            </w:pPr>
            <w:r>
              <w:rPr>
                <w:rFonts w:ascii="Times New Roman"/>
                <w:sz w:val="18"/>
              </w:rPr>
              <w:t>-12,000,</w:t>
            </w:r>
          </w:p>
          <w:p>
            <w:pPr>
              <w:pStyle w:val="TableParagraph"/>
              <w:spacing w:line="240" w:lineRule="auto" w:before="106"/>
              <w:ind w:left="126" w:right="0"/>
              <w:jc w:val="center"/>
              <w:rPr>
                <w:rFonts w:ascii="Times New Roman" w:hAnsi="Times New Roman" w:cs="Times New Roman" w:eastAsia="Times New Roman" w:hint="default"/>
                <w:sz w:val="18"/>
                <w:szCs w:val="18"/>
              </w:rPr>
            </w:pPr>
            <w:r>
              <w:rPr>
                <w:rFonts w:ascii="Times New Roman"/>
                <w:sz w:val="18"/>
              </w:rPr>
              <w:t>000.00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7" w:right="0"/>
              <w:jc w:val="left"/>
              <w:rPr>
                <w:rFonts w:ascii="Times New Roman" w:hAnsi="Times New Roman" w:cs="Times New Roman" w:eastAsia="Times New Roman" w:hint="default"/>
                <w:sz w:val="18"/>
                <w:szCs w:val="18"/>
              </w:rPr>
            </w:pPr>
            <w:r>
              <w:rPr>
                <w:rFonts w:ascii="Times New Roman"/>
                <w:sz w:val="18"/>
              </w:rPr>
              <w:t>-12,000,0</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00.00</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7"/>
                <w:sz w:val="18"/>
                <w:szCs w:val="18"/>
              </w:rPr>
              <w:t>（四）所有者权益</w:t>
            </w:r>
            <w:r>
              <w:rPr>
                <w:rFonts w:ascii="宋体" w:hAnsi="宋体" w:cs="宋体" w:eastAsia="宋体" w:hint="default"/>
                <w:sz w:val="18"/>
                <w:szCs w:val="18"/>
              </w:rPr>
              <w:t> 内部结转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200,000,</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000.00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-200,000,</w:t>
            </w:r>
          </w:p>
          <w:p>
            <w:pPr>
              <w:pStyle w:val="TableParagraph"/>
              <w:spacing w:line="240" w:lineRule="auto" w:before="106"/>
              <w:ind w:left="248" w:right="0"/>
              <w:jc w:val="center"/>
              <w:rPr>
                <w:rFonts w:ascii="Times New Roman" w:hAnsi="Times New Roman" w:cs="Times New Roman" w:eastAsia="Times New Roman" w:hint="default"/>
                <w:sz w:val="18"/>
                <w:szCs w:val="18"/>
              </w:rPr>
            </w:pPr>
            <w:r>
              <w:rPr>
                <w:rFonts w:ascii="Times New Roman"/>
                <w:sz w:val="18"/>
              </w:rPr>
              <w:t>000.00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200,000,</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000.00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1" w:right="0"/>
              <w:jc w:val="center"/>
              <w:rPr>
                <w:rFonts w:ascii="Times New Roman" w:hAnsi="Times New Roman" w:cs="Times New Roman" w:eastAsia="Times New Roman" w:hint="default"/>
                <w:sz w:val="18"/>
                <w:szCs w:val="18"/>
              </w:rPr>
            </w:pPr>
            <w:r>
              <w:rPr>
                <w:rFonts w:ascii="Times New Roman"/>
                <w:sz w:val="18"/>
              </w:rPr>
              <w:t>-200,000,</w:t>
            </w:r>
          </w:p>
          <w:p>
            <w:pPr>
              <w:pStyle w:val="TableParagraph"/>
              <w:spacing w:line="240" w:lineRule="auto" w:before="106"/>
              <w:ind w:left="248" w:right="0"/>
              <w:jc w:val="center"/>
              <w:rPr>
                <w:rFonts w:ascii="Times New Roman" w:hAnsi="Times New Roman" w:cs="Times New Roman" w:eastAsia="Times New Roman" w:hint="default"/>
                <w:sz w:val="18"/>
                <w:szCs w:val="18"/>
              </w:rPr>
            </w:pPr>
            <w:r>
              <w:rPr>
                <w:rFonts w:ascii="Times New Roman"/>
                <w:sz w:val="18"/>
              </w:rPr>
              <w:t>000.00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 资本（或股本）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 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22" w:right="57"/>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．设定受益计划 变动额结转留存 收益</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pacing w:val="-7"/>
                <w:sz w:val="18"/>
                <w:szCs w:val="18"/>
              </w:rPr>
              <w:t>四、本期期末余额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 w:right="0"/>
              <w:jc w:val="center"/>
              <w:rPr>
                <w:rFonts w:ascii="Times New Roman" w:hAnsi="Times New Roman" w:cs="Times New Roman" w:eastAsia="Times New Roman" w:hint="default"/>
                <w:sz w:val="18"/>
                <w:szCs w:val="18"/>
              </w:rPr>
            </w:pPr>
            <w:r>
              <w:rPr>
                <w:rFonts w:ascii="Times New Roman"/>
                <w:sz w:val="18"/>
              </w:rPr>
              <w:t>280,000,</w:t>
            </w:r>
          </w:p>
          <w:p>
            <w:pPr>
              <w:pStyle w:val="TableParagraph"/>
              <w:spacing w:line="240" w:lineRule="auto" w:before="106"/>
              <w:ind w:left="140" w:right="0"/>
              <w:jc w:val="center"/>
              <w:rPr>
                <w:rFonts w:ascii="Times New Roman" w:hAnsi="Times New Roman" w:cs="Times New Roman" w:eastAsia="Times New Roman" w:hint="default"/>
                <w:sz w:val="18"/>
                <w:szCs w:val="18"/>
              </w:rPr>
            </w:pPr>
            <w:r>
              <w:rPr>
                <w:rFonts w:ascii="Times New Roman"/>
                <w:sz w:val="18"/>
              </w:rPr>
              <w:t>000.00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27,446,93</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0.45</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14,252,14</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9.49</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 w:right="0"/>
              <w:jc w:val="left"/>
              <w:rPr>
                <w:rFonts w:ascii="Times New Roman" w:hAnsi="Times New Roman" w:cs="Times New Roman" w:eastAsia="Times New Roman" w:hint="default"/>
                <w:sz w:val="18"/>
                <w:szCs w:val="18"/>
              </w:rPr>
            </w:pPr>
            <w:r>
              <w:rPr>
                <w:rFonts w:ascii="Times New Roman"/>
                <w:sz w:val="18"/>
              </w:rPr>
              <w:t>109,339</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,490.51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 w:right="0"/>
              <w:jc w:val="left"/>
              <w:rPr>
                <w:rFonts w:ascii="Times New Roman" w:hAnsi="Times New Roman" w:cs="Times New Roman" w:eastAsia="Times New Roman" w:hint="default"/>
                <w:sz w:val="18"/>
                <w:szCs w:val="18"/>
              </w:rPr>
            </w:pPr>
            <w:r>
              <w:rPr>
                <w:rFonts w:ascii="Times New Roman"/>
                <w:sz w:val="18"/>
              </w:rPr>
              <w:t>431,038,5</w:t>
            </w:r>
          </w:p>
          <w:p>
            <w:pPr>
              <w:pStyle w:val="TableParagraph"/>
              <w:spacing w:line="240" w:lineRule="auto" w:before="106"/>
              <w:ind w:left="343" w:right="0"/>
              <w:jc w:val="left"/>
              <w:rPr>
                <w:rFonts w:ascii="Times New Roman" w:hAnsi="Times New Roman" w:cs="Times New Roman" w:eastAsia="Times New Roman" w:hint="default"/>
                <w:sz w:val="18"/>
                <w:szCs w:val="18"/>
              </w:rPr>
            </w:pPr>
            <w:r>
              <w:rPr>
                <w:rFonts w:ascii="Times New Roman"/>
                <w:sz w:val="18"/>
              </w:rPr>
              <w:t>70.45</w:t>
            </w:r>
          </w:p>
        </w:tc>
      </w:tr>
    </w:tbl>
    <w:p>
      <w:pPr>
        <w:spacing w:line="240" w:lineRule="auto" w:before="2"/>
        <w:rPr>
          <w:rFonts w:ascii="宋体" w:hAnsi="宋体" w:cs="宋体" w:eastAsia="宋体" w:hint="default"/>
          <w:sz w:val="18"/>
          <w:szCs w:val="18"/>
        </w:rPr>
      </w:pPr>
    </w:p>
    <w:p>
      <w:pPr>
        <w:pStyle w:val="Heading2"/>
        <w:spacing w:line="240" w:lineRule="auto" w:before="26"/>
        <w:ind w:right="1134"/>
        <w:jc w:val="left"/>
        <w:rPr>
          <w:b w:val="0"/>
          <w:bCs w:val="0"/>
        </w:rPr>
      </w:pPr>
      <w:bookmarkStart w:name="三、公司基本情况" w:id="162"/>
      <w:bookmarkEnd w:id="162"/>
      <w:r>
        <w:rPr>
          <w:b w:val="0"/>
          <w:bCs w:val="0"/>
        </w:rPr>
      </w:r>
      <w:r>
        <w:rPr/>
        <w:t>三、公司基本情况</w:t>
      </w:r>
      <w:r>
        <w:rPr>
          <w:b w:val="0"/>
          <w:bCs w:val="0"/>
        </w:rPr>
      </w:r>
    </w:p>
    <w:p>
      <w:pPr>
        <w:spacing w:line="240" w:lineRule="auto" w:before="7"/>
        <w:rPr>
          <w:rFonts w:ascii="宋体" w:hAnsi="宋体" w:cs="宋体" w:eastAsia="宋体" w:hint="default"/>
          <w:b/>
          <w:bCs/>
          <w:sz w:val="26"/>
          <w:szCs w:val="26"/>
        </w:rPr>
      </w:pPr>
    </w:p>
    <w:p>
      <w:pPr>
        <w:spacing w:line="357" w:lineRule="auto" w:before="0"/>
        <w:ind w:left="514" w:right="1162" w:hanging="360"/>
        <w:jc w:val="left"/>
        <w:rPr>
          <w:rFonts w:ascii="Times New Roman" w:hAnsi="Times New Roman" w:cs="Times New Roman" w:eastAsia="Times New Roman" w:hint="default"/>
          <w:sz w:val="18"/>
          <w:szCs w:val="18"/>
        </w:rPr>
      </w:pPr>
      <w:r>
        <w:rPr>
          <w:rFonts w:ascii="宋体" w:hAnsi="宋体" w:cs="宋体" w:eastAsia="宋体" w:hint="default"/>
          <w:b/>
          <w:bCs/>
          <w:sz w:val="18"/>
          <w:szCs w:val="18"/>
        </w:rPr>
        <w:t>1.</w:t>
      </w:r>
      <w:r>
        <w:rPr>
          <w:rFonts w:ascii="宋体" w:hAnsi="宋体" w:cs="宋体" w:eastAsia="宋体" w:hint="default"/>
          <w:b/>
          <w:bCs/>
          <w:spacing w:val="87"/>
          <w:sz w:val="18"/>
          <w:szCs w:val="18"/>
        </w:rPr>
        <w:t> </w:t>
      </w:r>
      <w:r>
        <w:rPr>
          <w:rFonts w:ascii="宋体" w:hAnsi="宋体" w:cs="宋体" w:eastAsia="宋体" w:hint="default"/>
          <w:b/>
          <w:bCs/>
          <w:sz w:val="18"/>
          <w:szCs w:val="18"/>
        </w:rPr>
        <w:t>公司注册地、组织形式和总部地址</w:t>
      </w:r>
      <w:r>
        <w:rPr>
          <w:rFonts w:ascii="宋体" w:hAnsi="宋体" w:cs="宋体" w:eastAsia="宋体" w:hint="default"/>
          <w:b/>
          <w:bCs/>
          <w:w w:val="99"/>
          <w:sz w:val="18"/>
          <w:szCs w:val="18"/>
        </w:rPr>
        <w:t> </w:t>
      </w:r>
      <w:r>
        <w:rPr>
          <w:rFonts w:ascii="宋体" w:hAnsi="宋体" w:cs="宋体" w:eastAsia="宋体" w:hint="default"/>
          <w:sz w:val="18"/>
          <w:szCs w:val="18"/>
        </w:rPr>
        <w:t>深圳市优博讯科技股份有限公司（以下简称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公司</w:t>
      </w:r>
      <w:r>
        <w:rPr>
          <w:rFonts w:ascii="Times New Roman" w:hAnsi="Times New Roman" w:cs="Times New Roman" w:eastAsia="Times New Roman" w:hint="default"/>
          <w:sz w:val="18"/>
          <w:szCs w:val="18"/>
        </w:rPr>
        <w:t>”</w:t>
      </w:r>
      <w:r>
        <w:rPr>
          <w:rFonts w:ascii="宋体" w:hAnsi="宋体" w:cs="宋体" w:eastAsia="宋体" w:hint="default"/>
          <w:sz w:val="18"/>
          <w:szCs w:val="18"/>
        </w:rPr>
        <w:t>或</w:t>
      </w:r>
      <w:r>
        <w:rPr>
          <w:rFonts w:ascii="Times New Roman" w:hAnsi="Times New Roman" w:cs="Times New Roman" w:eastAsia="Times New Roman" w:hint="default"/>
          <w:sz w:val="18"/>
          <w:szCs w:val="18"/>
        </w:rPr>
        <w:t>“</w:t>
      </w:r>
      <w:r>
        <w:rPr>
          <w:rFonts w:ascii="宋体" w:hAnsi="宋体" w:cs="宋体" w:eastAsia="宋体" w:hint="default"/>
          <w:sz w:val="18"/>
          <w:szCs w:val="18"/>
        </w:rPr>
        <w:t>本公司</w:t>
      </w:r>
      <w:r>
        <w:rPr>
          <w:rFonts w:ascii="Times New Roman" w:hAnsi="Times New Roman" w:cs="Times New Roman" w:eastAsia="Times New Roman" w:hint="default"/>
          <w:sz w:val="18"/>
          <w:szCs w:val="18"/>
        </w:rPr>
        <w:t>”</w:t>
      </w:r>
      <w:r>
        <w:rPr>
          <w:rFonts w:ascii="宋体" w:hAnsi="宋体" w:cs="宋体" w:eastAsia="宋体" w:hint="default"/>
          <w:sz w:val="18"/>
          <w:szCs w:val="18"/>
        </w:rPr>
        <w:t>）前身为深圳市方正颐和科技有限公司，于</w:t>
      </w:r>
      <w:r>
        <w:rPr>
          <w:rFonts w:ascii="Times New Roman" w:hAnsi="Times New Roman" w:cs="Times New Roman" w:eastAsia="Times New Roman" w:hint="default"/>
          <w:sz w:val="18"/>
          <w:szCs w:val="18"/>
        </w:rPr>
        <w:t>2006</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26</w:t>
      </w:r>
    </w:p>
    <w:p>
      <w:pPr>
        <w:pStyle w:val="BodyText"/>
        <w:spacing w:line="214" w:lineRule="exact"/>
        <w:ind w:right="0"/>
        <w:jc w:val="left"/>
      </w:pPr>
      <w:r>
        <w:rPr/>
        <w:t>日成立，取得深圳市工商局核发注册号为</w:t>
      </w:r>
      <w:r>
        <w:rPr>
          <w:rFonts w:ascii="Times New Roman" w:hAnsi="Times New Roman" w:cs="Times New Roman" w:eastAsia="Times New Roman" w:hint="default"/>
        </w:rPr>
        <w:t>4403011203665</w:t>
      </w:r>
      <w:r>
        <w:rPr/>
        <w:t>的《企业法人营业执照》，注册资本人民币</w:t>
      </w:r>
      <w:r>
        <w:rPr>
          <w:rFonts w:ascii="Times New Roman" w:hAnsi="Times New Roman" w:cs="Times New Roman" w:eastAsia="Times New Roman" w:hint="default"/>
        </w:rPr>
        <w:t>10.00</w:t>
      </w:r>
      <w:r>
        <w:rPr/>
        <w:t>万元，该注册资本</w:t>
      </w:r>
    </w:p>
    <w:p>
      <w:pPr>
        <w:pStyle w:val="BodyText"/>
        <w:spacing w:line="240" w:lineRule="auto" w:before="64"/>
        <w:ind w:right="1134"/>
        <w:jc w:val="left"/>
      </w:pPr>
      <w:r>
        <w:rPr/>
        <w:t>业经深圳皇嘉会计师事务所出具的深皇嘉所验字（</w:t>
      </w:r>
      <w:r>
        <w:rPr>
          <w:rFonts w:ascii="Times New Roman" w:hAnsi="Times New Roman" w:cs="Times New Roman" w:eastAsia="Times New Roman" w:hint="default"/>
        </w:rPr>
        <w:t>2005</w:t>
      </w:r>
      <w:r>
        <w:rPr/>
        <w:t>）第</w:t>
      </w:r>
      <w:r>
        <w:rPr>
          <w:rFonts w:ascii="Times New Roman" w:hAnsi="Times New Roman" w:cs="Times New Roman" w:eastAsia="Times New Roman" w:hint="default"/>
        </w:rPr>
        <w:t>754</w:t>
      </w:r>
      <w:r>
        <w:rPr/>
        <w:t>号《验资报告》验证确认。公司股权结构如下：</w:t>
      </w:r>
    </w:p>
    <w:p>
      <w:pPr>
        <w:spacing w:line="240" w:lineRule="auto" w:before="12"/>
        <w:rPr>
          <w:rFonts w:ascii="宋体" w:hAnsi="宋体" w:cs="宋体" w:eastAsia="宋体" w:hint="default"/>
          <w:sz w:val="6"/>
          <w:szCs w:val="6"/>
        </w:rPr>
      </w:pPr>
    </w:p>
    <w:tbl>
      <w:tblPr>
        <w:tblW w:w="0" w:type="auto"/>
        <w:jc w:val="left"/>
        <w:tblInd w:w="146" w:type="dxa"/>
        <w:tblLayout w:type="fixed"/>
        <w:tblCellMar>
          <w:top w:w="0" w:type="dxa"/>
          <w:left w:w="0" w:type="dxa"/>
          <w:bottom w:w="0" w:type="dxa"/>
          <w:right w:w="0" w:type="dxa"/>
        </w:tblCellMar>
        <w:tblLook w:val="01E0"/>
      </w:tblPr>
      <w:tblGrid>
        <w:gridCol w:w="3267"/>
        <w:gridCol w:w="3333"/>
        <w:gridCol w:w="3064"/>
      </w:tblGrid>
      <w:tr>
        <w:trPr>
          <w:trHeight w:val="427" w:hRule="exact"/>
        </w:trPr>
        <w:tc>
          <w:tcPr>
            <w:tcW w:w="326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33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848" w:right="0"/>
              <w:jc w:val="left"/>
              <w:rPr>
                <w:rFonts w:ascii="宋体" w:hAnsi="宋体" w:cs="宋体" w:eastAsia="宋体" w:hint="default"/>
                <w:sz w:val="18"/>
                <w:szCs w:val="18"/>
              </w:rPr>
            </w:pPr>
            <w:r>
              <w:rPr>
                <w:rFonts w:ascii="宋体" w:hAnsi="宋体" w:cs="宋体" w:eastAsia="宋体" w:hint="default"/>
                <w:sz w:val="18"/>
                <w:szCs w:val="18"/>
              </w:rPr>
              <w:t>出资额（人民币元）</w:t>
            </w:r>
          </w:p>
        </w:tc>
        <w:tc>
          <w:tcPr>
            <w:tcW w:w="306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出资比例</w:t>
            </w:r>
          </w:p>
        </w:tc>
      </w:tr>
      <w:tr>
        <w:trPr>
          <w:trHeight w:val="428" w:hRule="exact"/>
        </w:trPr>
        <w:tc>
          <w:tcPr>
            <w:tcW w:w="3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董栋</w:t>
            </w:r>
          </w:p>
        </w:tc>
        <w:tc>
          <w:tcPr>
            <w:tcW w:w="33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90,000.00</w:t>
            </w:r>
          </w:p>
        </w:tc>
        <w:tc>
          <w:tcPr>
            <w:tcW w:w="3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90.00%</w:t>
            </w:r>
          </w:p>
        </w:tc>
      </w:tr>
      <w:tr>
        <w:trPr>
          <w:trHeight w:val="426" w:hRule="exact"/>
        </w:trPr>
        <w:tc>
          <w:tcPr>
            <w:tcW w:w="3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于雪磊</w:t>
            </w:r>
          </w:p>
        </w:tc>
        <w:tc>
          <w:tcPr>
            <w:tcW w:w="33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10,000.00</w:t>
            </w:r>
          </w:p>
        </w:tc>
        <w:tc>
          <w:tcPr>
            <w:tcW w:w="3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10.00%</w:t>
            </w:r>
          </w:p>
        </w:tc>
      </w:tr>
      <w:tr>
        <w:trPr>
          <w:trHeight w:val="428" w:hRule="exact"/>
        </w:trPr>
        <w:tc>
          <w:tcPr>
            <w:tcW w:w="32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33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100,000.00</w:t>
            </w:r>
          </w:p>
        </w:tc>
        <w:tc>
          <w:tcPr>
            <w:tcW w:w="3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100.00%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right="1122" w:firstLine="360"/>
        <w:jc w:val="left"/>
      </w:pPr>
      <w:r>
        <w:rPr>
          <w:rFonts w:ascii="Times New Roman" w:hAnsi="Times New Roman" w:cs="Times New Roman" w:eastAsia="Times New Roman" w:hint="default"/>
        </w:rPr>
        <w:t>2006</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18</w:t>
      </w:r>
      <w:r>
        <w:rPr/>
        <w:t>日本公司股东会作出决议，公司注册资本由人民币</w:t>
      </w:r>
      <w:r>
        <w:rPr>
          <w:rFonts w:ascii="Times New Roman" w:hAnsi="Times New Roman" w:cs="Times New Roman" w:eastAsia="Times New Roman" w:hint="default"/>
        </w:rPr>
        <w:t>10.00</w:t>
      </w:r>
      <w:r>
        <w:rPr/>
        <w:t>万元增加至人民币</w:t>
      </w:r>
      <w:r>
        <w:rPr>
          <w:rFonts w:ascii="Times New Roman" w:hAnsi="Times New Roman" w:cs="Times New Roman" w:eastAsia="Times New Roman" w:hint="default"/>
        </w:rPr>
        <w:t>100.00</w:t>
      </w:r>
      <w:r>
        <w:rPr/>
        <w:t>万元，新增注册资本人民 币</w:t>
      </w:r>
      <w:r>
        <w:rPr>
          <w:rFonts w:ascii="Times New Roman" w:hAnsi="Times New Roman" w:cs="Times New Roman" w:eastAsia="Times New Roman" w:hint="default"/>
        </w:rPr>
        <w:t>90.00</w:t>
      </w:r>
      <w:r>
        <w:rPr/>
        <w:t>万元，全部由深圳市正达资讯技术有限公司（以下简称：</w:t>
      </w:r>
      <w:r>
        <w:rPr>
          <w:rFonts w:ascii="Times New Roman" w:hAnsi="Times New Roman" w:cs="Times New Roman" w:eastAsia="Times New Roman" w:hint="default"/>
        </w:rPr>
        <w:t>“</w:t>
      </w:r>
      <w:r>
        <w:rPr/>
        <w:t>深圳正达资讯公司</w:t>
      </w:r>
      <w:r>
        <w:rPr>
          <w:rFonts w:ascii="Times New Roman" w:hAnsi="Times New Roman" w:cs="Times New Roman" w:eastAsia="Times New Roman" w:hint="default"/>
        </w:rPr>
        <w:t>”</w:t>
      </w:r>
      <w:r>
        <w:rPr/>
        <w:t>）缴纳。该项增资业经深圳恒瑞会计 师事务所出具的深恒瑞验字（</w:t>
      </w:r>
      <w:r>
        <w:rPr>
          <w:rFonts w:ascii="Times New Roman" w:hAnsi="Times New Roman" w:cs="Times New Roman" w:eastAsia="Times New Roman" w:hint="default"/>
        </w:rPr>
        <w:t>2006</w:t>
      </w:r>
      <w:r>
        <w:rPr/>
        <w:t>）第</w:t>
      </w:r>
      <w:r>
        <w:rPr>
          <w:rFonts w:ascii="Times New Roman" w:hAnsi="Times New Roman" w:cs="Times New Roman" w:eastAsia="Times New Roman" w:hint="default"/>
        </w:rPr>
        <w:t>060</w:t>
      </w:r>
      <w:r>
        <w:rPr/>
        <w:t>号《验资报告》验证，并于</w:t>
      </w:r>
      <w:r>
        <w:rPr>
          <w:rFonts w:ascii="Times New Roman" w:hAnsi="Times New Roman" w:cs="Times New Roman" w:eastAsia="Times New Roman" w:hint="default"/>
        </w:rPr>
        <w:t>2006</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5</w:t>
      </w:r>
      <w:r>
        <w:rPr/>
        <w:t>日办理工商变更登记。本次增资完成后的 股权结构如下：</w:t>
      </w:r>
    </w:p>
    <w:p>
      <w:pPr>
        <w:spacing w:line="240" w:lineRule="auto" w:before="7"/>
        <w:rPr>
          <w:rFonts w:ascii="宋体" w:hAnsi="宋体" w:cs="宋体" w:eastAsia="宋体" w:hint="default"/>
          <w:sz w:val="4"/>
          <w:szCs w:val="4"/>
        </w:rPr>
      </w:pPr>
    </w:p>
    <w:tbl>
      <w:tblPr>
        <w:tblW w:w="0" w:type="auto"/>
        <w:jc w:val="left"/>
        <w:tblInd w:w="146" w:type="dxa"/>
        <w:tblLayout w:type="fixed"/>
        <w:tblCellMar>
          <w:top w:w="0" w:type="dxa"/>
          <w:left w:w="0" w:type="dxa"/>
          <w:bottom w:w="0" w:type="dxa"/>
          <w:right w:w="0" w:type="dxa"/>
        </w:tblCellMar>
        <w:tblLook w:val="01E0"/>
      </w:tblPr>
      <w:tblGrid>
        <w:gridCol w:w="3237"/>
        <w:gridCol w:w="3302"/>
        <w:gridCol w:w="3036"/>
      </w:tblGrid>
      <w:tr>
        <w:trPr>
          <w:trHeight w:val="428" w:hRule="exact"/>
        </w:trPr>
        <w:tc>
          <w:tcPr>
            <w:tcW w:w="323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30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833" w:right="0"/>
              <w:jc w:val="left"/>
              <w:rPr>
                <w:rFonts w:ascii="宋体" w:hAnsi="宋体" w:cs="宋体" w:eastAsia="宋体" w:hint="default"/>
                <w:sz w:val="18"/>
                <w:szCs w:val="18"/>
              </w:rPr>
            </w:pPr>
            <w:r>
              <w:rPr>
                <w:rFonts w:ascii="宋体" w:hAnsi="宋体" w:cs="宋体" w:eastAsia="宋体" w:hint="default"/>
                <w:sz w:val="18"/>
                <w:szCs w:val="18"/>
              </w:rPr>
              <w:t>出资额（人民币元）</w:t>
            </w:r>
          </w:p>
        </w:tc>
        <w:tc>
          <w:tcPr>
            <w:tcW w:w="303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出资比例</w:t>
            </w:r>
          </w:p>
        </w:tc>
      </w:tr>
      <w:tr>
        <w:trPr>
          <w:trHeight w:val="427" w:hRule="exact"/>
        </w:trPr>
        <w:tc>
          <w:tcPr>
            <w:tcW w:w="32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深圳市正达资讯技术有限公司</w:t>
            </w:r>
          </w:p>
        </w:tc>
        <w:tc>
          <w:tcPr>
            <w:tcW w:w="3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900,000.00</w:t>
            </w:r>
          </w:p>
        </w:tc>
        <w:tc>
          <w:tcPr>
            <w:tcW w:w="30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90.00%</w:t>
            </w:r>
          </w:p>
        </w:tc>
      </w:tr>
      <w:tr>
        <w:trPr>
          <w:trHeight w:val="427" w:hRule="exact"/>
        </w:trPr>
        <w:tc>
          <w:tcPr>
            <w:tcW w:w="32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董栋</w:t>
            </w:r>
          </w:p>
        </w:tc>
        <w:tc>
          <w:tcPr>
            <w:tcW w:w="3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90,000.00</w:t>
            </w:r>
          </w:p>
        </w:tc>
        <w:tc>
          <w:tcPr>
            <w:tcW w:w="30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9.00%</w:t>
            </w:r>
          </w:p>
        </w:tc>
      </w:tr>
      <w:tr>
        <w:trPr>
          <w:trHeight w:val="427" w:hRule="exact"/>
        </w:trPr>
        <w:tc>
          <w:tcPr>
            <w:tcW w:w="32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于雪磊</w:t>
            </w:r>
          </w:p>
        </w:tc>
        <w:tc>
          <w:tcPr>
            <w:tcW w:w="3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10,000.00</w:t>
            </w:r>
          </w:p>
        </w:tc>
        <w:tc>
          <w:tcPr>
            <w:tcW w:w="30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w:t>
            </w:r>
          </w:p>
        </w:tc>
      </w:tr>
      <w:tr>
        <w:trPr>
          <w:trHeight w:val="427" w:hRule="exact"/>
        </w:trPr>
        <w:tc>
          <w:tcPr>
            <w:tcW w:w="323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30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1,000,000.00</w:t>
            </w:r>
          </w:p>
        </w:tc>
        <w:tc>
          <w:tcPr>
            <w:tcW w:w="30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5"/>
        <w:rPr>
          <w:rFonts w:ascii="宋体" w:hAnsi="宋体" w:cs="宋体" w:eastAsia="宋体" w:hint="default"/>
          <w:sz w:val="27"/>
          <w:szCs w:val="27"/>
        </w:rPr>
      </w:pPr>
    </w:p>
    <w:p>
      <w:pPr>
        <w:pStyle w:val="BodyText"/>
        <w:spacing w:line="300" w:lineRule="auto" w:before="44"/>
        <w:ind w:right="1131" w:firstLine="360"/>
        <w:jc w:val="both"/>
      </w:pPr>
      <w:r>
        <w:rPr>
          <w:rFonts w:ascii="Times New Roman" w:hAnsi="Times New Roman" w:cs="Times New Roman" w:eastAsia="Times New Roman" w:hint="default"/>
          <w:spacing w:val="-1"/>
        </w:rPr>
        <w:t>2007</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15</w:t>
      </w:r>
      <w:r>
        <w:rPr>
          <w:spacing w:val="-1"/>
        </w:rPr>
        <w:t>日本公司股东会作出决议，同意股东深圳正达资讯公司将其持有本公司</w:t>
      </w:r>
      <w:r>
        <w:rPr>
          <w:rFonts w:ascii="Times New Roman" w:hAnsi="Times New Roman" w:cs="Times New Roman" w:eastAsia="Times New Roman" w:hint="default"/>
          <w:spacing w:val="-1"/>
        </w:rPr>
        <w:t>9.00%</w:t>
      </w:r>
      <w:r>
        <w:rPr>
          <w:spacing w:val="-1"/>
        </w:rPr>
        <w:t>的股权以人民币</w:t>
      </w:r>
      <w:r>
        <w:rPr>
          <w:rFonts w:ascii="Times New Roman" w:hAnsi="Times New Roman" w:cs="Times New Roman" w:eastAsia="Times New Roman" w:hint="default"/>
          <w:spacing w:val="-1"/>
        </w:rPr>
        <w:t>9.00</w:t>
      </w:r>
      <w:r>
        <w:rPr>
          <w:spacing w:val="-1"/>
        </w:rPr>
        <w:t>万元的价</w:t>
      </w:r>
      <w:r>
        <w:rPr/>
        <w:t> </w:t>
      </w:r>
      <w:r>
        <w:rPr>
          <w:spacing w:val="-1"/>
        </w:rPr>
        <w:t>格转让给于雪磊；</w:t>
      </w:r>
      <w:r>
        <w:rPr>
          <w:rFonts w:ascii="Times New Roman" w:hAnsi="Times New Roman" w:cs="Times New Roman" w:eastAsia="Times New Roman" w:hint="default"/>
          <w:spacing w:val="-1"/>
        </w:rPr>
        <w:t>81.00%</w:t>
      </w:r>
      <w:r>
        <w:rPr>
          <w:spacing w:val="-1"/>
        </w:rPr>
        <w:t>的股权以人民币</w:t>
      </w:r>
      <w:r>
        <w:rPr>
          <w:rFonts w:ascii="Times New Roman" w:hAnsi="Times New Roman" w:cs="Times New Roman" w:eastAsia="Times New Roman" w:hint="default"/>
          <w:spacing w:val="-1"/>
        </w:rPr>
        <w:t>81.00</w:t>
      </w:r>
      <w:r>
        <w:rPr>
          <w:spacing w:val="-1"/>
        </w:rPr>
        <w:t>万元的价格转让给董栋，并于</w:t>
      </w:r>
      <w:r>
        <w:rPr>
          <w:rFonts w:ascii="Times New Roman" w:hAnsi="Times New Roman" w:cs="Times New Roman" w:eastAsia="Times New Roman" w:hint="default"/>
          <w:spacing w:val="-1"/>
        </w:rPr>
        <w:t>2007</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29</w:t>
      </w:r>
      <w:r>
        <w:rPr>
          <w:spacing w:val="-1"/>
        </w:rPr>
        <w:t>日办理工商变更登记。本次股权转</w:t>
      </w:r>
      <w:r>
        <w:rPr>
          <w:spacing w:val="-82"/>
        </w:rPr>
        <w:t> </w:t>
      </w:r>
      <w:r>
        <w:rPr>
          <w:spacing w:val="-82"/>
        </w:rPr>
      </w:r>
      <w:r>
        <w:rPr/>
        <w:t>让完成后的股权结构如下：</w:t>
      </w:r>
    </w:p>
    <w:p>
      <w:pPr>
        <w:spacing w:line="240" w:lineRule="auto" w:before="7"/>
        <w:rPr>
          <w:rFonts w:ascii="宋体" w:hAnsi="宋体" w:cs="宋体" w:eastAsia="宋体" w:hint="default"/>
          <w:sz w:val="4"/>
          <w:szCs w:val="4"/>
        </w:rPr>
      </w:pPr>
    </w:p>
    <w:tbl>
      <w:tblPr>
        <w:tblW w:w="0" w:type="auto"/>
        <w:jc w:val="left"/>
        <w:tblInd w:w="146" w:type="dxa"/>
        <w:tblLayout w:type="fixed"/>
        <w:tblCellMar>
          <w:top w:w="0" w:type="dxa"/>
          <w:left w:w="0" w:type="dxa"/>
          <w:bottom w:w="0" w:type="dxa"/>
          <w:right w:w="0" w:type="dxa"/>
        </w:tblCellMar>
        <w:tblLook w:val="01E0"/>
      </w:tblPr>
      <w:tblGrid>
        <w:gridCol w:w="3232"/>
        <w:gridCol w:w="3312"/>
        <w:gridCol w:w="3015"/>
      </w:tblGrid>
      <w:tr>
        <w:trPr>
          <w:trHeight w:val="427" w:hRule="exact"/>
        </w:trPr>
        <w:tc>
          <w:tcPr>
            <w:tcW w:w="323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31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839" w:right="0"/>
              <w:jc w:val="left"/>
              <w:rPr>
                <w:rFonts w:ascii="宋体" w:hAnsi="宋体" w:cs="宋体" w:eastAsia="宋体" w:hint="default"/>
                <w:sz w:val="18"/>
                <w:szCs w:val="18"/>
              </w:rPr>
            </w:pPr>
            <w:r>
              <w:rPr>
                <w:rFonts w:ascii="宋体" w:hAnsi="宋体" w:cs="宋体" w:eastAsia="宋体" w:hint="default"/>
                <w:sz w:val="18"/>
                <w:szCs w:val="18"/>
              </w:rPr>
              <w:t>出资额（人民币元）</w:t>
            </w:r>
          </w:p>
        </w:tc>
        <w:tc>
          <w:tcPr>
            <w:tcW w:w="301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出资比例</w:t>
            </w:r>
          </w:p>
        </w:tc>
      </w:tr>
      <w:tr>
        <w:trPr>
          <w:trHeight w:val="428" w:hRule="exact"/>
        </w:trPr>
        <w:tc>
          <w:tcPr>
            <w:tcW w:w="32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董栋</w:t>
            </w:r>
          </w:p>
        </w:tc>
        <w:tc>
          <w:tcPr>
            <w:tcW w:w="33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2"/>
              <w:jc w:val="right"/>
              <w:rPr>
                <w:rFonts w:ascii="Times New Roman" w:hAnsi="Times New Roman" w:cs="Times New Roman" w:eastAsia="Times New Roman" w:hint="default"/>
                <w:sz w:val="18"/>
                <w:szCs w:val="18"/>
              </w:rPr>
            </w:pPr>
            <w:r>
              <w:rPr>
                <w:rFonts w:ascii="Times New Roman"/>
                <w:spacing w:val="-1"/>
                <w:sz w:val="18"/>
              </w:rPr>
              <w:t>900,000.00</w:t>
            </w:r>
          </w:p>
        </w:tc>
        <w:tc>
          <w:tcPr>
            <w:tcW w:w="30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90.00%</w:t>
            </w:r>
          </w:p>
        </w:tc>
      </w:tr>
      <w:tr>
        <w:trPr>
          <w:trHeight w:val="426" w:hRule="exact"/>
        </w:trPr>
        <w:tc>
          <w:tcPr>
            <w:tcW w:w="32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于雪磊</w:t>
            </w:r>
          </w:p>
        </w:tc>
        <w:tc>
          <w:tcPr>
            <w:tcW w:w="33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spacing w:val="-1"/>
                <w:sz w:val="18"/>
              </w:rPr>
              <w:t>100,000.00</w:t>
            </w:r>
          </w:p>
        </w:tc>
        <w:tc>
          <w:tcPr>
            <w:tcW w:w="30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10.00%</w:t>
            </w:r>
          </w:p>
        </w:tc>
      </w:tr>
      <w:tr>
        <w:trPr>
          <w:trHeight w:val="428" w:hRule="exact"/>
        </w:trPr>
        <w:tc>
          <w:tcPr>
            <w:tcW w:w="32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3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1,000,000.00</w:t>
            </w:r>
          </w:p>
        </w:tc>
        <w:tc>
          <w:tcPr>
            <w:tcW w:w="30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100.00%</w:t>
            </w:r>
          </w:p>
        </w:tc>
      </w:tr>
    </w:tbl>
    <w:p>
      <w:pPr>
        <w:pStyle w:val="BodyText"/>
        <w:spacing w:line="300" w:lineRule="auto" w:before="51"/>
        <w:ind w:right="1152" w:firstLine="360"/>
        <w:jc w:val="left"/>
      </w:pPr>
      <w:r>
        <w:rPr>
          <w:rFonts w:ascii="Times New Roman" w:hAnsi="Times New Roman" w:cs="Times New Roman" w:eastAsia="Times New Roman" w:hint="default"/>
        </w:rPr>
        <w:t>2007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w:t>
      </w:r>
      <w:r>
        <w:rPr/>
        <w:t>日本公司股东会作出决议，同意股东董栋将其持有本公司</w:t>
      </w:r>
      <w:r>
        <w:rPr>
          <w:rFonts w:ascii="Times New Roman" w:hAnsi="Times New Roman" w:cs="Times New Roman" w:eastAsia="Times New Roman" w:hint="default"/>
        </w:rPr>
        <w:t>30.00%</w:t>
      </w:r>
      <w:r>
        <w:rPr/>
        <w:t>的股权以人民币</w:t>
      </w:r>
      <w:r>
        <w:rPr>
          <w:rFonts w:ascii="Times New Roman" w:hAnsi="Times New Roman" w:cs="Times New Roman" w:eastAsia="Times New Roman" w:hint="default"/>
        </w:rPr>
        <w:t>30.00</w:t>
      </w:r>
      <w:r>
        <w:rPr/>
        <w:t>万元的价格转让给苏 莹，并于</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14</w:t>
      </w:r>
      <w:r>
        <w:rPr/>
        <w:t>日办理工商变更登记。本次股权转让完成后的股权结构如下：</w:t>
      </w:r>
    </w:p>
    <w:p>
      <w:pPr>
        <w:spacing w:line="240" w:lineRule="auto" w:before="2"/>
        <w:rPr>
          <w:rFonts w:ascii="宋体" w:hAnsi="宋体" w:cs="宋体" w:eastAsia="宋体" w:hint="default"/>
          <w:sz w:val="3"/>
          <w:szCs w:val="3"/>
        </w:rPr>
      </w:pPr>
    </w:p>
    <w:tbl>
      <w:tblPr>
        <w:tblW w:w="0" w:type="auto"/>
        <w:jc w:val="left"/>
        <w:tblInd w:w="146" w:type="dxa"/>
        <w:tblLayout w:type="fixed"/>
        <w:tblCellMar>
          <w:top w:w="0" w:type="dxa"/>
          <w:left w:w="0" w:type="dxa"/>
          <w:bottom w:w="0" w:type="dxa"/>
          <w:right w:w="0" w:type="dxa"/>
        </w:tblCellMar>
        <w:tblLook w:val="01E0"/>
      </w:tblPr>
      <w:tblGrid>
        <w:gridCol w:w="3369"/>
        <w:gridCol w:w="3189"/>
        <w:gridCol w:w="2960"/>
      </w:tblGrid>
      <w:tr>
        <w:trPr>
          <w:trHeight w:val="427" w:hRule="exact"/>
        </w:trPr>
        <w:tc>
          <w:tcPr>
            <w:tcW w:w="336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18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776" w:right="0"/>
              <w:jc w:val="left"/>
              <w:rPr>
                <w:rFonts w:ascii="宋体" w:hAnsi="宋体" w:cs="宋体" w:eastAsia="宋体" w:hint="default"/>
                <w:sz w:val="18"/>
                <w:szCs w:val="18"/>
              </w:rPr>
            </w:pPr>
            <w:r>
              <w:rPr>
                <w:rFonts w:ascii="宋体" w:hAnsi="宋体" w:cs="宋体" w:eastAsia="宋体" w:hint="default"/>
                <w:sz w:val="18"/>
                <w:szCs w:val="18"/>
              </w:rPr>
              <w:t>出资额（人民币元）</w:t>
            </w:r>
          </w:p>
        </w:tc>
        <w:tc>
          <w:tcPr>
            <w:tcW w:w="296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出资比例</w:t>
            </w:r>
          </w:p>
        </w:tc>
      </w:tr>
      <w:tr>
        <w:trPr>
          <w:trHeight w:val="427" w:hRule="exact"/>
        </w:trPr>
        <w:tc>
          <w:tcPr>
            <w:tcW w:w="3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董栋</w:t>
            </w:r>
          </w:p>
        </w:tc>
        <w:tc>
          <w:tcPr>
            <w:tcW w:w="3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2"/>
              <w:jc w:val="right"/>
              <w:rPr>
                <w:rFonts w:ascii="Times New Roman" w:hAnsi="Times New Roman" w:cs="Times New Roman" w:eastAsia="Times New Roman" w:hint="default"/>
                <w:sz w:val="18"/>
                <w:szCs w:val="18"/>
              </w:rPr>
            </w:pPr>
            <w:r>
              <w:rPr>
                <w:rFonts w:ascii="Times New Roman"/>
                <w:spacing w:val="-1"/>
                <w:sz w:val="18"/>
              </w:rPr>
              <w:t>600,000.00</w:t>
            </w:r>
          </w:p>
        </w:tc>
        <w:tc>
          <w:tcPr>
            <w:tcW w:w="29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60.00%</w:t>
            </w:r>
          </w:p>
        </w:tc>
      </w:tr>
      <w:tr>
        <w:trPr>
          <w:trHeight w:val="427" w:hRule="exact"/>
        </w:trPr>
        <w:tc>
          <w:tcPr>
            <w:tcW w:w="3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苏莹</w:t>
            </w:r>
          </w:p>
        </w:tc>
        <w:tc>
          <w:tcPr>
            <w:tcW w:w="3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2"/>
              <w:jc w:val="right"/>
              <w:rPr>
                <w:rFonts w:ascii="Times New Roman" w:hAnsi="Times New Roman" w:cs="Times New Roman" w:eastAsia="Times New Roman" w:hint="default"/>
                <w:sz w:val="18"/>
                <w:szCs w:val="18"/>
              </w:rPr>
            </w:pPr>
            <w:r>
              <w:rPr>
                <w:rFonts w:ascii="Times New Roman"/>
                <w:spacing w:val="-1"/>
                <w:sz w:val="18"/>
              </w:rPr>
              <w:t>300,000.00</w:t>
            </w:r>
          </w:p>
        </w:tc>
        <w:tc>
          <w:tcPr>
            <w:tcW w:w="29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30.00%</w:t>
            </w:r>
          </w:p>
        </w:tc>
      </w:tr>
      <w:tr>
        <w:trPr>
          <w:trHeight w:val="427" w:hRule="exact"/>
        </w:trPr>
        <w:tc>
          <w:tcPr>
            <w:tcW w:w="3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于雪磊</w:t>
            </w:r>
          </w:p>
        </w:tc>
        <w:tc>
          <w:tcPr>
            <w:tcW w:w="3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2"/>
              <w:jc w:val="right"/>
              <w:rPr>
                <w:rFonts w:ascii="Times New Roman" w:hAnsi="Times New Roman" w:cs="Times New Roman" w:eastAsia="Times New Roman" w:hint="default"/>
                <w:sz w:val="18"/>
                <w:szCs w:val="18"/>
              </w:rPr>
            </w:pPr>
            <w:r>
              <w:rPr>
                <w:rFonts w:ascii="Times New Roman"/>
                <w:spacing w:val="-1"/>
                <w:sz w:val="18"/>
              </w:rPr>
              <w:t>100,000.00</w:t>
            </w:r>
          </w:p>
        </w:tc>
        <w:tc>
          <w:tcPr>
            <w:tcW w:w="29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10.00%</w:t>
            </w:r>
          </w:p>
        </w:tc>
      </w:tr>
      <w:tr>
        <w:trPr>
          <w:trHeight w:val="427" w:hRule="exact"/>
        </w:trPr>
        <w:tc>
          <w:tcPr>
            <w:tcW w:w="336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1,000,000.00</w:t>
            </w:r>
          </w:p>
        </w:tc>
        <w:tc>
          <w:tcPr>
            <w:tcW w:w="29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5"/>
        <w:rPr>
          <w:rFonts w:ascii="宋体" w:hAnsi="宋体" w:cs="宋体" w:eastAsia="宋体" w:hint="default"/>
          <w:sz w:val="27"/>
          <w:szCs w:val="27"/>
        </w:rPr>
      </w:pPr>
    </w:p>
    <w:p>
      <w:pPr>
        <w:pStyle w:val="BodyText"/>
        <w:spacing w:line="300" w:lineRule="auto" w:before="44"/>
        <w:ind w:right="1132" w:firstLine="360"/>
        <w:jc w:val="both"/>
      </w:pPr>
      <w:r>
        <w:rPr>
          <w:rFonts w:ascii="Times New Roman" w:hAnsi="Times New Roman" w:cs="Times New Roman" w:eastAsia="Times New Roman" w:hint="default"/>
          <w:spacing w:val="-2"/>
        </w:rPr>
        <w:t>2007</w:t>
      </w:r>
      <w:r>
        <w:rPr>
          <w:spacing w:val="-2"/>
        </w:rPr>
        <w:t>年</w:t>
      </w:r>
      <w:r>
        <w:rPr>
          <w:rFonts w:ascii="Times New Roman" w:hAnsi="Times New Roman" w:cs="Times New Roman" w:eastAsia="Times New Roman" w:hint="default"/>
          <w:spacing w:val="-2"/>
        </w:rPr>
        <w:t>7</w:t>
      </w:r>
      <w:r>
        <w:rPr>
          <w:spacing w:val="-2"/>
        </w:rPr>
        <w:t>月</w:t>
      </w:r>
      <w:r>
        <w:rPr>
          <w:rFonts w:ascii="Times New Roman" w:hAnsi="Times New Roman" w:cs="Times New Roman" w:eastAsia="Times New Roman" w:hint="default"/>
          <w:spacing w:val="-2"/>
        </w:rPr>
        <w:t>10</w:t>
      </w:r>
      <w:r>
        <w:rPr>
          <w:spacing w:val="-2"/>
        </w:rPr>
        <w:t>日本公司股东会作出决议，公司注册资本由人民币</w:t>
      </w:r>
      <w:r>
        <w:rPr>
          <w:rFonts w:ascii="Times New Roman" w:hAnsi="Times New Roman" w:cs="Times New Roman" w:eastAsia="Times New Roman" w:hint="default"/>
          <w:spacing w:val="-2"/>
        </w:rPr>
        <w:t>100.00</w:t>
      </w:r>
      <w:r>
        <w:rPr>
          <w:spacing w:val="-2"/>
        </w:rPr>
        <w:t>万元增加至人民币</w:t>
      </w:r>
      <w:r>
        <w:rPr>
          <w:rFonts w:ascii="Times New Roman" w:hAnsi="Times New Roman" w:cs="Times New Roman" w:eastAsia="Times New Roman" w:hint="default"/>
          <w:spacing w:val="-2"/>
        </w:rPr>
        <w:t>500.00</w:t>
      </w:r>
      <w:r>
        <w:rPr>
          <w:spacing w:val="-2"/>
        </w:rPr>
        <w:t>万元，新增注册资本人民</w:t>
      </w:r>
      <w:r>
        <w:rPr/>
        <w:t> </w:t>
      </w:r>
      <w:r>
        <w:rPr>
          <w:spacing w:val="-2"/>
        </w:rPr>
        <w:t>币</w:t>
      </w:r>
      <w:r>
        <w:rPr>
          <w:rFonts w:ascii="Times New Roman" w:hAnsi="Times New Roman" w:cs="Times New Roman" w:eastAsia="Times New Roman" w:hint="default"/>
          <w:spacing w:val="-2"/>
        </w:rPr>
        <w:t>400.00</w:t>
      </w:r>
      <w:r>
        <w:rPr>
          <w:spacing w:val="-2"/>
        </w:rPr>
        <w:t>万元，全部由深圳正达资讯公司缴纳。该项增资业经深圳皇嘉会计师事务所出具的深皇嘉所验字</w:t>
      </w:r>
      <w:r>
        <w:rPr>
          <w:rFonts w:ascii="Times New Roman" w:hAnsi="Times New Roman" w:cs="Times New Roman" w:eastAsia="Times New Roman" w:hint="default"/>
          <w:spacing w:val="-2"/>
        </w:rPr>
        <w:t>[2007]231</w:t>
      </w:r>
      <w:r>
        <w:rPr>
          <w:spacing w:val="-2"/>
        </w:rPr>
        <w:t>号《验资</w:t>
      </w:r>
      <w:r>
        <w:rPr>
          <w:spacing w:val="-36"/>
        </w:rPr>
        <w:t> </w:t>
      </w:r>
      <w:r>
        <w:rPr>
          <w:spacing w:val="-36"/>
        </w:rPr>
      </w:r>
      <w:r>
        <w:rPr/>
        <w:t>报告》验证，并于</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27</w:t>
      </w:r>
      <w:r>
        <w:rPr/>
        <w:t>日办理工商变更登记。本次增资完成后的股权结构如下：</w:t>
      </w:r>
    </w:p>
    <w:p>
      <w:pPr>
        <w:spacing w:line="240" w:lineRule="auto" w:before="2"/>
        <w:rPr>
          <w:rFonts w:ascii="宋体" w:hAnsi="宋体" w:cs="宋体" w:eastAsia="宋体" w:hint="default"/>
          <w:sz w:val="3"/>
          <w:szCs w:val="3"/>
        </w:rPr>
      </w:pPr>
    </w:p>
    <w:tbl>
      <w:tblPr>
        <w:tblW w:w="0" w:type="auto"/>
        <w:jc w:val="left"/>
        <w:tblInd w:w="146" w:type="dxa"/>
        <w:tblLayout w:type="fixed"/>
        <w:tblCellMar>
          <w:top w:w="0" w:type="dxa"/>
          <w:left w:w="0" w:type="dxa"/>
          <w:bottom w:w="0" w:type="dxa"/>
          <w:right w:w="0" w:type="dxa"/>
        </w:tblCellMar>
        <w:tblLook w:val="01E0"/>
      </w:tblPr>
      <w:tblGrid>
        <w:gridCol w:w="3400"/>
        <w:gridCol w:w="3234"/>
        <w:gridCol w:w="2970"/>
      </w:tblGrid>
      <w:tr>
        <w:trPr>
          <w:trHeight w:val="427" w:hRule="exact"/>
        </w:trPr>
        <w:tc>
          <w:tcPr>
            <w:tcW w:w="340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2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799" w:right="0"/>
              <w:jc w:val="left"/>
              <w:rPr>
                <w:rFonts w:ascii="宋体" w:hAnsi="宋体" w:cs="宋体" w:eastAsia="宋体" w:hint="default"/>
                <w:sz w:val="18"/>
                <w:szCs w:val="18"/>
              </w:rPr>
            </w:pPr>
            <w:r>
              <w:rPr>
                <w:rFonts w:ascii="宋体" w:hAnsi="宋体" w:cs="宋体" w:eastAsia="宋体" w:hint="default"/>
                <w:sz w:val="18"/>
                <w:szCs w:val="18"/>
              </w:rPr>
              <w:t>出资额（人民币元）</w:t>
            </w:r>
          </w:p>
        </w:tc>
        <w:tc>
          <w:tcPr>
            <w:tcW w:w="297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1" w:right="0"/>
              <w:jc w:val="center"/>
              <w:rPr>
                <w:rFonts w:ascii="宋体" w:hAnsi="宋体" w:cs="宋体" w:eastAsia="宋体" w:hint="default"/>
                <w:sz w:val="18"/>
                <w:szCs w:val="18"/>
              </w:rPr>
            </w:pPr>
            <w:r>
              <w:rPr>
                <w:rFonts w:ascii="宋体" w:hAnsi="宋体" w:cs="宋体" w:eastAsia="宋体" w:hint="default"/>
                <w:sz w:val="18"/>
                <w:szCs w:val="18"/>
              </w:rPr>
              <w:t>出资比例</w:t>
            </w:r>
          </w:p>
        </w:tc>
      </w:tr>
      <w:tr>
        <w:trPr>
          <w:trHeight w:val="427" w:hRule="exact"/>
        </w:trPr>
        <w:tc>
          <w:tcPr>
            <w:tcW w:w="3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深圳市正达资讯技术有限公司</w:t>
            </w:r>
          </w:p>
        </w:tc>
        <w:tc>
          <w:tcPr>
            <w:tcW w:w="3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4,000,000.00</w:t>
            </w:r>
          </w:p>
        </w:tc>
        <w:tc>
          <w:tcPr>
            <w:tcW w:w="2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80.00%</w:t>
            </w:r>
          </w:p>
        </w:tc>
      </w:tr>
      <w:tr>
        <w:trPr>
          <w:trHeight w:val="427" w:hRule="exact"/>
        </w:trPr>
        <w:tc>
          <w:tcPr>
            <w:tcW w:w="3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董栋</w:t>
            </w:r>
          </w:p>
        </w:tc>
        <w:tc>
          <w:tcPr>
            <w:tcW w:w="3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2"/>
              <w:jc w:val="right"/>
              <w:rPr>
                <w:rFonts w:ascii="Times New Roman" w:hAnsi="Times New Roman" w:cs="Times New Roman" w:eastAsia="Times New Roman" w:hint="default"/>
                <w:sz w:val="18"/>
                <w:szCs w:val="18"/>
              </w:rPr>
            </w:pPr>
            <w:r>
              <w:rPr>
                <w:rFonts w:ascii="Times New Roman"/>
                <w:spacing w:val="-1"/>
                <w:sz w:val="18"/>
              </w:rPr>
              <w:t>600,000.00</w:t>
            </w:r>
          </w:p>
        </w:tc>
        <w:tc>
          <w:tcPr>
            <w:tcW w:w="2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12.00%</w:t>
            </w:r>
          </w:p>
        </w:tc>
      </w:tr>
      <w:tr>
        <w:trPr>
          <w:trHeight w:val="426" w:hRule="exact"/>
        </w:trPr>
        <w:tc>
          <w:tcPr>
            <w:tcW w:w="3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苏莹</w:t>
            </w:r>
          </w:p>
        </w:tc>
        <w:tc>
          <w:tcPr>
            <w:tcW w:w="3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spacing w:val="-1"/>
                <w:sz w:val="18"/>
              </w:rPr>
              <w:t>300,000.00</w:t>
            </w:r>
          </w:p>
        </w:tc>
        <w:tc>
          <w:tcPr>
            <w:tcW w:w="2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6.00%</w:t>
            </w:r>
          </w:p>
        </w:tc>
      </w:tr>
      <w:tr>
        <w:trPr>
          <w:trHeight w:val="428" w:hRule="exact"/>
        </w:trPr>
        <w:tc>
          <w:tcPr>
            <w:tcW w:w="3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于雪磊</w:t>
            </w:r>
          </w:p>
        </w:tc>
        <w:tc>
          <w:tcPr>
            <w:tcW w:w="3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2"/>
              <w:jc w:val="right"/>
              <w:rPr>
                <w:rFonts w:ascii="Times New Roman" w:hAnsi="Times New Roman" w:cs="Times New Roman" w:eastAsia="Times New Roman" w:hint="default"/>
                <w:sz w:val="18"/>
                <w:szCs w:val="18"/>
              </w:rPr>
            </w:pPr>
            <w:r>
              <w:rPr>
                <w:rFonts w:ascii="Times New Roman"/>
                <w:spacing w:val="-1"/>
                <w:sz w:val="18"/>
              </w:rPr>
              <w:t>100,000.00</w:t>
            </w:r>
          </w:p>
        </w:tc>
        <w:tc>
          <w:tcPr>
            <w:tcW w:w="2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2.00%</w:t>
            </w:r>
          </w:p>
        </w:tc>
      </w:tr>
      <w:tr>
        <w:trPr>
          <w:trHeight w:val="428" w:hRule="exact"/>
        </w:trPr>
        <w:tc>
          <w:tcPr>
            <w:tcW w:w="34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2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5,000,000.00</w:t>
            </w:r>
          </w:p>
        </w:tc>
        <w:tc>
          <w:tcPr>
            <w:tcW w:w="29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right="1132" w:firstLine="360"/>
        <w:jc w:val="both"/>
      </w:pPr>
      <w:r>
        <w:rPr>
          <w:rFonts w:ascii="Times New Roman" w:hAnsi="Times New Roman" w:cs="Times New Roman" w:eastAsia="Times New Roman" w:hint="default"/>
        </w:rPr>
        <w:t>2007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8</w:t>
      </w:r>
      <w:r>
        <w:rPr/>
        <w:t>日本公司股东会作出决议，公司注册资本由人民币</w:t>
      </w:r>
      <w:r>
        <w:rPr>
          <w:rFonts w:ascii="Times New Roman" w:hAnsi="Times New Roman" w:cs="Times New Roman" w:eastAsia="Times New Roman" w:hint="default"/>
        </w:rPr>
        <w:t>500.00</w:t>
      </w:r>
      <w:r>
        <w:rPr/>
        <w:t>万元增加至人民币</w:t>
      </w:r>
      <w:r>
        <w:rPr>
          <w:rFonts w:ascii="Times New Roman" w:hAnsi="Times New Roman" w:cs="Times New Roman" w:eastAsia="Times New Roman" w:hint="default"/>
        </w:rPr>
        <w:t>1,000.00</w:t>
      </w:r>
      <w:r>
        <w:rPr/>
        <w:t>万元，新增注册资本人 </w:t>
      </w:r>
      <w:r>
        <w:rPr>
          <w:spacing w:val="-2"/>
        </w:rPr>
        <w:t>民币</w:t>
      </w:r>
      <w:r>
        <w:rPr>
          <w:rFonts w:ascii="Times New Roman" w:hAnsi="Times New Roman" w:cs="Times New Roman" w:eastAsia="Times New Roman" w:hint="default"/>
          <w:spacing w:val="-2"/>
        </w:rPr>
        <w:t>500.00</w:t>
      </w:r>
      <w:r>
        <w:rPr>
          <w:spacing w:val="-2"/>
        </w:rPr>
        <w:t>万元，全部由深圳正达资讯公司缴纳。该项增资业经深圳皇嘉会计师事务所出具的深皇嘉所验字</w:t>
      </w:r>
      <w:r>
        <w:rPr>
          <w:rFonts w:ascii="Times New Roman" w:hAnsi="Times New Roman" w:cs="Times New Roman" w:eastAsia="Times New Roman" w:hint="default"/>
          <w:spacing w:val="-2"/>
        </w:rPr>
        <w:t>[2007]264</w:t>
      </w:r>
      <w:r>
        <w:rPr>
          <w:spacing w:val="-2"/>
        </w:rPr>
        <w:t>号《验</w:t>
      </w:r>
      <w:r>
        <w:rPr>
          <w:spacing w:val="-37"/>
        </w:rPr>
        <w:t> </w:t>
      </w:r>
      <w:r>
        <w:rPr>
          <w:spacing w:val="-37"/>
        </w:rPr>
      </w:r>
      <w:r>
        <w:rPr/>
        <w:t>资报告》验证，并于</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16</w:t>
      </w:r>
      <w:r>
        <w:rPr/>
        <w:t>日办理工商变更登记。本次增资完成后的股权结构如下：</w:t>
      </w:r>
    </w:p>
    <w:p>
      <w:pPr>
        <w:spacing w:line="240" w:lineRule="auto" w:before="1"/>
        <w:rPr>
          <w:rFonts w:ascii="宋体" w:hAnsi="宋体" w:cs="宋体" w:eastAsia="宋体" w:hint="default"/>
          <w:sz w:val="4"/>
          <w:szCs w:val="4"/>
        </w:rPr>
      </w:pPr>
    </w:p>
    <w:tbl>
      <w:tblPr>
        <w:tblW w:w="0" w:type="auto"/>
        <w:jc w:val="left"/>
        <w:tblInd w:w="146" w:type="dxa"/>
        <w:tblLayout w:type="fixed"/>
        <w:tblCellMar>
          <w:top w:w="0" w:type="dxa"/>
          <w:left w:w="0" w:type="dxa"/>
          <w:bottom w:w="0" w:type="dxa"/>
          <w:right w:w="0" w:type="dxa"/>
        </w:tblCellMar>
        <w:tblLook w:val="01E0"/>
      </w:tblPr>
      <w:tblGrid>
        <w:gridCol w:w="3426"/>
        <w:gridCol w:w="3248"/>
        <w:gridCol w:w="3008"/>
      </w:tblGrid>
      <w:tr>
        <w:trPr>
          <w:trHeight w:val="415" w:hRule="exact"/>
        </w:trPr>
        <w:tc>
          <w:tcPr>
            <w:tcW w:w="342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24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9"/>
              <w:ind w:left="805" w:right="0"/>
              <w:jc w:val="left"/>
              <w:rPr>
                <w:rFonts w:ascii="宋体" w:hAnsi="宋体" w:cs="宋体" w:eastAsia="宋体" w:hint="default"/>
                <w:sz w:val="18"/>
                <w:szCs w:val="18"/>
              </w:rPr>
            </w:pPr>
            <w:r>
              <w:rPr>
                <w:rFonts w:ascii="宋体" w:hAnsi="宋体" w:cs="宋体" w:eastAsia="宋体" w:hint="default"/>
                <w:sz w:val="18"/>
                <w:szCs w:val="18"/>
              </w:rPr>
              <w:t>出资额（人民币元）</w:t>
            </w:r>
          </w:p>
        </w:tc>
        <w:tc>
          <w:tcPr>
            <w:tcW w:w="300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出资比例</w:t>
            </w:r>
          </w:p>
        </w:tc>
      </w:tr>
      <w:tr>
        <w:trPr>
          <w:trHeight w:val="427" w:hRule="exact"/>
        </w:trPr>
        <w:tc>
          <w:tcPr>
            <w:tcW w:w="3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深圳市正达资讯技术有限公司</w:t>
            </w:r>
          </w:p>
        </w:tc>
        <w:tc>
          <w:tcPr>
            <w:tcW w:w="3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9,000,000.00</w:t>
            </w:r>
          </w:p>
        </w:tc>
        <w:tc>
          <w:tcPr>
            <w:tcW w:w="3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90.00%</w:t>
            </w:r>
          </w:p>
        </w:tc>
      </w:tr>
      <w:tr>
        <w:trPr>
          <w:trHeight w:val="427" w:hRule="exact"/>
        </w:trPr>
        <w:tc>
          <w:tcPr>
            <w:tcW w:w="3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董栋</w:t>
            </w:r>
          </w:p>
        </w:tc>
        <w:tc>
          <w:tcPr>
            <w:tcW w:w="3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2"/>
              <w:jc w:val="right"/>
              <w:rPr>
                <w:rFonts w:ascii="Times New Roman" w:hAnsi="Times New Roman" w:cs="Times New Roman" w:eastAsia="Times New Roman" w:hint="default"/>
                <w:sz w:val="18"/>
                <w:szCs w:val="18"/>
              </w:rPr>
            </w:pPr>
            <w:r>
              <w:rPr>
                <w:rFonts w:ascii="Times New Roman"/>
                <w:spacing w:val="-1"/>
                <w:sz w:val="18"/>
              </w:rPr>
              <w:t>600,000.00</w:t>
            </w:r>
          </w:p>
        </w:tc>
        <w:tc>
          <w:tcPr>
            <w:tcW w:w="3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6.00%</w:t>
            </w:r>
          </w:p>
        </w:tc>
      </w:tr>
      <w:tr>
        <w:trPr>
          <w:trHeight w:val="427" w:hRule="exact"/>
        </w:trPr>
        <w:tc>
          <w:tcPr>
            <w:tcW w:w="3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苏莹</w:t>
            </w:r>
          </w:p>
        </w:tc>
        <w:tc>
          <w:tcPr>
            <w:tcW w:w="3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2"/>
              <w:jc w:val="right"/>
              <w:rPr>
                <w:rFonts w:ascii="Times New Roman" w:hAnsi="Times New Roman" w:cs="Times New Roman" w:eastAsia="Times New Roman" w:hint="default"/>
                <w:sz w:val="18"/>
                <w:szCs w:val="18"/>
              </w:rPr>
            </w:pPr>
            <w:r>
              <w:rPr>
                <w:rFonts w:ascii="Times New Roman"/>
                <w:spacing w:val="-1"/>
                <w:sz w:val="18"/>
              </w:rPr>
              <w:t>300,000.00</w:t>
            </w:r>
          </w:p>
        </w:tc>
        <w:tc>
          <w:tcPr>
            <w:tcW w:w="3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3.00%</w:t>
            </w:r>
          </w:p>
        </w:tc>
      </w:tr>
      <w:tr>
        <w:trPr>
          <w:trHeight w:val="426" w:hRule="exact"/>
        </w:trPr>
        <w:tc>
          <w:tcPr>
            <w:tcW w:w="3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于雪磊</w:t>
            </w:r>
          </w:p>
        </w:tc>
        <w:tc>
          <w:tcPr>
            <w:tcW w:w="3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2"/>
              <w:jc w:val="right"/>
              <w:rPr>
                <w:rFonts w:ascii="Times New Roman" w:hAnsi="Times New Roman" w:cs="Times New Roman" w:eastAsia="Times New Roman" w:hint="default"/>
                <w:sz w:val="18"/>
                <w:szCs w:val="18"/>
              </w:rPr>
            </w:pPr>
            <w:r>
              <w:rPr>
                <w:rFonts w:ascii="Times New Roman"/>
                <w:spacing w:val="-1"/>
                <w:sz w:val="18"/>
              </w:rPr>
              <w:t>100,000.00</w:t>
            </w:r>
          </w:p>
        </w:tc>
        <w:tc>
          <w:tcPr>
            <w:tcW w:w="3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1.00%</w:t>
            </w:r>
          </w:p>
        </w:tc>
      </w:tr>
      <w:tr>
        <w:trPr>
          <w:trHeight w:val="428" w:hRule="exact"/>
        </w:trPr>
        <w:tc>
          <w:tcPr>
            <w:tcW w:w="3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2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10,000,000.00</w:t>
            </w:r>
          </w:p>
        </w:tc>
        <w:tc>
          <w:tcPr>
            <w:tcW w:w="30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100.00%</w:t>
            </w:r>
          </w:p>
        </w:tc>
      </w:tr>
    </w:tbl>
    <w:p>
      <w:pPr>
        <w:pStyle w:val="BodyText"/>
        <w:spacing w:line="300" w:lineRule="auto" w:before="51"/>
        <w:ind w:right="1131" w:firstLine="360"/>
        <w:jc w:val="both"/>
      </w:pPr>
      <w:r>
        <w:rPr>
          <w:rFonts w:ascii="Times New Roman" w:hAnsi="Times New Roman" w:cs="Times New Roman" w:eastAsia="Times New Roman" w:hint="default"/>
          <w:spacing w:val="-1"/>
        </w:rPr>
        <w:t>2007</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30</w:t>
      </w:r>
      <w:r>
        <w:rPr>
          <w:spacing w:val="-1"/>
        </w:rPr>
        <w:t>日本公司股东会作出决议，同意于雪磊、董栋、苏莹将其持有本公司</w:t>
      </w:r>
      <w:r>
        <w:rPr>
          <w:rFonts w:ascii="Times New Roman" w:hAnsi="Times New Roman" w:cs="Times New Roman" w:eastAsia="Times New Roman" w:hint="default"/>
          <w:spacing w:val="-1"/>
        </w:rPr>
        <w:t>1.00%</w:t>
      </w:r>
      <w:r>
        <w:rPr>
          <w:spacing w:val="-1"/>
        </w:rPr>
        <w:t>、</w:t>
      </w:r>
      <w:r>
        <w:rPr>
          <w:rFonts w:ascii="Times New Roman" w:hAnsi="Times New Roman" w:cs="Times New Roman" w:eastAsia="Times New Roman" w:hint="default"/>
          <w:spacing w:val="-1"/>
        </w:rPr>
        <w:t>6.00%</w:t>
      </w:r>
      <w:r>
        <w:rPr>
          <w:spacing w:val="-1"/>
        </w:rPr>
        <w:t>、</w:t>
      </w:r>
      <w:r>
        <w:rPr>
          <w:rFonts w:ascii="Times New Roman" w:hAnsi="Times New Roman" w:cs="Times New Roman" w:eastAsia="Times New Roman" w:hint="default"/>
          <w:spacing w:val="-1"/>
        </w:rPr>
        <w:t>3.00%</w:t>
      </w:r>
      <w:r>
        <w:rPr>
          <w:spacing w:val="-1"/>
        </w:rPr>
        <w:t>的股权分别以</w:t>
      </w:r>
      <w:r>
        <w:rPr/>
        <w:t> </w:t>
      </w:r>
      <w:r>
        <w:rPr>
          <w:spacing w:val="-1"/>
        </w:rPr>
        <w:t>人民币</w:t>
      </w:r>
      <w:r>
        <w:rPr>
          <w:rFonts w:ascii="Times New Roman" w:hAnsi="Times New Roman" w:cs="Times New Roman" w:eastAsia="Times New Roman" w:hint="default"/>
          <w:spacing w:val="-1"/>
        </w:rPr>
        <w:t>10.00</w:t>
      </w:r>
      <w:r>
        <w:rPr>
          <w:spacing w:val="-1"/>
        </w:rPr>
        <w:t>万元、</w:t>
      </w:r>
      <w:r>
        <w:rPr>
          <w:rFonts w:ascii="Times New Roman" w:hAnsi="Times New Roman" w:cs="Times New Roman" w:eastAsia="Times New Roman" w:hint="default"/>
          <w:spacing w:val="-1"/>
        </w:rPr>
        <w:t>60.00</w:t>
      </w:r>
      <w:r>
        <w:rPr>
          <w:spacing w:val="-1"/>
        </w:rPr>
        <w:t>万元、</w:t>
      </w:r>
      <w:r>
        <w:rPr>
          <w:rFonts w:ascii="Times New Roman" w:hAnsi="Times New Roman" w:cs="Times New Roman" w:eastAsia="Times New Roman" w:hint="default"/>
          <w:spacing w:val="-1"/>
        </w:rPr>
        <w:t>30.00</w:t>
      </w:r>
      <w:r>
        <w:rPr>
          <w:spacing w:val="-1"/>
        </w:rPr>
        <w:t>万元的价格转让给深圳正达资讯公司，并于</w:t>
      </w:r>
      <w:r>
        <w:rPr>
          <w:rFonts w:ascii="Times New Roman" w:hAnsi="Times New Roman" w:cs="Times New Roman" w:eastAsia="Times New Roman" w:hint="default"/>
          <w:spacing w:val="-1"/>
        </w:rPr>
        <w:t>2008</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18</w:t>
      </w:r>
      <w:r>
        <w:rPr>
          <w:spacing w:val="-1"/>
        </w:rPr>
        <w:t>日办理工商变更登记。本次股</w:t>
      </w:r>
      <w:r>
        <w:rPr>
          <w:spacing w:val="-66"/>
        </w:rPr>
        <w:t> </w:t>
      </w:r>
      <w:r>
        <w:rPr>
          <w:spacing w:val="-66"/>
        </w:rPr>
      </w:r>
      <w:r>
        <w:rPr/>
        <w:t>权转让完成后，深圳正达资讯公司持有本公司</w:t>
      </w:r>
      <w:r>
        <w:rPr>
          <w:rFonts w:ascii="Times New Roman" w:hAnsi="Times New Roman" w:cs="Times New Roman" w:eastAsia="Times New Roman" w:hint="default"/>
        </w:rPr>
        <w:t>100.00%</w:t>
      </w:r>
      <w:r>
        <w:rPr/>
        <w:t>股权。</w:t>
      </w:r>
    </w:p>
    <w:p>
      <w:pPr>
        <w:pStyle w:val="BodyText"/>
        <w:spacing w:line="300" w:lineRule="auto" w:before="51"/>
        <w:ind w:right="1134" w:firstLine="360"/>
        <w:jc w:val="left"/>
      </w:pPr>
      <w:r>
        <w:rPr>
          <w:rFonts w:ascii="Times New Roman" w:hAnsi="Times New Roman" w:cs="Times New Roman" w:eastAsia="Times New Roman" w:hint="default"/>
        </w:rPr>
        <w:t>2009</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28</w:t>
      </w:r>
      <w:r>
        <w:rPr/>
        <w:t>日本公司股东会作出决议，同意深圳正达资讯公司将其持有本公司</w:t>
      </w:r>
      <w:r>
        <w:rPr>
          <w:rFonts w:ascii="Times New Roman" w:hAnsi="Times New Roman" w:cs="Times New Roman" w:eastAsia="Times New Roman" w:hint="default"/>
        </w:rPr>
        <w:t>100.00%</w:t>
      </w:r>
      <w:r>
        <w:rPr/>
        <w:t>的股权以人民币</w:t>
      </w:r>
      <w:r>
        <w:rPr>
          <w:rFonts w:ascii="Times New Roman" w:hAnsi="Times New Roman" w:cs="Times New Roman" w:eastAsia="Times New Roman" w:hint="default"/>
        </w:rPr>
        <w:t>1,000.00</w:t>
      </w:r>
      <w:r>
        <w:rPr/>
        <w:t>万元 </w:t>
      </w:r>
      <w:r>
        <w:rPr>
          <w:spacing w:val="-2"/>
        </w:rPr>
        <w:t>的价格转让给深圳市宏运兴科技有限公司（以下简称</w:t>
      </w:r>
      <w:r>
        <w:rPr>
          <w:rFonts w:ascii="Times New Roman" w:hAnsi="Times New Roman" w:cs="Times New Roman" w:eastAsia="Times New Roman" w:hint="default"/>
          <w:spacing w:val="-2"/>
        </w:rPr>
        <w:t>“</w:t>
      </w:r>
      <w:r>
        <w:rPr>
          <w:spacing w:val="-2"/>
        </w:rPr>
        <w:t>深圳宏运兴公司</w:t>
      </w:r>
      <w:r>
        <w:rPr>
          <w:rFonts w:ascii="Times New Roman" w:hAnsi="Times New Roman" w:cs="Times New Roman" w:eastAsia="Times New Roman" w:hint="default"/>
          <w:spacing w:val="-2"/>
        </w:rPr>
        <w:t>”</w:t>
      </w:r>
      <w:r>
        <w:rPr>
          <w:spacing w:val="-2"/>
        </w:rPr>
        <w:t>），并于</w:t>
      </w:r>
      <w:r>
        <w:rPr>
          <w:rFonts w:ascii="Times New Roman" w:hAnsi="Times New Roman" w:cs="Times New Roman" w:eastAsia="Times New Roman" w:hint="default"/>
          <w:spacing w:val="-2"/>
        </w:rPr>
        <w:t>2010</w:t>
      </w:r>
      <w:r>
        <w:rPr>
          <w:spacing w:val="-2"/>
        </w:rPr>
        <w:t>年</w:t>
      </w:r>
      <w:r>
        <w:rPr>
          <w:rFonts w:ascii="Times New Roman" w:hAnsi="Times New Roman" w:cs="Times New Roman" w:eastAsia="Times New Roman" w:hint="default"/>
          <w:spacing w:val="-2"/>
        </w:rPr>
        <w:t>3</w:t>
      </w:r>
      <w:r>
        <w:rPr>
          <w:spacing w:val="-2"/>
        </w:rPr>
        <w:t>月</w:t>
      </w:r>
      <w:r>
        <w:rPr>
          <w:rFonts w:ascii="Times New Roman" w:hAnsi="Times New Roman" w:cs="Times New Roman" w:eastAsia="Times New Roman" w:hint="default"/>
          <w:spacing w:val="-2"/>
        </w:rPr>
        <w:t>9</w:t>
      </w:r>
      <w:r>
        <w:rPr>
          <w:spacing w:val="-2"/>
        </w:rPr>
        <w:t>日办理工商变更登记。本次股权</w:t>
      </w:r>
      <w:r>
        <w:rPr>
          <w:spacing w:val="-38"/>
        </w:rPr>
        <w:t> </w:t>
      </w:r>
      <w:r>
        <w:rPr>
          <w:spacing w:val="-38"/>
        </w:rPr>
      </w:r>
      <w:r>
        <w:rPr/>
        <w:t>转让完成后，深圳宏运兴公司持有本公司</w:t>
      </w:r>
      <w:r>
        <w:rPr>
          <w:rFonts w:ascii="Times New Roman" w:hAnsi="Times New Roman" w:cs="Times New Roman" w:eastAsia="Times New Roman" w:hint="default"/>
        </w:rPr>
        <w:t>100.00%</w:t>
      </w:r>
      <w:r>
        <w:rPr/>
        <w:t>股权。</w:t>
      </w:r>
    </w:p>
    <w:p>
      <w:pPr>
        <w:pStyle w:val="BodyText"/>
        <w:spacing w:line="300" w:lineRule="auto" w:before="52"/>
        <w:ind w:right="1158" w:firstLine="360"/>
        <w:jc w:val="both"/>
      </w:pPr>
      <w:r>
        <w:rPr>
          <w:rFonts w:ascii="Times New Roman" w:hAnsi="Times New Roman" w:cs="Times New Roman" w:eastAsia="Times New Roman" w:hint="default"/>
        </w:rPr>
        <w:t>2011</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12</w:t>
      </w:r>
      <w:r>
        <w:rPr/>
        <w:t>日本公司股东会作出决议，同意深圳宏运兴公司将其持有本公司</w:t>
      </w:r>
      <w:r>
        <w:rPr>
          <w:rFonts w:ascii="Times New Roman" w:hAnsi="Times New Roman" w:cs="Times New Roman" w:eastAsia="Times New Roman" w:hint="default"/>
        </w:rPr>
        <w:t>10.00%</w:t>
      </w:r>
      <w:r>
        <w:rPr/>
        <w:t>的股权以</w:t>
      </w:r>
      <w:r>
        <w:rPr>
          <w:rFonts w:ascii="Times New Roman" w:hAnsi="Times New Roman" w:cs="Times New Roman" w:eastAsia="Times New Roman" w:hint="default"/>
        </w:rPr>
        <w:t>100.00</w:t>
      </w:r>
      <w:r>
        <w:rPr/>
        <w:t>万元的价格转让给 深圳市博讯投资有限公司（以下简称</w:t>
      </w:r>
      <w:r>
        <w:rPr>
          <w:rFonts w:ascii="Times New Roman" w:hAnsi="Times New Roman" w:cs="Times New Roman" w:eastAsia="Times New Roman" w:hint="default"/>
        </w:rPr>
        <w:t>“</w:t>
      </w:r>
      <w:r>
        <w:rPr/>
        <w:t>深圳博讯投资公司</w:t>
      </w:r>
      <w:r>
        <w:rPr>
          <w:rFonts w:ascii="Times New Roman" w:hAnsi="Times New Roman" w:cs="Times New Roman" w:eastAsia="Times New Roman" w:hint="default"/>
        </w:rPr>
        <w:t>”</w:t>
      </w:r>
      <w:r>
        <w:rPr/>
        <w:t>），并于</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19</w:t>
      </w:r>
      <w:r>
        <w:rPr/>
        <w:t>日办理工商变更登记。本次股权转让完成后 的股权结构如下：</w:t>
      </w:r>
    </w:p>
    <w:p>
      <w:pPr>
        <w:spacing w:line="240" w:lineRule="auto" w:before="7"/>
        <w:rPr>
          <w:rFonts w:ascii="宋体" w:hAnsi="宋体" w:cs="宋体" w:eastAsia="宋体" w:hint="default"/>
          <w:sz w:val="4"/>
          <w:szCs w:val="4"/>
        </w:rPr>
      </w:pPr>
    </w:p>
    <w:tbl>
      <w:tblPr>
        <w:tblW w:w="0" w:type="auto"/>
        <w:jc w:val="left"/>
        <w:tblInd w:w="146" w:type="dxa"/>
        <w:tblLayout w:type="fixed"/>
        <w:tblCellMar>
          <w:top w:w="0" w:type="dxa"/>
          <w:left w:w="0" w:type="dxa"/>
          <w:bottom w:w="0" w:type="dxa"/>
          <w:right w:w="0" w:type="dxa"/>
        </w:tblCellMar>
        <w:tblLook w:val="01E0"/>
      </w:tblPr>
      <w:tblGrid>
        <w:gridCol w:w="3382"/>
        <w:gridCol w:w="3167"/>
        <w:gridCol w:w="3040"/>
      </w:tblGrid>
      <w:tr>
        <w:trPr>
          <w:trHeight w:val="427" w:hRule="exact"/>
        </w:trPr>
        <w:tc>
          <w:tcPr>
            <w:tcW w:w="338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16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767" w:right="0"/>
              <w:jc w:val="left"/>
              <w:rPr>
                <w:rFonts w:ascii="宋体" w:hAnsi="宋体" w:cs="宋体" w:eastAsia="宋体" w:hint="default"/>
                <w:sz w:val="18"/>
                <w:szCs w:val="18"/>
              </w:rPr>
            </w:pPr>
            <w:r>
              <w:rPr>
                <w:rFonts w:ascii="宋体" w:hAnsi="宋体" w:cs="宋体" w:eastAsia="宋体" w:hint="default"/>
                <w:sz w:val="18"/>
                <w:szCs w:val="18"/>
              </w:rPr>
              <w:t>出资额（人民币元）</w:t>
            </w:r>
          </w:p>
        </w:tc>
        <w:tc>
          <w:tcPr>
            <w:tcW w:w="304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出资比例</w:t>
            </w:r>
          </w:p>
        </w:tc>
      </w:tr>
      <w:tr>
        <w:trPr>
          <w:trHeight w:val="428" w:hRule="exact"/>
        </w:trPr>
        <w:tc>
          <w:tcPr>
            <w:tcW w:w="33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深圳市宏运兴科技有限公司</w:t>
            </w:r>
          </w:p>
        </w:tc>
        <w:tc>
          <w:tcPr>
            <w:tcW w:w="31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9,000,000.00</w:t>
            </w:r>
          </w:p>
        </w:tc>
        <w:tc>
          <w:tcPr>
            <w:tcW w:w="3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90.00%</w:t>
            </w:r>
          </w:p>
        </w:tc>
      </w:tr>
      <w:tr>
        <w:trPr>
          <w:trHeight w:val="427" w:hRule="exact"/>
        </w:trPr>
        <w:tc>
          <w:tcPr>
            <w:tcW w:w="33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深圳市博讯投资有限公司</w:t>
            </w:r>
          </w:p>
        </w:tc>
        <w:tc>
          <w:tcPr>
            <w:tcW w:w="31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1,000,000.00</w:t>
            </w:r>
          </w:p>
        </w:tc>
        <w:tc>
          <w:tcPr>
            <w:tcW w:w="3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10.00%</w:t>
            </w:r>
          </w:p>
        </w:tc>
      </w:tr>
      <w:tr>
        <w:trPr>
          <w:trHeight w:val="427" w:hRule="exact"/>
        </w:trPr>
        <w:tc>
          <w:tcPr>
            <w:tcW w:w="33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16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10,000,000.00</w:t>
            </w:r>
          </w:p>
        </w:tc>
        <w:tc>
          <w:tcPr>
            <w:tcW w:w="30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5"/>
        <w:rPr>
          <w:rFonts w:ascii="宋体" w:hAnsi="宋体" w:cs="宋体" w:eastAsia="宋体" w:hint="default"/>
          <w:sz w:val="27"/>
          <w:szCs w:val="27"/>
        </w:rPr>
      </w:pPr>
    </w:p>
    <w:p>
      <w:pPr>
        <w:pStyle w:val="BodyText"/>
        <w:spacing w:line="300" w:lineRule="auto" w:before="44"/>
        <w:ind w:right="1131" w:firstLine="360"/>
        <w:jc w:val="both"/>
      </w:pP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7</w:t>
      </w:r>
      <w:r>
        <w:rPr>
          <w:spacing w:val="-1"/>
        </w:rPr>
        <w:t>月</w:t>
      </w:r>
      <w:r>
        <w:rPr>
          <w:rFonts w:ascii="Times New Roman" w:hAnsi="Times New Roman" w:cs="Times New Roman" w:eastAsia="Times New Roman" w:hint="default"/>
          <w:spacing w:val="-1"/>
        </w:rPr>
        <w:t>25</w:t>
      </w:r>
      <w:r>
        <w:rPr>
          <w:spacing w:val="-1"/>
        </w:rPr>
        <w:t>日，本公司股东会通过决议，同意深圳宏运兴公司将其持有本公司</w:t>
      </w:r>
      <w:r>
        <w:rPr>
          <w:rFonts w:ascii="Times New Roman" w:hAnsi="Times New Roman" w:cs="Times New Roman" w:eastAsia="Times New Roman" w:hint="default"/>
          <w:spacing w:val="-1"/>
        </w:rPr>
        <w:t>8.00%</w:t>
      </w:r>
      <w:r>
        <w:rPr>
          <w:spacing w:val="-1"/>
        </w:rPr>
        <w:t>的股权以人民币</w:t>
      </w:r>
      <w:r>
        <w:rPr>
          <w:rFonts w:ascii="Times New Roman" w:hAnsi="Times New Roman" w:cs="Times New Roman" w:eastAsia="Times New Roman" w:hint="default"/>
          <w:spacing w:val="-1"/>
        </w:rPr>
        <w:t>208.00</w:t>
      </w:r>
      <w:r>
        <w:rPr>
          <w:spacing w:val="-1"/>
        </w:rPr>
        <w:t>万元等值港</w:t>
      </w:r>
      <w:r>
        <w:rPr/>
        <w:t> 币转让给亚晟发展集团有限公司（以下简称</w:t>
      </w:r>
      <w:r>
        <w:rPr>
          <w:rFonts w:ascii="Times New Roman" w:hAnsi="Times New Roman" w:cs="Times New Roman" w:eastAsia="Times New Roman" w:hint="default"/>
        </w:rPr>
        <w:t>“</w:t>
      </w:r>
      <w:r>
        <w:rPr/>
        <w:t>亚晟公司</w:t>
      </w:r>
      <w:r>
        <w:rPr>
          <w:rFonts w:ascii="Times New Roman" w:hAnsi="Times New Roman" w:cs="Times New Roman" w:eastAsia="Times New Roman" w:hint="default"/>
        </w:rPr>
        <w:t>”</w:t>
      </w:r>
      <w:r>
        <w:rPr/>
        <w:t>）；将其持有公司</w:t>
      </w:r>
      <w:r>
        <w:rPr>
          <w:rFonts w:ascii="Times New Roman" w:hAnsi="Times New Roman" w:cs="Times New Roman" w:eastAsia="Times New Roman" w:hint="default"/>
        </w:rPr>
        <w:t>4.00%</w:t>
      </w:r>
      <w:r>
        <w:rPr/>
        <w:t>的股权以人民币</w:t>
      </w:r>
      <w:r>
        <w:rPr>
          <w:rFonts w:ascii="Times New Roman" w:hAnsi="Times New Roman" w:cs="Times New Roman" w:eastAsia="Times New Roman" w:hint="default"/>
        </w:rPr>
        <w:t>104.00</w:t>
      </w:r>
      <w:r>
        <w:rPr/>
        <w:t>万元等值港币转让给 </w:t>
      </w:r>
      <w:r>
        <w:rPr>
          <w:spacing w:val="-2"/>
        </w:rPr>
        <w:t>斯隆新产品投资有限公司（以下简称</w:t>
      </w:r>
      <w:r>
        <w:rPr>
          <w:rFonts w:ascii="Times New Roman" w:hAnsi="Times New Roman" w:cs="Times New Roman" w:eastAsia="Times New Roman" w:hint="default"/>
          <w:spacing w:val="-2"/>
        </w:rPr>
        <w:t>“</w:t>
      </w:r>
      <w:r>
        <w:rPr>
          <w:spacing w:val="-2"/>
        </w:rPr>
        <w:t>斯隆公司</w:t>
      </w:r>
      <w:r>
        <w:rPr>
          <w:rFonts w:ascii="Times New Roman" w:hAnsi="Times New Roman" w:cs="Times New Roman" w:eastAsia="Times New Roman" w:hint="default"/>
          <w:spacing w:val="-2"/>
        </w:rPr>
        <w:t>”</w:t>
      </w:r>
      <w:r>
        <w:rPr>
          <w:spacing w:val="-2"/>
        </w:rPr>
        <w:t>），并于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9</w:t>
      </w:r>
      <w:r>
        <w:rPr>
          <w:spacing w:val="-2"/>
        </w:rPr>
        <w:t>月</w:t>
      </w:r>
      <w:r>
        <w:rPr>
          <w:rFonts w:ascii="Times New Roman" w:hAnsi="Times New Roman" w:cs="Times New Roman" w:eastAsia="Times New Roman" w:hint="default"/>
          <w:spacing w:val="-2"/>
        </w:rPr>
        <w:t>9</w:t>
      </w:r>
      <w:r>
        <w:rPr>
          <w:spacing w:val="-2"/>
        </w:rPr>
        <w:t>日办理工商变更登记。本次股权转让完成后的股权结构</w:t>
      </w:r>
      <w:r>
        <w:rPr>
          <w:spacing w:val="-38"/>
        </w:rPr>
        <w:t> </w:t>
      </w:r>
      <w:r>
        <w:rPr>
          <w:spacing w:val="-38"/>
        </w:rPr>
      </w:r>
      <w:r>
        <w:rPr/>
        <w:t>如下：</w:t>
      </w:r>
    </w:p>
    <w:p>
      <w:pPr>
        <w:spacing w:line="240" w:lineRule="auto" w:before="6"/>
        <w:rPr>
          <w:rFonts w:ascii="宋体" w:hAnsi="宋体" w:cs="宋体" w:eastAsia="宋体"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3399"/>
        <w:gridCol w:w="3201"/>
        <w:gridCol w:w="3064"/>
      </w:tblGrid>
      <w:tr>
        <w:trPr>
          <w:trHeight w:val="409" w:hRule="exact"/>
        </w:trPr>
        <w:tc>
          <w:tcPr>
            <w:tcW w:w="339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9"/>
              <w:ind w:right="1"/>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20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9"/>
              <w:ind w:left="782" w:right="0"/>
              <w:jc w:val="left"/>
              <w:rPr>
                <w:rFonts w:ascii="宋体" w:hAnsi="宋体" w:cs="宋体" w:eastAsia="宋体" w:hint="default"/>
                <w:sz w:val="18"/>
                <w:szCs w:val="18"/>
              </w:rPr>
            </w:pPr>
            <w:r>
              <w:rPr>
                <w:rFonts w:ascii="宋体" w:hAnsi="宋体" w:cs="宋体" w:eastAsia="宋体" w:hint="default"/>
                <w:sz w:val="18"/>
                <w:szCs w:val="18"/>
              </w:rPr>
              <w:t>出资额（人民币元）</w:t>
            </w:r>
          </w:p>
        </w:tc>
        <w:tc>
          <w:tcPr>
            <w:tcW w:w="306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出资比例</w:t>
            </w:r>
          </w:p>
        </w:tc>
      </w:tr>
      <w:tr>
        <w:trPr>
          <w:trHeight w:val="433" w:hRule="exact"/>
        </w:trPr>
        <w:tc>
          <w:tcPr>
            <w:tcW w:w="3399"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深圳市宏运兴科技有限公司</w:t>
            </w:r>
          </w:p>
        </w:tc>
        <w:tc>
          <w:tcPr>
            <w:tcW w:w="3201"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7,800,000.00</w:t>
            </w:r>
          </w:p>
        </w:tc>
        <w:tc>
          <w:tcPr>
            <w:tcW w:w="3064"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78.00%</w:t>
            </w:r>
          </w:p>
        </w:tc>
      </w:tr>
      <w:tr>
        <w:trPr>
          <w:trHeight w:val="426" w:hRule="exact"/>
        </w:trPr>
        <w:tc>
          <w:tcPr>
            <w:tcW w:w="3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深圳市博讯投资有限公司</w:t>
            </w:r>
          </w:p>
        </w:tc>
        <w:tc>
          <w:tcPr>
            <w:tcW w:w="32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1,000,000.00</w:t>
            </w:r>
          </w:p>
        </w:tc>
        <w:tc>
          <w:tcPr>
            <w:tcW w:w="3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10.00%</w:t>
            </w:r>
          </w:p>
        </w:tc>
      </w:tr>
      <w:tr>
        <w:trPr>
          <w:trHeight w:val="427" w:hRule="exact"/>
        </w:trPr>
        <w:tc>
          <w:tcPr>
            <w:tcW w:w="3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亚晟发展集团有限公司</w:t>
            </w:r>
          </w:p>
        </w:tc>
        <w:tc>
          <w:tcPr>
            <w:tcW w:w="32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800,000.00</w:t>
            </w:r>
          </w:p>
        </w:tc>
        <w:tc>
          <w:tcPr>
            <w:tcW w:w="3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8.00%</w:t>
            </w:r>
          </w:p>
        </w:tc>
      </w:tr>
      <w:tr>
        <w:trPr>
          <w:trHeight w:val="427" w:hRule="exact"/>
        </w:trPr>
        <w:tc>
          <w:tcPr>
            <w:tcW w:w="3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斯隆新产品投资有限公司</w:t>
            </w:r>
          </w:p>
        </w:tc>
        <w:tc>
          <w:tcPr>
            <w:tcW w:w="32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400,000.00</w:t>
            </w:r>
          </w:p>
        </w:tc>
        <w:tc>
          <w:tcPr>
            <w:tcW w:w="3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4.00%</w:t>
            </w:r>
          </w:p>
        </w:tc>
      </w:tr>
      <w:tr>
        <w:trPr>
          <w:trHeight w:val="427" w:hRule="exact"/>
        </w:trPr>
        <w:tc>
          <w:tcPr>
            <w:tcW w:w="33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5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20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10,000,000.00</w:t>
            </w:r>
          </w:p>
        </w:tc>
        <w:tc>
          <w:tcPr>
            <w:tcW w:w="306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6"/>
        <w:rPr>
          <w:rFonts w:ascii="宋体" w:hAnsi="宋体" w:cs="宋体" w:eastAsia="宋体" w:hint="default"/>
          <w:sz w:val="27"/>
          <w:szCs w:val="27"/>
        </w:rPr>
      </w:pPr>
    </w:p>
    <w:p>
      <w:pPr>
        <w:pStyle w:val="BodyText"/>
        <w:spacing w:line="300" w:lineRule="auto" w:before="44"/>
        <w:ind w:right="1129" w:firstLine="360"/>
        <w:jc w:val="both"/>
      </w:pP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9</w:t>
      </w:r>
      <w:r>
        <w:rPr>
          <w:spacing w:val="-1"/>
        </w:rPr>
        <w:t>月</w:t>
      </w:r>
      <w:r>
        <w:rPr>
          <w:rFonts w:ascii="Times New Roman" w:hAnsi="Times New Roman" w:cs="Times New Roman" w:eastAsia="Times New Roman" w:hint="default"/>
          <w:spacing w:val="-1"/>
        </w:rPr>
        <w:t>15</w:t>
      </w:r>
      <w:r>
        <w:rPr>
          <w:spacing w:val="-1"/>
        </w:rPr>
        <w:t>日，本公司董事会通过决议，同意深圳宏运兴公司将其持有本公司</w:t>
      </w:r>
      <w:r>
        <w:rPr>
          <w:rFonts w:ascii="Times New Roman" w:hAnsi="Times New Roman" w:cs="Times New Roman" w:eastAsia="Times New Roman" w:hint="default"/>
          <w:spacing w:val="-1"/>
        </w:rPr>
        <w:t>78%</w:t>
      </w:r>
      <w:r>
        <w:rPr>
          <w:spacing w:val="-1"/>
        </w:rPr>
        <w:t>的股权以等值人民币</w:t>
      </w:r>
      <w:r>
        <w:rPr>
          <w:rFonts w:ascii="Times New Roman" w:hAnsi="Times New Roman" w:cs="Times New Roman" w:eastAsia="Times New Roman" w:hint="default"/>
          <w:spacing w:val="-1"/>
        </w:rPr>
        <w:t>1,014.00</w:t>
      </w:r>
      <w:r>
        <w:rPr>
          <w:spacing w:val="-1"/>
        </w:rPr>
        <w:t>万元的</w:t>
      </w:r>
      <w:r>
        <w:rPr/>
        <w:t> </w:t>
      </w:r>
      <w:r>
        <w:rPr>
          <w:spacing w:val="-2"/>
        </w:rPr>
        <w:t>港币价格转让给香港优博讯科技控股集团有限公司（以下简称</w:t>
      </w:r>
      <w:r>
        <w:rPr>
          <w:rFonts w:ascii="Times New Roman" w:hAnsi="Times New Roman" w:cs="Times New Roman" w:eastAsia="Times New Roman" w:hint="default"/>
          <w:spacing w:val="-2"/>
        </w:rPr>
        <w:t>“</w:t>
      </w:r>
      <w:r>
        <w:rPr>
          <w:spacing w:val="-2"/>
        </w:rPr>
        <w:t>香港优博讯控股公司</w:t>
      </w:r>
      <w:r>
        <w:rPr>
          <w:rFonts w:ascii="Times New Roman" w:hAnsi="Times New Roman" w:cs="Times New Roman" w:eastAsia="Times New Roman" w:hint="default"/>
          <w:spacing w:val="-2"/>
        </w:rPr>
        <w:t>”</w:t>
      </w:r>
      <w:r>
        <w:rPr>
          <w:spacing w:val="-2"/>
        </w:rPr>
        <w:t>），并于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10</w:t>
      </w:r>
      <w:r>
        <w:rPr>
          <w:spacing w:val="-2"/>
        </w:rPr>
        <w:t>月</w:t>
      </w:r>
      <w:r>
        <w:rPr>
          <w:rFonts w:ascii="Times New Roman" w:hAnsi="Times New Roman" w:cs="Times New Roman" w:eastAsia="Times New Roman" w:hint="default"/>
          <w:spacing w:val="-2"/>
        </w:rPr>
        <w:t>31</w:t>
      </w:r>
      <w:r>
        <w:rPr>
          <w:spacing w:val="-2"/>
        </w:rPr>
        <w:t>日办理工商变更</w:t>
      </w:r>
      <w:r>
        <w:rPr>
          <w:spacing w:val="-35"/>
        </w:rPr>
        <w:t> </w:t>
      </w:r>
      <w:r>
        <w:rPr/>
        <w:t>登记。本次股权转让完成后的股权结构如下：</w:t>
      </w:r>
    </w:p>
    <w:p>
      <w:pPr>
        <w:spacing w:after="0" w:line="300" w:lineRule="auto"/>
        <w:jc w:val="both"/>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6" w:type="dxa"/>
        <w:tblLayout w:type="fixed"/>
        <w:tblCellMar>
          <w:top w:w="0" w:type="dxa"/>
          <w:left w:w="0" w:type="dxa"/>
          <w:bottom w:w="0" w:type="dxa"/>
          <w:right w:w="0" w:type="dxa"/>
        </w:tblCellMar>
        <w:tblLook w:val="01E0"/>
      </w:tblPr>
      <w:tblGrid>
        <w:gridCol w:w="3378"/>
        <w:gridCol w:w="3191"/>
        <w:gridCol w:w="3050"/>
      </w:tblGrid>
      <w:tr>
        <w:trPr>
          <w:trHeight w:val="427" w:hRule="exact"/>
        </w:trPr>
        <w:tc>
          <w:tcPr>
            <w:tcW w:w="337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19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777" w:right="0"/>
              <w:jc w:val="left"/>
              <w:rPr>
                <w:rFonts w:ascii="宋体" w:hAnsi="宋体" w:cs="宋体" w:eastAsia="宋体" w:hint="default"/>
                <w:sz w:val="18"/>
                <w:szCs w:val="18"/>
              </w:rPr>
            </w:pPr>
            <w:r>
              <w:rPr>
                <w:rFonts w:ascii="宋体" w:hAnsi="宋体" w:cs="宋体" w:eastAsia="宋体" w:hint="default"/>
                <w:sz w:val="18"/>
                <w:szCs w:val="18"/>
              </w:rPr>
              <w:t>出资额（人民币元）</w:t>
            </w:r>
          </w:p>
        </w:tc>
        <w:tc>
          <w:tcPr>
            <w:tcW w:w="305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出资比例</w:t>
            </w:r>
          </w:p>
        </w:tc>
      </w:tr>
      <w:tr>
        <w:trPr>
          <w:trHeight w:val="428" w:hRule="exact"/>
        </w:trPr>
        <w:tc>
          <w:tcPr>
            <w:tcW w:w="3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香港优博讯科技控股集团有限公司</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7,800,000.00</w:t>
            </w:r>
          </w:p>
        </w:tc>
        <w:tc>
          <w:tcPr>
            <w:tcW w:w="3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78.00%</w:t>
            </w:r>
          </w:p>
        </w:tc>
      </w:tr>
      <w:tr>
        <w:trPr>
          <w:trHeight w:val="426" w:hRule="exact"/>
        </w:trPr>
        <w:tc>
          <w:tcPr>
            <w:tcW w:w="3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深圳市博讯投资有限公司</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1,000,000.00</w:t>
            </w:r>
          </w:p>
        </w:tc>
        <w:tc>
          <w:tcPr>
            <w:tcW w:w="3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10.00%</w:t>
            </w:r>
          </w:p>
        </w:tc>
      </w:tr>
      <w:tr>
        <w:trPr>
          <w:trHeight w:val="428" w:hRule="exact"/>
        </w:trPr>
        <w:tc>
          <w:tcPr>
            <w:tcW w:w="3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亚晟发展集团有限公司</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800,000.00</w:t>
            </w:r>
          </w:p>
        </w:tc>
        <w:tc>
          <w:tcPr>
            <w:tcW w:w="3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8.00%</w:t>
            </w:r>
          </w:p>
        </w:tc>
      </w:tr>
      <w:tr>
        <w:trPr>
          <w:trHeight w:val="427" w:hRule="exact"/>
        </w:trPr>
        <w:tc>
          <w:tcPr>
            <w:tcW w:w="3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斯隆新产品投资有限公司</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400,000.00</w:t>
            </w:r>
          </w:p>
        </w:tc>
        <w:tc>
          <w:tcPr>
            <w:tcW w:w="3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4.00%</w:t>
            </w:r>
          </w:p>
        </w:tc>
      </w:tr>
      <w:tr>
        <w:trPr>
          <w:trHeight w:val="427" w:hRule="exact"/>
        </w:trPr>
        <w:tc>
          <w:tcPr>
            <w:tcW w:w="33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10,000,000.00</w:t>
            </w:r>
          </w:p>
        </w:tc>
        <w:tc>
          <w:tcPr>
            <w:tcW w:w="30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5"/>
        <w:rPr>
          <w:rFonts w:ascii="宋体" w:hAnsi="宋体" w:cs="宋体" w:eastAsia="宋体" w:hint="default"/>
          <w:sz w:val="27"/>
          <w:szCs w:val="27"/>
        </w:rPr>
      </w:pPr>
    </w:p>
    <w:p>
      <w:pPr>
        <w:pStyle w:val="BodyText"/>
        <w:spacing w:line="300" w:lineRule="auto" w:before="44"/>
        <w:ind w:right="0" w:firstLine="360"/>
        <w:jc w:val="left"/>
      </w:pP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15</w:t>
      </w:r>
      <w:r>
        <w:rPr/>
        <w:t>日，本公司董事会通过决议，同意将本公司注册资本由人民币</w:t>
      </w:r>
      <w:r>
        <w:rPr>
          <w:rFonts w:ascii="Times New Roman" w:hAnsi="Times New Roman" w:cs="Times New Roman" w:eastAsia="Times New Roman" w:hint="default"/>
        </w:rPr>
        <w:t>1,000.00</w:t>
      </w:r>
      <w:r>
        <w:rPr/>
        <w:t>万元增加至</w:t>
      </w:r>
      <w:r>
        <w:rPr>
          <w:rFonts w:ascii="Times New Roman" w:hAnsi="Times New Roman" w:cs="Times New Roman" w:eastAsia="Times New Roman" w:hint="default"/>
        </w:rPr>
        <w:t>11,111,111.00</w:t>
      </w:r>
      <w:r>
        <w:rPr/>
        <w:t>元，由深 圳市中洲创业投资有限公司</w:t>
      </w:r>
      <w:r>
        <w:rPr>
          <w:rFonts w:ascii="Times New Roman" w:hAnsi="Times New Roman" w:cs="Times New Roman" w:eastAsia="Times New Roman" w:hint="default"/>
        </w:rPr>
        <w:t>(</w:t>
      </w:r>
      <w:r>
        <w:rPr/>
        <w:t>以下简称</w:t>
      </w:r>
      <w:r>
        <w:rPr>
          <w:rFonts w:ascii="Times New Roman" w:hAnsi="Times New Roman" w:cs="Times New Roman" w:eastAsia="Times New Roman" w:hint="default"/>
        </w:rPr>
        <w:t>“</w:t>
      </w:r>
      <w:r>
        <w:rPr/>
        <w:t>深圳中洲公司</w:t>
      </w:r>
      <w:r>
        <w:rPr>
          <w:rFonts w:ascii="Times New Roman" w:hAnsi="Times New Roman" w:cs="Times New Roman" w:eastAsia="Times New Roman" w:hint="default"/>
        </w:rPr>
        <w:t>”)</w:t>
      </w:r>
      <w:r>
        <w:rPr/>
        <w:t>出资人民币</w:t>
      </w:r>
      <w:r>
        <w:rPr>
          <w:rFonts w:ascii="Times New Roman" w:hAnsi="Times New Roman" w:cs="Times New Roman" w:eastAsia="Times New Roman" w:hint="default"/>
        </w:rPr>
        <w:t>12,000,000.00</w:t>
      </w:r>
      <w:r>
        <w:rPr/>
        <w:t>元，其中</w:t>
      </w:r>
      <w:r>
        <w:rPr>
          <w:rFonts w:ascii="Times New Roman" w:hAnsi="Times New Roman" w:cs="Times New Roman" w:eastAsia="Times New Roman" w:hint="default"/>
        </w:rPr>
        <w:t>1,111,111.00</w:t>
      </w:r>
      <w:r>
        <w:rPr/>
        <w:t>元为注册资本， </w:t>
      </w:r>
      <w:r>
        <w:rPr>
          <w:rFonts w:ascii="Times New Roman" w:hAnsi="Times New Roman" w:cs="Times New Roman" w:eastAsia="Times New Roman" w:hint="default"/>
          <w:spacing w:val="-4"/>
        </w:rPr>
        <w:t>10,888,889.00</w:t>
      </w:r>
      <w:r>
        <w:rPr>
          <w:spacing w:val="-4"/>
        </w:rPr>
        <w:t>元为资本公积，该项增资业经深圳泓兴会计师事务所出具的深泓兴验字</w:t>
      </w:r>
      <w:r>
        <w:rPr>
          <w:rFonts w:ascii="Times New Roman" w:hAnsi="Times New Roman" w:cs="Times New Roman" w:eastAsia="Times New Roman" w:hint="default"/>
          <w:spacing w:val="-4"/>
        </w:rPr>
        <w:t>[2011]042</w:t>
      </w:r>
      <w:r>
        <w:rPr>
          <w:spacing w:val="-4"/>
        </w:rPr>
        <w:t>号《验资报告》验证，并于</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24"/>
        </w:rPr>
        <w:t> </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29</w:t>
      </w:r>
      <w:r>
        <w:rPr/>
        <w:t>日办理完成工商变更手续。本次增资完成后的股权结构如下：</w:t>
      </w:r>
    </w:p>
    <w:p>
      <w:pPr>
        <w:spacing w:line="240" w:lineRule="auto" w:before="2"/>
        <w:rPr>
          <w:rFonts w:ascii="宋体" w:hAnsi="宋体" w:cs="宋体" w:eastAsia="宋体" w:hint="default"/>
          <w:sz w:val="3"/>
          <w:szCs w:val="3"/>
        </w:rPr>
      </w:pPr>
    </w:p>
    <w:tbl>
      <w:tblPr>
        <w:tblW w:w="0" w:type="auto"/>
        <w:jc w:val="left"/>
        <w:tblInd w:w="146" w:type="dxa"/>
        <w:tblLayout w:type="fixed"/>
        <w:tblCellMar>
          <w:top w:w="0" w:type="dxa"/>
          <w:left w:w="0" w:type="dxa"/>
          <w:bottom w:w="0" w:type="dxa"/>
          <w:right w:w="0" w:type="dxa"/>
        </w:tblCellMar>
        <w:tblLook w:val="01E0"/>
      </w:tblPr>
      <w:tblGrid>
        <w:gridCol w:w="3604"/>
        <w:gridCol w:w="3054"/>
        <w:gridCol w:w="2915"/>
      </w:tblGrid>
      <w:tr>
        <w:trPr>
          <w:trHeight w:val="427" w:hRule="exact"/>
        </w:trPr>
        <w:tc>
          <w:tcPr>
            <w:tcW w:w="360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05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710" w:right="0"/>
              <w:jc w:val="left"/>
              <w:rPr>
                <w:rFonts w:ascii="宋体" w:hAnsi="宋体" w:cs="宋体" w:eastAsia="宋体" w:hint="default"/>
                <w:sz w:val="18"/>
                <w:szCs w:val="18"/>
              </w:rPr>
            </w:pPr>
            <w:r>
              <w:rPr>
                <w:rFonts w:ascii="宋体" w:hAnsi="宋体" w:cs="宋体" w:eastAsia="宋体" w:hint="default"/>
                <w:sz w:val="18"/>
                <w:szCs w:val="18"/>
              </w:rPr>
              <w:t>出资额（人民币元）</w:t>
            </w:r>
          </w:p>
        </w:tc>
        <w:tc>
          <w:tcPr>
            <w:tcW w:w="291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1" w:right="0"/>
              <w:jc w:val="center"/>
              <w:rPr>
                <w:rFonts w:ascii="宋体" w:hAnsi="宋体" w:cs="宋体" w:eastAsia="宋体" w:hint="default"/>
                <w:sz w:val="18"/>
                <w:szCs w:val="18"/>
              </w:rPr>
            </w:pPr>
            <w:r>
              <w:rPr>
                <w:rFonts w:ascii="宋体" w:hAnsi="宋体" w:cs="宋体" w:eastAsia="宋体" w:hint="default"/>
                <w:sz w:val="18"/>
                <w:szCs w:val="18"/>
              </w:rPr>
              <w:t>出资比例</w:t>
            </w:r>
          </w:p>
        </w:tc>
      </w:tr>
      <w:tr>
        <w:trPr>
          <w:trHeight w:val="427" w:hRule="exact"/>
        </w:trPr>
        <w:tc>
          <w:tcPr>
            <w:tcW w:w="36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香港优博讯科技控股集团有限公司</w:t>
            </w:r>
          </w:p>
        </w:tc>
        <w:tc>
          <w:tcPr>
            <w:tcW w:w="3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7,800,000.00</w:t>
            </w:r>
          </w:p>
        </w:tc>
        <w:tc>
          <w:tcPr>
            <w:tcW w:w="29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70.20%</w:t>
            </w:r>
          </w:p>
        </w:tc>
      </w:tr>
      <w:tr>
        <w:trPr>
          <w:trHeight w:val="427" w:hRule="exact"/>
        </w:trPr>
        <w:tc>
          <w:tcPr>
            <w:tcW w:w="36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深圳市中洲创业投资有限公司</w:t>
            </w:r>
          </w:p>
        </w:tc>
        <w:tc>
          <w:tcPr>
            <w:tcW w:w="3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1,111,111.00</w:t>
            </w:r>
          </w:p>
        </w:tc>
        <w:tc>
          <w:tcPr>
            <w:tcW w:w="29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10.00%</w:t>
            </w:r>
          </w:p>
        </w:tc>
      </w:tr>
      <w:tr>
        <w:trPr>
          <w:trHeight w:val="427" w:hRule="exact"/>
        </w:trPr>
        <w:tc>
          <w:tcPr>
            <w:tcW w:w="36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深圳市博讯投资有限公司</w:t>
            </w:r>
          </w:p>
        </w:tc>
        <w:tc>
          <w:tcPr>
            <w:tcW w:w="3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1,000,000.00</w:t>
            </w:r>
          </w:p>
        </w:tc>
        <w:tc>
          <w:tcPr>
            <w:tcW w:w="29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9.00%</w:t>
            </w:r>
          </w:p>
        </w:tc>
      </w:tr>
      <w:tr>
        <w:trPr>
          <w:trHeight w:val="427" w:hRule="exact"/>
        </w:trPr>
        <w:tc>
          <w:tcPr>
            <w:tcW w:w="36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亚晟发展集团有限公司</w:t>
            </w:r>
          </w:p>
        </w:tc>
        <w:tc>
          <w:tcPr>
            <w:tcW w:w="3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800,000.00</w:t>
            </w:r>
          </w:p>
        </w:tc>
        <w:tc>
          <w:tcPr>
            <w:tcW w:w="29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7.20%</w:t>
            </w:r>
          </w:p>
        </w:tc>
      </w:tr>
      <w:tr>
        <w:trPr>
          <w:trHeight w:val="426" w:hRule="exact"/>
        </w:trPr>
        <w:tc>
          <w:tcPr>
            <w:tcW w:w="36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斯隆新产品投资有限公司</w:t>
            </w:r>
          </w:p>
        </w:tc>
        <w:tc>
          <w:tcPr>
            <w:tcW w:w="3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400,000.00</w:t>
            </w:r>
          </w:p>
        </w:tc>
        <w:tc>
          <w:tcPr>
            <w:tcW w:w="29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3.60%</w:t>
            </w:r>
          </w:p>
        </w:tc>
      </w:tr>
      <w:tr>
        <w:trPr>
          <w:trHeight w:val="429" w:hRule="exact"/>
        </w:trPr>
        <w:tc>
          <w:tcPr>
            <w:tcW w:w="360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0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11,111,111.00</w:t>
            </w:r>
          </w:p>
        </w:tc>
        <w:tc>
          <w:tcPr>
            <w:tcW w:w="29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4"/>
        <w:rPr>
          <w:rFonts w:ascii="宋体" w:hAnsi="宋体" w:cs="宋体" w:eastAsia="宋体" w:hint="default"/>
          <w:sz w:val="27"/>
          <w:szCs w:val="27"/>
        </w:rPr>
      </w:pPr>
    </w:p>
    <w:p>
      <w:pPr>
        <w:pStyle w:val="BodyText"/>
        <w:spacing w:line="300" w:lineRule="auto" w:before="44"/>
        <w:ind w:right="1132" w:firstLine="360"/>
        <w:jc w:val="both"/>
      </w:pPr>
      <w:r>
        <w:rPr>
          <w:rFonts w:ascii="Times New Roman" w:hAnsi="Times New Roman" w:cs="Times New Roman" w:eastAsia="Times New Roman" w:hint="default"/>
        </w:rPr>
        <w:t>2012</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w:t>
      </w:r>
      <w:r>
        <w:rPr/>
        <w:t>日本公司董事会通过决议，同意将本公司的注册资本由</w:t>
      </w:r>
      <w:r>
        <w:rPr>
          <w:rFonts w:ascii="Times New Roman" w:hAnsi="Times New Roman" w:cs="Times New Roman" w:eastAsia="Times New Roman" w:hint="default"/>
        </w:rPr>
        <w:t>11,111,111.00</w:t>
      </w:r>
      <w:r>
        <w:rPr/>
        <w:t>元增加至</w:t>
      </w:r>
      <w:r>
        <w:rPr>
          <w:rFonts w:ascii="Times New Roman" w:hAnsi="Times New Roman" w:cs="Times New Roman" w:eastAsia="Times New Roman" w:hint="default"/>
        </w:rPr>
        <w:t>11,695,906.00</w:t>
      </w:r>
      <w:r>
        <w:rPr/>
        <w:t>元，由深圳市军 </w:t>
      </w:r>
      <w:r>
        <w:rPr>
          <w:spacing w:val="-1"/>
        </w:rPr>
        <w:t>屯投资企业</w:t>
      </w:r>
      <w:r>
        <w:rPr>
          <w:rFonts w:ascii="Times New Roman" w:hAnsi="Times New Roman" w:cs="Times New Roman" w:eastAsia="Times New Roman" w:hint="default"/>
          <w:spacing w:val="-1"/>
        </w:rPr>
        <w:t>(</w:t>
      </w:r>
      <w:r>
        <w:rPr>
          <w:spacing w:val="-1"/>
        </w:rPr>
        <w:t>有限合伙</w:t>
      </w:r>
      <w:r>
        <w:rPr>
          <w:rFonts w:ascii="Times New Roman" w:hAnsi="Times New Roman" w:cs="Times New Roman" w:eastAsia="Times New Roman" w:hint="default"/>
          <w:spacing w:val="-1"/>
        </w:rPr>
        <w:t>)(</w:t>
      </w:r>
      <w:r>
        <w:rPr>
          <w:spacing w:val="-1"/>
        </w:rPr>
        <w:t>以下简称</w:t>
      </w:r>
      <w:r>
        <w:rPr>
          <w:rFonts w:ascii="Times New Roman" w:hAnsi="Times New Roman" w:cs="Times New Roman" w:eastAsia="Times New Roman" w:hint="default"/>
          <w:spacing w:val="-1"/>
        </w:rPr>
        <w:t>“</w:t>
      </w:r>
      <w:r>
        <w:rPr>
          <w:spacing w:val="-1"/>
        </w:rPr>
        <w:t>深圳军屯投资</w:t>
      </w:r>
      <w:r>
        <w:rPr>
          <w:rFonts w:ascii="Times New Roman" w:hAnsi="Times New Roman" w:cs="Times New Roman" w:eastAsia="Times New Roman" w:hint="default"/>
          <w:spacing w:val="-1"/>
        </w:rPr>
        <w:t>”)</w:t>
      </w:r>
      <w:r>
        <w:rPr>
          <w:spacing w:val="-1"/>
        </w:rPr>
        <w:t>出资</w:t>
      </w:r>
      <w:r>
        <w:rPr>
          <w:rFonts w:ascii="Times New Roman" w:hAnsi="Times New Roman" w:cs="Times New Roman" w:eastAsia="Times New Roman" w:hint="default"/>
          <w:spacing w:val="-1"/>
        </w:rPr>
        <w:t>10,000,000.00</w:t>
      </w:r>
      <w:r>
        <w:rPr>
          <w:spacing w:val="-1"/>
        </w:rPr>
        <w:t>元，其中</w:t>
      </w:r>
      <w:r>
        <w:rPr>
          <w:rFonts w:ascii="Times New Roman" w:hAnsi="Times New Roman" w:cs="Times New Roman" w:eastAsia="Times New Roman" w:hint="default"/>
          <w:spacing w:val="-1"/>
        </w:rPr>
        <w:t>584,795.00</w:t>
      </w:r>
      <w:r>
        <w:rPr>
          <w:spacing w:val="-1"/>
        </w:rPr>
        <w:t>元为注册资本，</w:t>
      </w:r>
      <w:r>
        <w:rPr>
          <w:rFonts w:ascii="Times New Roman" w:hAnsi="Times New Roman" w:cs="Times New Roman" w:eastAsia="Times New Roman" w:hint="default"/>
          <w:spacing w:val="-1"/>
        </w:rPr>
        <w:t>9,415,205.00</w:t>
      </w:r>
      <w:r>
        <w:rPr>
          <w:spacing w:val="-1"/>
        </w:rPr>
        <w:t>元为资本</w:t>
      </w:r>
      <w:r>
        <w:rPr>
          <w:spacing w:val="-56"/>
        </w:rPr>
        <w:t> </w:t>
      </w:r>
      <w:r>
        <w:rPr>
          <w:spacing w:val="-56"/>
        </w:rPr>
      </w:r>
      <w:r>
        <w:rPr>
          <w:spacing w:val="-1"/>
        </w:rPr>
        <w:t>公积，该项增资业经深圳泓兴会计师事务所出具的深泓兴验字</w:t>
      </w:r>
      <w:r>
        <w:rPr>
          <w:rFonts w:ascii="Times New Roman" w:hAnsi="Times New Roman" w:cs="Times New Roman" w:eastAsia="Times New Roman" w:hint="default"/>
          <w:spacing w:val="-1"/>
        </w:rPr>
        <w:t>[2012]012</w:t>
      </w:r>
      <w:r>
        <w:rPr>
          <w:spacing w:val="-1"/>
        </w:rPr>
        <w:t>号《验资报告》验证，并于</w:t>
      </w:r>
      <w:r>
        <w:rPr>
          <w:rFonts w:ascii="Times New Roman" w:hAnsi="Times New Roman" w:cs="Times New Roman" w:eastAsia="Times New Roman" w:hint="default"/>
          <w:spacing w:val="-1"/>
        </w:rPr>
        <w:t>2012</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29</w:t>
      </w:r>
      <w:r>
        <w:rPr>
          <w:spacing w:val="-1"/>
        </w:rPr>
        <w:t>日办理工商</w:t>
      </w:r>
      <w:r>
        <w:rPr>
          <w:spacing w:val="-52"/>
        </w:rPr>
        <w:t> </w:t>
      </w:r>
      <w:r>
        <w:rPr/>
        <w:t>变更登记。本次增资完成后的股权结构如下：</w:t>
      </w:r>
    </w:p>
    <w:p>
      <w:pPr>
        <w:spacing w:line="240" w:lineRule="auto" w:before="8"/>
        <w:rPr>
          <w:rFonts w:ascii="宋体" w:hAnsi="宋体" w:cs="宋体" w:eastAsia="宋体" w:hint="default"/>
          <w:sz w:val="4"/>
          <w:szCs w:val="4"/>
        </w:rPr>
      </w:pPr>
    </w:p>
    <w:tbl>
      <w:tblPr>
        <w:tblW w:w="0" w:type="auto"/>
        <w:jc w:val="left"/>
        <w:tblInd w:w="146" w:type="dxa"/>
        <w:tblLayout w:type="fixed"/>
        <w:tblCellMar>
          <w:top w:w="0" w:type="dxa"/>
          <w:left w:w="0" w:type="dxa"/>
          <w:bottom w:w="0" w:type="dxa"/>
          <w:right w:w="0" w:type="dxa"/>
        </w:tblCellMar>
        <w:tblLook w:val="01E0"/>
      </w:tblPr>
      <w:tblGrid>
        <w:gridCol w:w="3635"/>
        <w:gridCol w:w="3053"/>
        <w:gridCol w:w="2943"/>
      </w:tblGrid>
      <w:tr>
        <w:trPr>
          <w:trHeight w:val="422" w:hRule="exact"/>
        </w:trPr>
        <w:tc>
          <w:tcPr>
            <w:tcW w:w="363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05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708" w:right="0"/>
              <w:jc w:val="left"/>
              <w:rPr>
                <w:rFonts w:ascii="宋体" w:hAnsi="宋体" w:cs="宋体" w:eastAsia="宋体" w:hint="default"/>
                <w:sz w:val="18"/>
                <w:szCs w:val="18"/>
              </w:rPr>
            </w:pPr>
            <w:r>
              <w:rPr>
                <w:rFonts w:ascii="宋体" w:hAnsi="宋体" w:cs="宋体" w:eastAsia="宋体" w:hint="default"/>
                <w:sz w:val="18"/>
                <w:szCs w:val="18"/>
              </w:rPr>
              <w:t>出资额（人民币元）</w:t>
            </w:r>
          </w:p>
        </w:tc>
        <w:tc>
          <w:tcPr>
            <w:tcW w:w="294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出资比例</w:t>
            </w:r>
          </w:p>
        </w:tc>
      </w:tr>
      <w:tr>
        <w:trPr>
          <w:trHeight w:val="431" w:hRule="exact"/>
        </w:trPr>
        <w:tc>
          <w:tcPr>
            <w:tcW w:w="3635"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香港优博讯科技控股集团有限公司</w:t>
            </w:r>
          </w:p>
        </w:tc>
        <w:tc>
          <w:tcPr>
            <w:tcW w:w="3053"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7,800,000.00</w:t>
            </w:r>
          </w:p>
        </w:tc>
        <w:tc>
          <w:tcPr>
            <w:tcW w:w="2943"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66.69%</w:t>
            </w:r>
          </w:p>
        </w:tc>
      </w:tr>
      <w:tr>
        <w:trPr>
          <w:trHeight w:val="427" w:hRule="exact"/>
        </w:trPr>
        <w:tc>
          <w:tcPr>
            <w:tcW w:w="36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深圳市中洲创业投资有限公司</w:t>
            </w:r>
          </w:p>
        </w:tc>
        <w:tc>
          <w:tcPr>
            <w:tcW w:w="30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1,111,111.00</w:t>
            </w:r>
          </w:p>
        </w:tc>
        <w:tc>
          <w:tcPr>
            <w:tcW w:w="29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9.50%</w:t>
            </w:r>
          </w:p>
        </w:tc>
      </w:tr>
      <w:tr>
        <w:trPr>
          <w:trHeight w:val="427" w:hRule="exact"/>
        </w:trPr>
        <w:tc>
          <w:tcPr>
            <w:tcW w:w="36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深圳市博讯投资有限公司</w:t>
            </w:r>
          </w:p>
        </w:tc>
        <w:tc>
          <w:tcPr>
            <w:tcW w:w="30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1,000,000.00</w:t>
            </w:r>
          </w:p>
        </w:tc>
        <w:tc>
          <w:tcPr>
            <w:tcW w:w="29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8.55%</w:t>
            </w:r>
          </w:p>
        </w:tc>
      </w:tr>
      <w:tr>
        <w:trPr>
          <w:trHeight w:val="427" w:hRule="exact"/>
        </w:trPr>
        <w:tc>
          <w:tcPr>
            <w:tcW w:w="36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亚晟发展集团有限公司</w:t>
            </w:r>
          </w:p>
        </w:tc>
        <w:tc>
          <w:tcPr>
            <w:tcW w:w="30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800,000.00</w:t>
            </w:r>
          </w:p>
        </w:tc>
        <w:tc>
          <w:tcPr>
            <w:tcW w:w="29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6.84%</w:t>
            </w:r>
          </w:p>
        </w:tc>
      </w:tr>
      <w:tr>
        <w:trPr>
          <w:trHeight w:val="427" w:hRule="exact"/>
        </w:trPr>
        <w:tc>
          <w:tcPr>
            <w:tcW w:w="36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深圳市军屯投资企业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c>
          <w:tcPr>
            <w:tcW w:w="30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584,795.00</w:t>
            </w:r>
          </w:p>
        </w:tc>
        <w:tc>
          <w:tcPr>
            <w:tcW w:w="29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5.00%</w:t>
            </w:r>
          </w:p>
        </w:tc>
      </w:tr>
      <w:tr>
        <w:trPr>
          <w:trHeight w:val="427" w:hRule="exact"/>
        </w:trPr>
        <w:tc>
          <w:tcPr>
            <w:tcW w:w="36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斯隆新产品投资有限公司</w:t>
            </w:r>
          </w:p>
        </w:tc>
        <w:tc>
          <w:tcPr>
            <w:tcW w:w="30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400,000.00</w:t>
            </w:r>
          </w:p>
        </w:tc>
        <w:tc>
          <w:tcPr>
            <w:tcW w:w="29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3.42%</w:t>
            </w:r>
          </w:p>
        </w:tc>
      </w:tr>
      <w:tr>
        <w:trPr>
          <w:trHeight w:val="427" w:hRule="exact"/>
        </w:trPr>
        <w:tc>
          <w:tcPr>
            <w:tcW w:w="36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0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11,695,906.00</w:t>
            </w:r>
          </w:p>
        </w:tc>
        <w:tc>
          <w:tcPr>
            <w:tcW w:w="294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6"/>
        <w:rPr>
          <w:rFonts w:ascii="宋体" w:hAnsi="宋体" w:cs="宋体" w:eastAsia="宋体" w:hint="default"/>
          <w:sz w:val="27"/>
          <w:szCs w:val="27"/>
        </w:rPr>
      </w:pPr>
    </w:p>
    <w:p>
      <w:pPr>
        <w:pStyle w:val="BodyText"/>
        <w:spacing w:line="300" w:lineRule="auto" w:before="44"/>
        <w:ind w:right="1130" w:firstLine="360"/>
        <w:jc w:val="both"/>
      </w:pPr>
      <w:r>
        <w:rPr/>
        <w:t>根据</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5</w:t>
      </w:r>
      <w:r>
        <w:rPr/>
        <w:t>日签订的发起人协议规定，同意本公司由有限责任公司整体变更为股份有限公司，以截止</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31 </w:t>
      </w:r>
      <w:r>
        <w:rPr>
          <w:spacing w:val="-1"/>
        </w:rPr>
        <w:t>日经审计的净资产人民币</w:t>
      </w:r>
      <w:r>
        <w:rPr>
          <w:rFonts w:ascii="Times New Roman" w:hAnsi="Times New Roman" w:cs="Times New Roman" w:eastAsia="Times New Roman" w:hint="default"/>
          <w:spacing w:val="-1"/>
        </w:rPr>
        <w:t>80,630,636.11</w:t>
      </w:r>
      <w:r>
        <w:rPr>
          <w:spacing w:val="-1"/>
        </w:rPr>
        <w:t>元，按</w:t>
      </w:r>
      <w:r>
        <w:rPr>
          <w:rFonts w:ascii="Times New Roman" w:hAnsi="Times New Roman" w:cs="Times New Roman" w:eastAsia="Times New Roman" w:hint="default"/>
          <w:spacing w:val="-1"/>
        </w:rPr>
        <w:t>1</w:t>
      </w:r>
      <w:r>
        <w:rPr>
          <w:spacing w:val="-1"/>
        </w:rPr>
        <w:t>：</w:t>
      </w:r>
      <w:r>
        <w:rPr>
          <w:rFonts w:ascii="Times New Roman" w:hAnsi="Times New Roman" w:cs="Times New Roman" w:eastAsia="Times New Roman" w:hint="default"/>
          <w:spacing w:val="-1"/>
        </w:rPr>
        <w:t>0.7441</w:t>
      </w:r>
      <w:r>
        <w:rPr>
          <w:spacing w:val="-1"/>
        </w:rPr>
        <w:t>的比例折合股份总额</w:t>
      </w:r>
      <w:r>
        <w:rPr>
          <w:rFonts w:ascii="Times New Roman" w:hAnsi="Times New Roman" w:cs="Times New Roman" w:eastAsia="Times New Roman" w:hint="default"/>
          <w:spacing w:val="-1"/>
        </w:rPr>
        <w:t>6,000</w:t>
      </w:r>
      <w:r>
        <w:rPr>
          <w:spacing w:val="-1"/>
        </w:rPr>
        <w:t>万股，每股面值为人民币</w:t>
      </w:r>
      <w:r>
        <w:rPr>
          <w:rFonts w:ascii="Times New Roman" w:hAnsi="Times New Roman" w:cs="Times New Roman" w:eastAsia="Times New Roman" w:hint="default"/>
          <w:spacing w:val="-1"/>
        </w:rPr>
        <w:t>1</w:t>
      </w:r>
      <w:r>
        <w:rPr>
          <w:spacing w:val="-1"/>
        </w:rPr>
        <w:t>元，共计股本人</w:t>
      </w:r>
      <w:r>
        <w:rPr>
          <w:spacing w:val="-66"/>
        </w:rPr>
        <w:t> </w:t>
      </w:r>
      <w:r>
        <w:rPr>
          <w:spacing w:val="-66"/>
        </w:rPr>
      </w:r>
      <w:r>
        <w:rPr>
          <w:spacing w:val="-1"/>
        </w:rPr>
        <w:t>民币</w:t>
      </w:r>
      <w:r>
        <w:rPr>
          <w:rFonts w:ascii="Times New Roman" w:hAnsi="Times New Roman" w:cs="Times New Roman" w:eastAsia="Times New Roman" w:hint="default"/>
          <w:spacing w:val="-1"/>
        </w:rPr>
        <w:t>6,000.00</w:t>
      </w:r>
      <w:r>
        <w:rPr>
          <w:spacing w:val="-1"/>
        </w:rPr>
        <w:t>万元，其余部分</w:t>
      </w:r>
      <w:r>
        <w:rPr>
          <w:rFonts w:ascii="Times New Roman" w:hAnsi="Times New Roman" w:cs="Times New Roman" w:eastAsia="Times New Roman" w:hint="default"/>
          <w:spacing w:val="-1"/>
        </w:rPr>
        <w:t>20,630,636.11</w:t>
      </w:r>
      <w:r>
        <w:rPr>
          <w:spacing w:val="-1"/>
        </w:rPr>
        <w:t>元计入资本公积。变更后的注册资本为人民币</w:t>
      </w:r>
      <w:r>
        <w:rPr>
          <w:rFonts w:ascii="Times New Roman" w:hAnsi="Times New Roman" w:cs="Times New Roman" w:eastAsia="Times New Roman" w:hint="default"/>
          <w:spacing w:val="-1"/>
        </w:rPr>
        <w:t>6,000.00</w:t>
      </w:r>
      <w:r>
        <w:rPr>
          <w:spacing w:val="-1"/>
        </w:rPr>
        <w:t>万元。本次变更业经大华会</w:t>
      </w:r>
    </w:p>
    <w:p>
      <w:pPr>
        <w:spacing w:after="0" w:line="300"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right="1142"/>
        <w:jc w:val="left"/>
      </w:pPr>
      <w:r>
        <w:rPr/>
        <w:t>计师事务所有限公司出具的大华验字</w:t>
      </w:r>
      <w:r>
        <w:rPr>
          <w:rFonts w:ascii="Times New Roman" w:hAnsi="Times New Roman" w:cs="Times New Roman" w:eastAsia="Times New Roman" w:hint="default"/>
        </w:rPr>
        <w:t>[2012]259</w:t>
      </w:r>
      <w:r>
        <w:rPr/>
        <w:t>号验资报告验证。</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28</w:t>
      </w:r>
      <w:r>
        <w:rPr/>
        <w:t>日本公司取得深圳市市场监督管理局核发的 </w:t>
      </w:r>
      <w:r>
        <w:rPr>
          <w:rFonts w:ascii="Times New Roman" w:hAnsi="Times New Roman" w:cs="Times New Roman" w:eastAsia="Times New Roman" w:hint="default"/>
        </w:rPr>
        <w:t>440301102726193</w:t>
      </w:r>
      <w:r>
        <w:rPr/>
        <w:t>号《企业法人营业执照》，同时公司名称变更为</w:t>
      </w:r>
      <w:r>
        <w:rPr>
          <w:rFonts w:ascii="Times New Roman" w:hAnsi="Times New Roman" w:cs="Times New Roman" w:eastAsia="Times New Roman" w:hint="default"/>
        </w:rPr>
        <w:t>“</w:t>
      </w:r>
      <w:r>
        <w:rPr/>
        <w:t>深圳市优博讯科技股份有限公司</w:t>
      </w:r>
      <w:r>
        <w:rPr>
          <w:rFonts w:ascii="Times New Roman" w:hAnsi="Times New Roman" w:cs="Times New Roman" w:eastAsia="Times New Roman" w:hint="default"/>
        </w:rPr>
        <w:t>”</w:t>
      </w:r>
      <w:r>
        <w:rPr/>
        <w:t>。股份改制完成后股权 结构如下：</w:t>
      </w:r>
    </w:p>
    <w:p>
      <w:pPr>
        <w:spacing w:line="240" w:lineRule="auto" w:before="6"/>
        <w:rPr>
          <w:rFonts w:ascii="宋体" w:hAnsi="宋体" w:cs="宋体" w:eastAsia="宋体"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3557"/>
        <w:gridCol w:w="3119"/>
        <w:gridCol w:w="2868"/>
      </w:tblGrid>
      <w:tr>
        <w:trPr>
          <w:trHeight w:val="415" w:hRule="exact"/>
        </w:trPr>
        <w:tc>
          <w:tcPr>
            <w:tcW w:w="35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11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9"/>
              <w:ind w:left="743" w:right="0"/>
              <w:jc w:val="left"/>
              <w:rPr>
                <w:rFonts w:ascii="宋体" w:hAnsi="宋体" w:cs="宋体" w:eastAsia="宋体" w:hint="default"/>
                <w:sz w:val="18"/>
                <w:szCs w:val="18"/>
              </w:rPr>
            </w:pPr>
            <w:r>
              <w:rPr>
                <w:rFonts w:ascii="宋体" w:hAnsi="宋体" w:cs="宋体" w:eastAsia="宋体" w:hint="default"/>
                <w:sz w:val="18"/>
                <w:szCs w:val="18"/>
              </w:rPr>
              <w:t>出资额（人民币元）</w:t>
            </w:r>
          </w:p>
        </w:tc>
        <w:tc>
          <w:tcPr>
            <w:tcW w:w="286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出资比例</w:t>
            </w:r>
          </w:p>
        </w:tc>
      </w:tr>
      <w:tr>
        <w:trPr>
          <w:trHeight w:val="427" w:hRule="exact"/>
        </w:trPr>
        <w:tc>
          <w:tcPr>
            <w:tcW w:w="35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香港优博讯科技控股集团有限公司</w:t>
            </w:r>
          </w:p>
        </w:tc>
        <w:tc>
          <w:tcPr>
            <w:tcW w:w="31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40,014,000.00</w:t>
            </w:r>
          </w:p>
        </w:tc>
        <w:tc>
          <w:tcPr>
            <w:tcW w:w="28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66.69%</w:t>
            </w:r>
          </w:p>
        </w:tc>
      </w:tr>
      <w:tr>
        <w:trPr>
          <w:trHeight w:val="427" w:hRule="exact"/>
        </w:trPr>
        <w:tc>
          <w:tcPr>
            <w:tcW w:w="35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深圳市中洲创业投资有限公司</w:t>
            </w:r>
          </w:p>
        </w:tc>
        <w:tc>
          <w:tcPr>
            <w:tcW w:w="31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5,700,000.00</w:t>
            </w:r>
          </w:p>
        </w:tc>
        <w:tc>
          <w:tcPr>
            <w:tcW w:w="28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9.50%</w:t>
            </w:r>
          </w:p>
        </w:tc>
      </w:tr>
      <w:tr>
        <w:trPr>
          <w:trHeight w:val="427" w:hRule="exact"/>
        </w:trPr>
        <w:tc>
          <w:tcPr>
            <w:tcW w:w="35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深圳市博讯投资有限公司</w:t>
            </w:r>
          </w:p>
        </w:tc>
        <w:tc>
          <w:tcPr>
            <w:tcW w:w="31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5,130,000.00</w:t>
            </w:r>
          </w:p>
        </w:tc>
        <w:tc>
          <w:tcPr>
            <w:tcW w:w="28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8.55%</w:t>
            </w:r>
          </w:p>
        </w:tc>
      </w:tr>
      <w:tr>
        <w:trPr>
          <w:trHeight w:val="426" w:hRule="exact"/>
        </w:trPr>
        <w:tc>
          <w:tcPr>
            <w:tcW w:w="35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亚晟发展集团有限公司</w:t>
            </w:r>
          </w:p>
        </w:tc>
        <w:tc>
          <w:tcPr>
            <w:tcW w:w="31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4,104,000.00</w:t>
            </w:r>
          </w:p>
        </w:tc>
        <w:tc>
          <w:tcPr>
            <w:tcW w:w="28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6.84%</w:t>
            </w:r>
          </w:p>
        </w:tc>
      </w:tr>
      <w:tr>
        <w:trPr>
          <w:trHeight w:val="427" w:hRule="exact"/>
        </w:trPr>
        <w:tc>
          <w:tcPr>
            <w:tcW w:w="35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深圳市军屯投资企业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c>
          <w:tcPr>
            <w:tcW w:w="31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3,000,000.00</w:t>
            </w:r>
          </w:p>
        </w:tc>
        <w:tc>
          <w:tcPr>
            <w:tcW w:w="28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5.00%</w:t>
            </w:r>
          </w:p>
        </w:tc>
      </w:tr>
      <w:tr>
        <w:trPr>
          <w:trHeight w:val="427" w:hRule="exact"/>
        </w:trPr>
        <w:tc>
          <w:tcPr>
            <w:tcW w:w="35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斯隆新产品投资有限公司</w:t>
            </w:r>
          </w:p>
        </w:tc>
        <w:tc>
          <w:tcPr>
            <w:tcW w:w="31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2,052,000.00</w:t>
            </w:r>
          </w:p>
        </w:tc>
        <w:tc>
          <w:tcPr>
            <w:tcW w:w="28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3.42%</w:t>
            </w:r>
          </w:p>
        </w:tc>
      </w:tr>
      <w:tr>
        <w:trPr>
          <w:trHeight w:val="427" w:hRule="exact"/>
        </w:trPr>
        <w:tc>
          <w:tcPr>
            <w:tcW w:w="35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11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60,000,000.00</w:t>
            </w:r>
          </w:p>
        </w:tc>
        <w:tc>
          <w:tcPr>
            <w:tcW w:w="286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100.00%</w:t>
            </w:r>
          </w:p>
        </w:tc>
      </w:tr>
    </w:tbl>
    <w:p>
      <w:pPr>
        <w:spacing w:line="240" w:lineRule="auto" w:before="5"/>
        <w:rPr>
          <w:rFonts w:ascii="宋体" w:hAnsi="宋体" w:cs="宋体" w:eastAsia="宋体" w:hint="default"/>
          <w:sz w:val="27"/>
          <w:szCs w:val="27"/>
        </w:rPr>
      </w:pPr>
    </w:p>
    <w:p>
      <w:pPr>
        <w:pStyle w:val="BodyText"/>
        <w:spacing w:line="304" w:lineRule="auto" w:before="44"/>
        <w:ind w:right="1129" w:firstLine="360"/>
        <w:jc w:val="left"/>
      </w:pPr>
      <w:r>
        <w:rPr/>
        <w:t>根据</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26</w:t>
      </w:r>
      <w:r>
        <w:rPr/>
        <w:t>日公司</w:t>
      </w:r>
      <w:r>
        <w:rPr>
          <w:rFonts w:ascii="Times New Roman" w:hAnsi="Times New Roman" w:cs="Times New Roman" w:eastAsia="Times New Roman" w:hint="default"/>
        </w:rPr>
        <w:t>2016</w:t>
      </w:r>
      <w:r>
        <w:rPr/>
        <w:t>年第一次临时股东大会会议决议通过，经中国证券监督管理委员会证监许可</w:t>
      </w:r>
      <w:r>
        <w:rPr>
          <w:rFonts w:ascii="Times New Roman" w:hAnsi="Times New Roman" w:cs="Times New Roman" w:eastAsia="Times New Roman" w:hint="default"/>
        </w:rPr>
        <w:t>[2016]1637</w:t>
      </w:r>
      <w:r>
        <w:rPr/>
        <w:t>号 </w:t>
      </w:r>
      <w:r>
        <w:rPr>
          <w:spacing w:val="-2"/>
        </w:rPr>
        <w:t>文《关于核准深圳市优博讯科技股份有限公司首次公开发行股票的批复》核准，并经深圳证券交易所同意，向社会公众公开</w:t>
      </w:r>
      <w:r>
        <w:rPr>
          <w:spacing w:val="-66"/>
        </w:rPr>
        <w:t> </w:t>
      </w:r>
      <w:r>
        <w:rPr>
          <w:spacing w:val="-66"/>
        </w:rPr>
      </w:r>
      <w:r>
        <w:rPr/>
        <w:t>发行普通股</w:t>
      </w:r>
      <w:r>
        <w:rPr>
          <w:rFonts w:ascii="Times New Roman" w:hAnsi="Times New Roman" w:cs="Times New Roman" w:eastAsia="Times New Roman" w:hint="default"/>
        </w:rPr>
        <w:t>(A</w:t>
      </w:r>
      <w:r>
        <w:rPr/>
        <w:t>股</w:t>
      </w:r>
      <w:r>
        <w:rPr>
          <w:rFonts w:ascii="Times New Roman" w:hAnsi="Times New Roman" w:cs="Times New Roman" w:eastAsia="Times New Roman" w:hint="default"/>
        </w:rPr>
        <w:t>)</w:t>
      </w:r>
      <w:r>
        <w:rPr/>
        <w:t>股票</w:t>
      </w:r>
      <w:r>
        <w:rPr>
          <w:rFonts w:ascii="Times New Roman" w:hAnsi="Times New Roman" w:cs="Times New Roman" w:eastAsia="Times New Roman" w:hint="default"/>
        </w:rPr>
        <w:t>2,000</w:t>
      </w:r>
      <w:r>
        <w:rPr/>
        <w:t>万股，每股面值</w:t>
      </w:r>
      <w:r>
        <w:rPr>
          <w:rFonts w:ascii="Times New Roman" w:hAnsi="Times New Roman" w:cs="Times New Roman" w:eastAsia="Times New Roman" w:hint="default"/>
        </w:rPr>
        <w:t>1.00</w:t>
      </w:r>
      <w:r>
        <w:rPr/>
        <w:t>元，每股发行价人民币</w:t>
      </w:r>
      <w:r>
        <w:rPr>
          <w:rFonts w:ascii="Times New Roman" w:hAnsi="Times New Roman" w:cs="Times New Roman" w:eastAsia="Times New Roman" w:hint="default"/>
        </w:rPr>
        <w:t>13.36</w:t>
      </w:r>
      <w:r>
        <w:rPr/>
        <w:t>元。截至</w:t>
      </w:r>
      <w:r>
        <w:rPr>
          <w:rFonts w:ascii="Times New Roman" w:hAnsi="Times New Roman" w:cs="Times New Roman" w:eastAsia="Times New Roman" w:hint="default"/>
        </w:rPr>
        <w:t>2016</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2</w:t>
      </w:r>
      <w:r>
        <w:rPr/>
        <w:t>日止，共募集资金 </w:t>
      </w:r>
      <w:r>
        <w:rPr>
          <w:rFonts w:ascii="Times New Roman" w:hAnsi="Times New Roman" w:cs="Times New Roman" w:eastAsia="Times New Roman" w:hint="default"/>
        </w:rPr>
        <w:t>267,200,000.00</w:t>
      </w:r>
      <w:r>
        <w:rPr/>
        <w:t>元，扣除发行费用</w:t>
      </w:r>
      <w:r>
        <w:rPr>
          <w:rFonts w:ascii="Times New Roman" w:hAnsi="Times New Roman" w:cs="Times New Roman" w:eastAsia="Times New Roman" w:hint="default"/>
        </w:rPr>
        <w:t>42,728,800.00</w:t>
      </w:r>
      <w:r>
        <w:rPr/>
        <w:t>元，募集资金净额</w:t>
      </w:r>
      <w:r>
        <w:rPr>
          <w:rFonts w:ascii="Times New Roman" w:hAnsi="Times New Roman" w:cs="Times New Roman" w:eastAsia="Times New Roman" w:hint="default"/>
        </w:rPr>
        <w:t>224,471,200.00</w:t>
      </w:r>
      <w:r>
        <w:rPr/>
        <w:t>元。由于增值税为价外税，增值税进项税人 民币</w:t>
      </w:r>
      <w:r>
        <w:rPr>
          <w:spacing w:val="35"/>
        </w:rPr>
        <w:t> </w:t>
      </w:r>
      <w:r>
        <w:rPr>
          <w:rFonts w:ascii="Times New Roman" w:hAnsi="Times New Roman" w:cs="Times New Roman" w:eastAsia="Times New Roman" w:hint="default"/>
          <w:spacing w:val="-2"/>
        </w:rPr>
        <w:t>2,345,094.34</w:t>
      </w:r>
      <w:r>
        <w:rPr>
          <w:spacing w:val="-2"/>
        </w:rPr>
        <w:t>元可予以抵扣，待抵扣后本公司募集资金入账金额为人民币</w:t>
      </w:r>
      <w:r>
        <w:rPr>
          <w:rFonts w:ascii="Times New Roman" w:hAnsi="Times New Roman" w:cs="Times New Roman" w:eastAsia="Times New Roman" w:hint="default"/>
          <w:spacing w:val="-2"/>
        </w:rPr>
        <w:t>226,816,294.34</w:t>
      </w:r>
      <w:r>
        <w:rPr>
          <w:spacing w:val="-2"/>
        </w:rPr>
        <w:t>元。本次募集资金业经大华会计</w:t>
      </w:r>
      <w:r>
        <w:rPr>
          <w:spacing w:val="-81"/>
        </w:rPr>
        <w:t> </w:t>
      </w:r>
      <w:r>
        <w:rPr>
          <w:spacing w:val="-81"/>
        </w:rPr>
      </w:r>
      <w:r>
        <w:rPr/>
        <w:t>师事务所（特殊普通合伙）出具的大华验字</w:t>
      </w:r>
      <w:r>
        <w:rPr>
          <w:rFonts w:ascii="Times New Roman" w:hAnsi="Times New Roman" w:cs="Times New Roman" w:eastAsia="Times New Roman" w:hint="default"/>
        </w:rPr>
        <w:t>[2016]000778</w:t>
      </w:r>
      <w:r>
        <w:rPr/>
        <w:t>号验资报告验证。</w:t>
      </w:r>
    </w:p>
    <w:p>
      <w:pPr>
        <w:pStyle w:val="BodyText"/>
        <w:spacing w:line="302" w:lineRule="auto" w:before="47"/>
        <w:ind w:right="0" w:firstLine="360"/>
        <w:jc w:val="left"/>
      </w:pPr>
      <w:r>
        <w:rPr/>
        <w:t>根据</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10</w:t>
      </w:r>
      <w:r>
        <w:rPr/>
        <w:t>日第二届董事会第十一次会议决议、</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5</w:t>
      </w:r>
      <w:r>
        <w:rPr/>
        <w:t>日的</w:t>
      </w:r>
      <w:r>
        <w:rPr>
          <w:rFonts w:ascii="Times New Roman" w:hAnsi="Times New Roman" w:cs="Times New Roman" w:eastAsia="Times New Roman" w:hint="default"/>
        </w:rPr>
        <w:t>2016</w:t>
      </w:r>
      <w:r>
        <w:rPr/>
        <w:t>年度股东大会决议以及中国证券登记结算有 </w:t>
      </w:r>
      <w:r>
        <w:rPr>
          <w:spacing w:val="-2"/>
        </w:rPr>
        <w:t>限责任公司登记的股本变更情况，本公司以总股本</w:t>
      </w:r>
      <w:r>
        <w:rPr>
          <w:rFonts w:ascii="Times New Roman" w:hAnsi="Times New Roman" w:cs="Times New Roman" w:eastAsia="Times New Roman" w:hint="default"/>
          <w:spacing w:val="-2"/>
        </w:rPr>
        <w:t>80,000,000</w:t>
      </w:r>
      <w:r>
        <w:rPr>
          <w:spacing w:val="-2"/>
        </w:rPr>
        <w:t>股为基数，全体股东每</w:t>
      </w:r>
      <w:r>
        <w:rPr>
          <w:rFonts w:ascii="Times New Roman" w:hAnsi="Times New Roman" w:cs="Times New Roman" w:eastAsia="Times New Roman" w:hint="default"/>
          <w:spacing w:val="-2"/>
        </w:rPr>
        <w:t>10</w:t>
      </w:r>
      <w:r>
        <w:rPr>
          <w:spacing w:val="-2"/>
        </w:rPr>
        <w:t>股转增</w:t>
      </w:r>
      <w:r>
        <w:rPr>
          <w:rFonts w:ascii="Times New Roman" w:hAnsi="Times New Roman" w:cs="Times New Roman" w:eastAsia="Times New Roman" w:hint="default"/>
          <w:spacing w:val="-2"/>
        </w:rPr>
        <w:t>25</w:t>
      </w:r>
      <w:r>
        <w:rPr>
          <w:spacing w:val="-2"/>
        </w:rPr>
        <w:t>股，共计转增</w:t>
      </w:r>
      <w:r>
        <w:rPr>
          <w:rFonts w:ascii="Times New Roman" w:hAnsi="Times New Roman" w:cs="Times New Roman" w:eastAsia="Times New Roman" w:hint="default"/>
          <w:spacing w:val="-2"/>
        </w:rPr>
        <w:t>200,000,000</w:t>
      </w:r>
      <w:r>
        <w:rPr>
          <w:spacing w:val="-2"/>
        </w:rPr>
        <w:t>股。</w:t>
      </w:r>
      <w:r>
        <w:rPr>
          <w:spacing w:val="-42"/>
        </w:rPr>
        <w:t> </w:t>
      </w:r>
      <w:r>
        <w:rPr/>
        <w:t>转增后公司总股本增加至</w:t>
      </w:r>
      <w:r>
        <w:rPr>
          <w:rFonts w:ascii="Times New Roman" w:hAnsi="Times New Roman" w:cs="Times New Roman" w:eastAsia="Times New Roman" w:hint="default"/>
        </w:rPr>
        <w:t>280,000,000.00</w:t>
      </w:r>
      <w:r>
        <w:rPr/>
        <w:t>元，并于</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12</w:t>
      </w:r>
      <w:r>
        <w:rPr/>
        <w:t>日办理工商变更登记。</w:t>
      </w:r>
    </w:p>
    <w:p>
      <w:pPr>
        <w:pStyle w:val="BodyText"/>
        <w:spacing w:line="338" w:lineRule="auto" w:before="52"/>
        <w:ind w:left="514" w:right="1118"/>
        <w:jc w:val="left"/>
      </w:pPr>
      <w:r>
        <w:rPr/>
        <w:t>公司现持有深圳市市场监督管理局核发的《营业执照》，统一社会信用代码为</w:t>
      </w:r>
      <w:r>
        <w:rPr>
          <w:rFonts w:ascii="Times New Roman" w:hAnsi="Times New Roman" w:cs="Times New Roman" w:eastAsia="Times New Roman" w:hint="default"/>
        </w:rPr>
        <w:t>9144030078526892XR</w:t>
      </w:r>
      <w:r>
        <w:rPr/>
        <w:t>。 本公司注册地址：深圳市南山区粤海街道学府路</w:t>
      </w:r>
      <w:r>
        <w:rPr>
          <w:rFonts w:ascii="Times New Roman" w:hAnsi="Times New Roman" w:cs="Times New Roman" w:eastAsia="Times New Roman" w:hint="default"/>
        </w:rPr>
        <w:t>63</w:t>
      </w:r>
      <w:r>
        <w:rPr/>
        <w:t>号高新区联合总部大厦</w:t>
      </w:r>
      <w:r>
        <w:rPr>
          <w:rFonts w:ascii="Times New Roman" w:hAnsi="Times New Roman" w:cs="Times New Roman" w:eastAsia="Times New Roman" w:hint="default"/>
        </w:rPr>
        <w:t>36</w:t>
      </w:r>
      <w:r>
        <w:rPr/>
        <w:t>楼；法定代表人：</w:t>
      </w:r>
      <w:r>
        <w:rPr>
          <w:rFonts w:ascii="Times New Roman" w:hAnsi="Times New Roman" w:cs="Times New Roman" w:eastAsia="Times New Roman" w:hint="default"/>
        </w:rPr>
        <w:t>GUO</w:t>
      </w:r>
      <w:r>
        <w:rPr>
          <w:rFonts w:ascii="Times New Roman" w:hAnsi="Times New Roman" w:cs="Times New Roman" w:eastAsia="Times New Roman" w:hint="default"/>
          <w:spacing w:val="-1"/>
        </w:rPr>
        <w:t> </w:t>
      </w:r>
      <w:r>
        <w:rPr>
          <w:rFonts w:ascii="Times New Roman" w:hAnsi="Times New Roman" w:cs="Times New Roman" w:eastAsia="Times New Roman" w:hint="default"/>
        </w:rPr>
        <w:t>SONG</w:t>
      </w:r>
      <w:r>
        <w:rPr/>
        <w:t>。 </w:t>
      </w:r>
      <w:r>
        <w:rPr>
          <w:rFonts w:ascii="Times New Roman" w:hAnsi="Times New Roman" w:cs="Times New Roman" w:eastAsia="Times New Roman" w:hint="default"/>
          <w:b/>
          <w:bCs/>
        </w:rPr>
        <w:t>2.</w:t>
      </w:r>
      <w:r>
        <w:rPr>
          <w:rFonts w:ascii="宋体" w:hAnsi="宋体" w:cs="宋体" w:eastAsia="宋体" w:hint="default"/>
          <w:b/>
          <w:bCs/>
        </w:rPr>
        <w:t>经营范围</w:t>
      </w:r>
      <w:r>
        <w:rPr>
          <w:rFonts w:ascii="宋体" w:hAnsi="宋体" w:cs="宋体" w:eastAsia="宋体" w:hint="default"/>
          <w:b/>
          <w:bCs/>
          <w:w w:val="99"/>
        </w:rPr>
        <w:t> </w:t>
      </w:r>
      <w:r>
        <w:rPr>
          <w:spacing w:val="-2"/>
        </w:rPr>
        <w:t>本公司经营范围主要包括：计算机软、硬件产品、电子产品、移动手持终端产品、自动识别产品、金融终端机具、移动</w:t>
      </w:r>
    </w:p>
    <w:p>
      <w:pPr>
        <w:pStyle w:val="BodyText"/>
        <w:spacing w:line="319" w:lineRule="auto" w:before="2"/>
        <w:ind w:right="0"/>
        <w:jc w:val="left"/>
      </w:pPr>
      <w:r>
        <w:rPr>
          <w:spacing w:val="-2"/>
        </w:rPr>
        <w:t>支付设备、手机的设计、研发、生产（生产项目由分支机构经营）、批发、进出口、租赁及相关配套业务（不涉及国营贸易</w:t>
      </w:r>
      <w:r>
        <w:rPr>
          <w:spacing w:val="-69"/>
        </w:rPr>
        <w:t> </w:t>
      </w:r>
      <w:r>
        <w:rPr>
          <w:spacing w:val="-69"/>
        </w:rPr>
      </w:r>
      <w:r>
        <w:rPr/>
        <w:t>管理商品，涉及配额、许可证管理及其它专项规定管理的商品，按国家有关规定办理申请）。</w:t>
      </w:r>
    </w:p>
    <w:p>
      <w:pPr>
        <w:spacing w:line="338" w:lineRule="auto" w:before="56"/>
        <w:ind w:left="514" w:right="0" w:firstLine="1"/>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公司业务性质和主要经营活动</w:t>
      </w:r>
      <w:r>
        <w:rPr>
          <w:rFonts w:ascii="宋体" w:hAnsi="宋体" w:cs="宋体" w:eastAsia="宋体" w:hint="default"/>
          <w:b/>
          <w:bCs/>
          <w:w w:val="99"/>
          <w:sz w:val="18"/>
          <w:szCs w:val="18"/>
        </w:rPr>
        <w:t> </w:t>
      </w:r>
      <w:r>
        <w:rPr>
          <w:rFonts w:ascii="宋体" w:hAnsi="宋体" w:cs="宋体" w:eastAsia="宋体" w:hint="default"/>
          <w:spacing w:val="-4"/>
          <w:sz w:val="18"/>
          <w:szCs w:val="18"/>
        </w:rPr>
        <w:t>本公司属计算机、通信和其他电子设备制造业。主营业务：提供以智能移动终端为载体的行业移动信息化应用解决方案，</w:t>
      </w:r>
    </w:p>
    <w:p>
      <w:pPr>
        <w:pStyle w:val="BodyText"/>
        <w:spacing w:line="348" w:lineRule="auto" w:before="4"/>
        <w:ind w:left="514" w:right="5712" w:hanging="360"/>
        <w:jc w:val="left"/>
      </w:pPr>
      <w:r>
        <w:rPr/>
        <w:t>协助客户构建基于移动应用的实时信息采集、传输及管理平台。 </w:t>
      </w:r>
      <w:r>
        <w:rPr>
          <w:rFonts w:ascii="Times New Roman" w:hAnsi="Times New Roman" w:cs="Times New Roman" w:eastAsia="Times New Roman" w:hint="default"/>
          <w:b/>
          <w:bCs/>
        </w:rPr>
        <w:t>4.</w:t>
      </w:r>
      <w:r>
        <w:rPr>
          <w:rFonts w:ascii="宋体" w:hAnsi="宋体" w:cs="宋体" w:eastAsia="宋体" w:hint="default"/>
          <w:b/>
          <w:bCs/>
        </w:rPr>
        <w:t>财务报表的批准报出</w:t>
      </w:r>
      <w:r>
        <w:rPr>
          <w:rFonts w:ascii="宋体" w:hAnsi="宋体" w:cs="宋体" w:eastAsia="宋体" w:hint="default"/>
          <w:b/>
          <w:bCs/>
          <w:w w:val="99"/>
        </w:rPr>
        <w:t> </w:t>
      </w:r>
      <w:r>
        <w:rPr/>
        <w:t>本财务报表业经公司全体董事于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26</w:t>
      </w:r>
      <w:r>
        <w:rPr/>
        <w:t>日批准报出。</w:t>
      </w:r>
    </w:p>
    <w:p>
      <w:pPr>
        <w:spacing w:line="240" w:lineRule="auto" w:before="0"/>
        <w:rPr>
          <w:rFonts w:ascii="宋体" w:hAnsi="宋体" w:cs="宋体" w:eastAsia="宋体" w:hint="default"/>
          <w:sz w:val="18"/>
          <w:szCs w:val="18"/>
        </w:rPr>
      </w:pPr>
    </w:p>
    <w:p>
      <w:pPr>
        <w:pStyle w:val="BodyText"/>
        <w:spacing w:line="240" w:lineRule="auto" w:before="130"/>
        <w:ind w:left="514" w:right="1134"/>
        <w:jc w:val="left"/>
      </w:pPr>
      <w:r>
        <w:rPr/>
        <w:t>本期纳入合并财务报表范围的主体共</w:t>
      </w:r>
      <w:r>
        <w:rPr>
          <w:rFonts w:ascii="Times New Roman" w:hAnsi="Times New Roman" w:cs="Times New Roman" w:eastAsia="Times New Roman" w:hint="default"/>
        </w:rPr>
        <w:t>11</w:t>
      </w:r>
      <w:r>
        <w:rPr/>
        <w:t>户，具体包括：</w:t>
      </w:r>
    </w:p>
    <w:p>
      <w:pPr>
        <w:spacing w:line="240" w:lineRule="auto" w:before="4"/>
        <w:rPr>
          <w:rFonts w:ascii="宋体" w:hAnsi="宋体" w:cs="宋体" w:eastAsia="宋体" w:hint="default"/>
          <w:sz w:val="7"/>
          <w:szCs w:val="7"/>
        </w:rPr>
      </w:pPr>
    </w:p>
    <w:tbl>
      <w:tblPr>
        <w:tblW w:w="0" w:type="auto"/>
        <w:jc w:val="left"/>
        <w:tblInd w:w="146" w:type="dxa"/>
        <w:tblLayout w:type="fixed"/>
        <w:tblCellMar>
          <w:top w:w="0" w:type="dxa"/>
          <w:left w:w="0" w:type="dxa"/>
          <w:bottom w:w="0" w:type="dxa"/>
          <w:right w:w="0" w:type="dxa"/>
        </w:tblCellMar>
        <w:tblLook w:val="01E0"/>
      </w:tblPr>
      <w:tblGrid>
        <w:gridCol w:w="5812"/>
        <w:gridCol w:w="992"/>
        <w:gridCol w:w="994"/>
        <w:gridCol w:w="850"/>
        <w:gridCol w:w="912"/>
      </w:tblGrid>
      <w:tr>
        <w:trPr>
          <w:trHeight w:val="734" w:hRule="exact"/>
        </w:trPr>
        <w:tc>
          <w:tcPr>
            <w:tcW w:w="581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99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6"/>
              <w:ind w:left="39" w:right="0"/>
              <w:jc w:val="left"/>
              <w:rPr>
                <w:rFonts w:ascii="宋体" w:hAnsi="宋体" w:cs="宋体" w:eastAsia="宋体" w:hint="default"/>
                <w:sz w:val="18"/>
                <w:szCs w:val="18"/>
              </w:rPr>
            </w:pPr>
            <w:r>
              <w:rPr>
                <w:rFonts w:ascii="宋体" w:hAnsi="宋体" w:cs="宋体" w:eastAsia="宋体" w:hint="default"/>
                <w:sz w:val="18"/>
                <w:szCs w:val="18"/>
              </w:rPr>
              <w:t>子公司类型</w:t>
            </w:r>
          </w:p>
        </w:tc>
        <w:tc>
          <w:tcPr>
            <w:tcW w:w="99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级次</w:t>
            </w:r>
          </w:p>
        </w:tc>
        <w:tc>
          <w:tcPr>
            <w:tcW w:w="85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持股比例</w:t>
            </w:r>
          </w:p>
          <w:p>
            <w:pPr>
              <w:pStyle w:val="TableParagraph"/>
              <w:spacing w:line="240" w:lineRule="auto" w:before="77"/>
              <w:ind w:right="1"/>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1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9" w:lineRule="auto" w:before="56"/>
              <w:ind w:left="103" w:right="89" w:hanging="16"/>
              <w:jc w:val="left"/>
              <w:rPr>
                <w:rFonts w:ascii="宋体" w:hAnsi="宋体" w:cs="宋体" w:eastAsia="宋体" w:hint="default"/>
                <w:sz w:val="18"/>
                <w:szCs w:val="18"/>
              </w:rPr>
            </w:pPr>
            <w:r>
              <w:rPr>
                <w:rFonts w:ascii="宋体" w:hAnsi="宋体" w:cs="宋体" w:eastAsia="宋体" w:hint="default"/>
                <w:sz w:val="18"/>
                <w:szCs w:val="18"/>
              </w:rPr>
              <w:t>表决权比 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427" w:hRule="exact"/>
        </w:trPr>
        <w:tc>
          <w:tcPr>
            <w:tcW w:w="5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深圳市正达资讯技术有限公司（以下简称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深圳正达资讯公司</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一级公司</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100.00</w:t>
            </w:r>
          </w:p>
        </w:tc>
        <w:tc>
          <w:tcPr>
            <w:tcW w:w="912"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96"/>
              <w:ind w:right="0"/>
              <w:jc w:val="right"/>
              <w:rPr>
                <w:rFonts w:ascii="Times New Roman" w:hAnsi="Times New Roman" w:cs="Times New Roman" w:eastAsia="Times New Roman" w:hint="default"/>
                <w:sz w:val="18"/>
                <w:szCs w:val="18"/>
              </w:rPr>
            </w:pPr>
            <w:r>
              <w:rPr>
                <w:rFonts w:ascii="Times New Roman"/>
                <w:sz w:val="18"/>
              </w:rPr>
              <w:t>100.00</w:t>
            </w:r>
          </w:p>
        </w:tc>
      </w:tr>
      <w:tr>
        <w:trPr>
          <w:trHeight w:val="427" w:hRule="exact"/>
        </w:trPr>
        <w:tc>
          <w:tcPr>
            <w:tcW w:w="5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深圳市蓝云达智能科技有限公司（以下简称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深圳蓝云达公司</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二级公司</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100.00</w:t>
            </w:r>
          </w:p>
        </w:tc>
        <w:tc>
          <w:tcPr>
            <w:tcW w:w="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100.00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6" w:type="dxa"/>
        <w:tblLayout w:type="fixed"/>
        <w:tblCellMar>
          <w:top w:w="0" w:type="dxa"/>
          <w:left w:w="0" w:type="dxa"/>
          <w:bottom w:w="0" w:type="dxa"/>
          <w:right w:w="0" w:type="dxa"/>
        </w:tblCellMar>
        <w:tblLook w:val="01E0"/>
      </w:tblPr>
      <w:tblGrid>
        <w:gridCol w:w="5812"/>
        <w:gridCol w:w="992"/>
        <w:gridCol w:w="994"/>
        <w:gridCol w:w="850"/>
        <w:gridCol w:w="912"/>
      </w:tblGrid>
      <w:tr>
        <w:trPr>
          <w:trHeight w:val="427" w:hRule="exact"/>
        </w:trPr>
        <w:tc>
          <w:tcPr>
            <w:tcW w:w="5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深圳市江南正鼎信息技术有限公司（以下简称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深圳江南正鼎公司</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一级公司</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100.00</w:t>
            </w:r>
          </w:p>
        </w:tc>
        <w:tc>
          <w:tcPr>
            <w:tcW w:w="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100.00</w:t>
            </w:r>
          </w:p>
        </w:tc>
      </w:tr>
      <w:tr>
        <w:trPr>
          <w:trHeight w:val="427" w:hRule="exact"/>
        </w:trPr>
        <w:tc>
          <w:tcPr>
            <w:tcW w:w="5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深圳市优博讯软件技术有限公司（以下简称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优博讯软件公司</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一级公司</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100.00</w:t>
            </w:r>
          </w:p>
        </w:tc>
        <w:tc>
          <w:tcPr>
            <w:tcW w:w="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100.00</w:t>
            </w:r>
          </w:p>
        </w:tc>
      </w:tr>
      <w:tr>
        <w:trPr>
          <w:trHeight w:val="426" w:hRule="exact"/>
        </w:trPr>
        <w:tc>
          <w:tcPr>
            <w:tcW w:w="5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Urovo Technology</w:t>
            </w:r>
            <w:r>
              <w:rPr>
                <w:rFonts w:ascii="Times New Roman" w:hAnsi="Times New Roman" w:cs="Times New Roman" w:eastAsia="Times New Roman" w:hint="default"/>
                <w:spacing w:val="-7"/>
                <w:sz w:val="18"/>
                <w:szCs w:val="18"/>
              </w:rPr>
              <w:t> </w:t>
            </w:r>
            <w:r>
              <w:rPr>
                <w:rFonts w:ascii="Times New Roman" w:hAnsi="Times New Roman" w:cs="Times New Roman" w:eastAsia="Times New Roman" w:hint="default"/>
                <w:sz w:val="18"/>
                <w:szCs w:val="18"/>
              </w:rPr>
              <w:t>Limited</w:t>
            </w:r>
            <w:r>
              <w:rPr>
                <w:rFonts w:ascii="宋体" w:hAnsi="宋体" w:cs="宋体" w:eastAsia="宋体" w:hint="default"/>
                <w:sz w:val="18"/>
                <w:szCs w:val="18"/>
              </w:rPr>
              <w:t>（以下简称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香港优博讯公司</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3"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sz w:val="18"/>
                <w:szCs w:val="18"/>
              </w:rPr>
              <w:t>一级公司</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100.00</w:t>
            </w:r>
          </w:p>
        </w:tc>
        <w:tc>
          <w:tcPr>
            <w:tcW w:w="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100.00</w:t>
            </w:r>
          </w:p>
        </w:tc>
      </w:tr>
      <w:tr>
        <w:trPr>
          <w:trHeight w:val="428" w:hRule="exact"/>
        </w:trPr>
        <w:tc>
          <w:tcPr>
            <w:tcW w:w="5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UROVO TECHNOLOGY(M)</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sz w:val="18"/>
                <w:szCs w:val="18"/>
              </w:rPr>
              <w:t>SDN.BHD</w:t>
            </w:r>
            <w:r>
              <w:rPr>
                <w:rFonts w:ascii="宋体" w:hAnsi="宋体" w:cs="宋体" w:eastAsia="宋体" w:hint="default"/>
                <w:sz w:val="18"/>
                <w:szCs w:val="18"/>
              </w:rPr>
              <w:t>（以下简称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马来西亚优博讯</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一级公司</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100.00</w:t>
            </w:r>
          </w:p>
        </w:tc>
        <w:tc>
          <w:tcPr>
            <w:tcW w:w="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100.00</w:t>
            </w:r>
          </w:p>
        </w:tc>
      </w:tr>
      <w:tr>
        <w:trPr>
          <w:trHeight w:val="427" w:hRule="exact"/>
        </w:trPr>
        <w:tc>
          <w:tcPr>
            <w:tcW w:w="5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深圳市优金支付科技有限公司（以下简称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优金支付公司</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一级公司</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100.00</w:t>
            </w:r>
          </w:p>
        </w:tc>
        <w:tc>
          <w:tcPr>
            <w:tcW w:w="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100.00</w:t>
            </w:r>
          </w:p>
        </w:tc>
      </w:tr>
      <w:tr>
        <w:trPr>
          <w:trHeight w:val="427" w:hRule="exact"/>
        </w:trPr>
        <w:tc>
          <w:tcPr>
            <w:tcW w:w="5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武汉市优博讯软件科技有限公司（以下简称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武汉优博讯软件公司</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left"/>
              <w:rPr>
                <w:rFonts w:ascii="宋体" w:hAnsi="宋体" w:cs="宋体" w:eastAsia="宋体" w:hint="default"/>
                <w:sz w:val="18"/>
                <w:szCs w:val="18"/>
              </w:rPr>
            </w:pPr>
            <w:r>
              <w:rPr>
                <w:rFonts w:ascii="宋体" w:hAnsi="宋体" w:cs="宋体" w:eastAsia="宋体" w:hint="default"/>
                <w:sz w:val="18"/>
                <w:szCs w:val="18"/>
              </w:rPr>
              <w:t>全资子公司</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一级公司</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100.00</w:t>
            </w:r>
          </w:p>
        </w:tc>
        <w:tc>
          <w:tcPr>
            <w:tcW w:w="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100.00</w:t>
            </w:r>
          </w:p>
        </w:tc>
      </w:tr>
      <w:tr>
        <w:trPr>
          <w:trHeight w:val="427" w:hRule="exact"/>
        </w:trPr>
        <w:tc>
          <w:tcPr>
            <w:tcW w:w="5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深圳市瑞柏泰电子有限公司（以下简称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瑞柏泰公司</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一级公司</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51.00</w:t>
            </w:r>
          </w:p>
        </w:tc>
        <w:tc>
          <w:tcPr>
            <w:tcW w:w="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51.00</w:t>
            </w:r>
          </w:p>
        </w:tc>
      </w:tr>
      <w:tr>
        <w:trPr>
          <w:trHeight w:val="427" w:hRule="exact"/>
        </w:trPr>
        <w:tc>
          <w:tcPr>
            <w:tcW w:w="5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深圳市帕思菲特科技有限公司（以下简称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帕思菲特公司</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二级公司</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100.00</w:t>
            </w:r>
          </w:p>
        </w:tc>
        <w:tc>
          <w:tcPr>
            <w:tcW w:w="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100.00</w:t>
            </w:r>
          </w:p>
        </w:tc>
      </w:tr>
      <w:tr>
        <w:trPr>
          <w:trHeight w:val="427" w:hRule="exact"/>
        </w:trPr>
        <w:tc>
          <w:tcPr>
            <w:tcW w:w="58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Easy Go Payment Technologies</w:t>
            </w:r>
            <w:r>
              <w:rPr>
                <w:rFonts w:ascii="Times New Roman" w:hAnsi="Times New Roman" w:cs="Times New Roman" w:eastAsia="Times New Roman" w:hint="default"/>
                <w:spacing w:val="-9"/>
                <w:sz w:val="18"/>
                <w:szCs w:val="18"/>
              </w:rPr>
              <w:t> </w:t>
            </w:r>
            <w:r>
              <w:rPr>
                <w:rFonts w:ascii="Times New Roman" w:hAnsi="Times New Roman" w:cs="Times New Roman" w:eastAsia="Times New Roman" w:hint="default"/>
                <w:sz w:val="18"/>
                <w:szCs w:val="18"/>
              </w:rPr>
              <w:t>Limited</w:t>
            </w:r>
            <w:r>
              <w:rPr>
                <w:rFonts w:ascii="宋体" w:hAnsi="宋体" w:cs="宋体" w:eastAsia="宋体" w:hint="default"/>
                <w:sz w:val="18"/>
                <w:szCs w:val="18"/>
              </w:rPr>
              <w:t>（以下简称</w:t>
            </w:r>
            <w:r>
              <w:rPr>
                <w:rFonts w:ascii="Times New Roman" w:hAnsi="Times New Roman" w:cs="Times New Roman" w:eastAsia="Times New Roman" w:hint="default"/>
                <w:sz w:val="18"/>
                <w:szCs w:val="18"/>
              </w:rPr>
              <w:t>“</w:t>
            </w:r>
            <w:r>
              <w:rPr>
                <w:rFonts w:ascii="宋体" w:hAnsi="宋体" w:cs="宋体" w:eastAsia="宋体" w:hint="default"/>
                <w:sz w:val="18"/>
                <w:szCs w:val="18"/>
              </w:rPr>
              <w:t>香港乐乐高</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9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3" w:right="0"/>
              <w:jc w:val="left"/>
              <w:rPr>
                <w:rFonts w:ascii="宋体" w:hAnsi="宋体" w:cs="宋体" w:eastAsia="宋体" w:hint="default"/>
                <w:sz w:val="18"/>
                <w:szCs w:val="18"/>
              </w:rPr>
            </w:pPr>
            <w:r>
              <w:rPr>
                <w:rFonts w:ascii="宋体" w:hAnsi="宋体" w:cs="宋体" w:eastAsia="宋体" w:hint="default"/>
                <w:sz w:val="18"/>
                <w:szCs w:val="18"/>
              </w:rPr>
              <w:t>控股子公司</w:t>
            </w:r>
          </w:p>
        </w:tc>
        <w:tc>
          <w:tcPr>
            <w:tcW w:w="9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sz w:val="18"/>
                <w:szCs w:val="18"/>
              </w:rPr>
              <w:t>二级公司</w:t>
            </w:r>
          </w:p>
        </w:tc>
        <w:tc>
          <w:tcPr>
            <w:tcW w:w="85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z w:val="18"/>
              </w:rPr>
              <w:t>100.00</w:t>
            </w:r>
          </w:p>
        </w:tc>
        <w:tc>
          <w:tcPr>
            <w:tcW w:w="9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100.00</w:t>
            </w:r>
          </w:p>
        </w:tc>
      </w:tr>
    </w:tbl>
    <w:p>
      <w:pPr>
        <w:pStyle w:val="BodyText"/>
        <w:spacing w:line="300" w:lineRule="auto" w:before="51"/>
        <w:ind w:right="1116" w:firstLine="360"/>
        <w:jc w:val="left"/>
      </w:pPr>
      <w:r>
        <w:rPr>
          <w:rFonts w:ascii="Times New Roman" w:hAnsi="Times New Roman" w:cs="Times New Roman" w:eastAsia="Times New Roman" w:hint="default"/>
          <w:spacing w:val="-1"/>
        </w:rPr>
        <w:t>*</w:t>
      </w:r>
      <w:r>
        <w:rPr>
          <w:spacing w:val="-1"/>
        </w:rPr>
        <w:t>本公司受让全资孙公司马来西亚优博讯公司</w:t>
      </w:r>
      <w:r>
        <w:rPr>
          <w:rFonts w:ascii="Times New Roman" w:hAnsi="Times New Roman" w:cs="Times New Roman" w:eastAsia="Times New Roman" w:hint="default"/>
          <w:spacing w:val="-1"/>
        </w:rPr>
        <w:t>100%</w:t>
      </w:r>
      <w:r>
        <w:rPr>
          <w:spacing w:val="-1"/>
        </w:rPr>
        <w:t>股权，马来西亚优博讯公司由公司的全资孙公司变为全资子公司，公</w:t>
      </w:r>
      <w:r>
        <w:rPr/>
        <w:t> 司合并报表范围未发生变化。</w:t>
      </w:r>
    </w:p>
    <w:p>
      <w:pPr>
        <w:pStyle w:val="BodyText"/>
        <w:spacing w:line="302" w:lineRule="auto" w:before="71"/>
        <w:ind w:right="1122" w:firstLine="360"/>
        <w:jc w:val="left"/>
      </w:pPr>
      <w:r>
        <w:rPr/>
        <w:t>本期纳入合并财务报表范围的主体较上期相比，增加</w:t>
      </w:r>
      <w:r>
        <w:rPr>
          <w:rFonts w:ascii="Times New Roman" w:hAnsi="Times New Roman" w:cs="Times New Roman" w:eastAsia="Times New Roman" w:hint="default"/>
        </w:rPr>
        <w:t>1</w:t>
      </w:r>
      <w:r>
        <w:rPr/>
        <w:t>户，其中：本期新纳入合并范围的子公司、特殊目的主体、通过 受托经营或承租等方式形成控制权的经营实体</w:t>
      </w:r>
    </w:p>
    <w:p>
      <w:pPr>
        <w:spacing w:line="240" w:lineRule="auto" w:before="5"/>
        <w:rPr>
          <w:rFonts w:ascii="宋体" w:hAnsi="宋体" w:cs="宋体" w:eastAsia="宋体" w:hint="default"/>
          <w:sz w:val="4"/>
          <w:szCs w:val="4"/>
        </w:rPr>
      </w:pPr>
    </w:p>
    <w:tbl>
      <w:tblPr>
        <w:tblW w:w="0" w:type="auto"/>
        <w:jc w:val="left"/>
        <w:tblInd w:w="146" w:type="dxa"/>
        <w:tblLayout w:type="fixed"/>
        <w:tblCellMar>
          <w:top w:w="0" w:type="dxa"/>
          <w:left w:w="0" w:type="dxa"/>
          <w:bottom w:w="0" w:type="dxa"/>
          <w:right w:w="0" w:type="dxa"/>
        </w:tblCellMar>
        <w:tblLook w:val="01E0"/>
      </w:tblPr>
      <w:tblGrid>
        <w:gridCol w:w="3778"/>
        <w:gridCol w:w="5784"/>
      </w:tblGrid>
      <w:tr>
        <w:trPr>
          <w:trHeight w:val="427" w:hRule="exact"/>
        </w:trPr>
        <w:tc>
          <w:tcPr>
            <w:tcW w:w="377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578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变更原因</w:t>
            </w:r>
          </w:p>
        </w:tc>
      </w:tr>
      <w:tr>
        <w:trPr>
          <w:trHeight w:val="428" w:hRule="exact"/>
        </w:trPr>
        <w:tc>
          <w:tcPr>
            <w:tcW w:w="377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香港乐乐高</w:t>
            </w:r>
          </w:p>
        </w:tc>
        <w:tc>
          <w:tcPr>
            <w:tcW w:w="57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新设</w:t>
            </w:r>
          </w:p>
        </w:tc>
      </w:tr>
    </w:tbl>
    <w:p>
      <w:pPr>
        <w:pStyle w:val="BodyText"/>
        <w:spacing w:line="240" w:lineRule="auto" w:before="51"/>
        <w:ind w:left="514" w:right="0"/>
        <w:jc w:val="left"/>
        <w:rPr>
          <w:rFonts w:ascii="Times New Roman" w:hAnsi="Times New Roman" w:cs="Times New Roman" w:eastAsia="Times New Roman" w:hint="default"/>
        </w:rPr>
      </w:pPr>
      <w:r>
        <w:rPr/>
        <w:t>瑞柏泰公司在香港投资设立全资子公司</w:t>
      </w:r>
      <w:r>
        <w:rPr>
          <w:rFonts w:ascii="Times New Roman" w:hAnsi="Times New Roman" w:cs="Times New Roman" w:eastAsia="Times New Roman" w:hint="default"/>
        </w:rPr>
        <w:t>Easy Go Payment Technologies</w:t>
      </w:r>
      <w:r>
        <w:rPr>
          <w:rFonts w:ascii="Times New Roman" w:hAnsi="Times New Roman" w:cs="Times New Roman" w:eastAsia="Times New Roman" w:hint="default"/>
          <w:spacing w:val="-19"/>
        </w:rPr>
        <w:t> </w:t>
      </w:r>
      <w:r>
        <w:rPr>
          <w:rFonts w:ascii="Times New Roman" w:hAnsi="Times New Roman" w:cs="Times New Roman" w:eastAsia="Times New Roman" w:hint="default"/>
        </w:rPr>
        <w:t>Limited</w:t>
      </w:r>
      <w:r>
        <w:rPr/>
        <w:t>（以下简称</w:t>
      </w:r>
      <w:r>
        <w:rPr>
          <w:rFonts w:ascii="Times New Roman" w:hAnsi="Times New Roman" w:cs="Times New Roman" w:eastAsia="Times New Roman" w:hint="default"/>
        </w:rPr>
        <w:t>“</w:t>
      </w:r>
      <w:r>
        <w:rPr/>
        <w:t>香港乐乐高</w:t>
      </w:r>
      <w:r>
        <w:rPr>
          <w:rFonts w:ascii="Times New Roman" w:hAnsi="Times New Roman" w:cs="Times New Roman" w:eastAsia="Times New Roman" w:hint="default"/>
        </w:rPr>
        <w:t>”</w:t>
      </w:r>
      <w:r>
        <w:rPr/>
        <w:t>），并于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p>
    <w:p>
      <w:pPr>
        <w:pStyle w:val="BodyText"/>
        <w:spacing w:line="340" w:lineRule="auto" w:before="63"/>
        <w:ind w:left="444" w:right="2383" w:hanging="291"/>
        <w:jc w:val="left"/>
      </w:pPr>
      <w:r>
        <w:rPr/>
        <w:t>月</w:t>
      </w:r>
      <w:r>
        <w:rPr>
          <w:rFonts w:ascii="Times New Roman" w:hAnsi="Times New Roman" w:cs="Times New Roman" w:eastAsia="Times New Roman" w:hint="default"/>
        </w:rPr>
        <w:t>4</w:t>
      </w:r>
      <w:r>
        <w:rPr/>
        <w:t>日取得香港特别行政区公司注册处签发的公司注册证明书。截止至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日，投资款尚未支付。 合并范围变更主体的具体信息详见</w:t>
      </w:r>
      <w:r>
        <w:rPr>
          <w:rFonts w:ascii="Times New Roman" w:hAnsi="Times New Roman" w:cs="Times New Roman" w:eastAsia="Times New Roman" w:hint="default"/>
        </w:rPr>
        <w:t>“</w:t>
      </w:r>
      <w:r>
        <w:rPr/>
        <w:t>附注八、合并范围的变更</w:t>
      </w:r>
      <w:r>
        <w:rPr>
          <w:rFonts w:ascii="Times New Roman" w:hAnsi="Times New Roman" w:cs="Times New Roman" w:eastAsia="Times New Roman" w:hint="default"/>
        </w:rPr>
        <w:t>”</w:t>
      </w:r>
      <w:r>
        <w:rPr/>
        <w:t>。</w:t>
      </w:r>
    </w:p>
    <w:p>
      <w:pPr>
        <w:spacing w:line="240" w:lineRule="auto" w:before="7"/>
        <w:rPr>
          <w:rFonts w:ascii="宋体" w:hAnsi="宋体" w:cs="宋体" w:eastAsia="宋体" w:hint="default"/>
          <w:sz w:val="17"/>
          <w:szCs w:val="17"/>
        </w:rPr>
      </w:pPr>
    </w:p>
    <w:p>
      <w:pPr>
        <w:pStyle w:val="Heading2"/>
        <w:spacing w:line="240" w:lineRule="auto"/>
        <w:ind w:right="1134"/>
        <w:jc w:val="left"/>
        <w:rPr>
          <w:b w:val="0"/>
          <w:bCs w:val="0"/>
        </w:rPr>
      </w:pPr>
      <w:bookmarkStart w:name="四、财务报表的编制基础" w:id="163"/>
      <w:bookmarkEnd w:id="163"/>
      <w:r>
        <w:rPr>
          <w:b w:val="0"/>
          <w:bCs w:val="0"/>
        </w:rPr>
      </w:r>
      <w:r>
        <w:rPr/>
        <w:t>四、财务报表的编制基础</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编制基础" w:id="164"/>
      <w:bookmarkEnd w:id="164"/>
      <w:r>
        <w:rPr>
          <w:b w:val="0"/>
          <w:bCs w:val="0"/>
        </w:rPr>
      </w:r>
      <w:r>
        <w:rPr>
          <w:rFonts w:ascii="Times New Roman" w:hAnsi="Times New Roman" w:cs="Times New Roman" w:eastAsia="Times New Roman" w:hint="default"/>
        </w:rPr>
        <w:t>1</w:t>
      </w:r>
      <w:r>
        <w:rPr/>
        <w:t>、编制基础</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right="1130" w:firstLine="420"/>
        <w:jc w:val="both"/>
      </w:pPr>
      <w:r>
        <w:rPr/>
        <w:t>本公司根据实际发生的交易和事项，按照财政部颁布的《企业会计准则</w:t>
      </w:r>
      <w:r>
        <w:rPr>
          <w:rFonts w:ascii="Times New Roman" w:hAnsi="Times New Roman" w:cs="Times New Roman" w:eastAsia="Times New Roman" w:hint="default"/>
        </w:rPr>
        <w:t>——</w:t>
      </w:r>
      <w:r>
        <w:rPr/>
        <w:t>基本准则》和具体企业会计准则、企业会 </w:t>
      </w:r>
      <w:r>
        <w:rPr>
          <w:spacing w:val="-2"/>
        </w:rPr>
        <w:t>计准则应用指南、企业会计准则解释及其他相关规定（以下合称</w:t>
      </w:r>
      <w:r>
        <w:rPr>
          <w:rFonts w:ascii="Times New Roman" w:hAnsi="Times New Roman" w:cs="Times New Roman" w:eastAsia="Times New Roman" w:hint="default"/>
          <w:spacing w:val="-2"/>
        </w:rPr>
        <w:t>“</w:t>
      </w:r>
      <w:r>
        <w:rPr>
          <w:spacing w:val="-2"/>
        </w:rPr>
        <w:t>企业会计准则</w:t>
      </w:r>
      <w:r>
        <w:rPr>
          <w:rFonts w:ascii="Times New Roman" w:hAnsi="Times New Roman" w:cs="Times New Roman" w:eastAsia="Times New Roman" w:hint="default"/>
          <w:spacing w:val="-2"/>
        </w:rPr>
        <w:t>”</w:t>
      </w:r>
      <w:r>
        <w:rPr>
          <w:spacing w:val="-2"/>
        </w:rPr>
        <w:t>）进行确认和计量，在此基础上，结合中国</w:t>
      </w:r>
      <w:r>
        <w:rPr>
          <w:spacing w:val="-47"/>
        </w:rPr>
        <w:t> </w:t>
      </w:r>
      <w:r>
        <w:rPr>
          <w:spacing w:val="-47"/>
        </w:rPr>
      </w:r>
      <w:r>
        <w:rPr>
          <w:spacing w:val="-2"/>
        </w:rPr>
        <w:t>证券监督管理委员会《公开发行证券的公司信息披露编报规则第</w:t>
      </w:r>
      <w:r>
        <w:rPr>
          <w:rFonts w:ascii="Times New Roman" w:hAnsi="Times New Roman" w:cs="Times New Roman" w:eastAsia="Times New Roman" w:hint="default"/>
          <w:spacing w:val="-2"/>
        </w:rPr>
        <w:t>15</w:t>
      </w:r>
      <w:r>
        <w:rPr>
          <w:spacing w:val="-2"/>
        </w:rPr>
        <w:t>号</w:t>
      </w:r>
      <w:r>
        <w:rPr>
          <w:rFonts w:ascii="Times New Roman" w:hAnsi="Times New Roman" w:cs="Times New Roman" w:eastAsia="Times New Roman" w:hint="default"/>
          <w:spacing w:val="-2"/>
        </w:rPr>
        <w:t>——</w:t>
      </w:r>
      <w:r>
        <w:rPr>
          <w:spacing w:val="-2"/>
        </w:rPr>
        <w:t>财务报告的一般规定》（</w:t>
      </w:r>
      <w:r>
        <w:rPr>
          <w:rFonts w:ascii="Times New Roman" w:hAnsi="Times New Roman" w:cs="Times New Roman" w:eastAsia="Times New Roman" w:hint="default"/>
          <w:spacing w:val="-2"/>
        </w:rPr>
        <w:t>2014</w:t>
      </w:r>
      <w:r>
        <w:rPr>
          <w:spacing w:val="-2"/>
        </w:rPr>
        <w:t>年修订）的规定，编</w:t>
      </w:r>
      <w:r>
        <w:rPr>
          <w:spacing w:val="-60"/>
        </w:rPr>
        <w:t> </w:t>
      </w:r>
      <w:r>
        <w:rPr>
          <w:spacing w:val="-60"/>
        </w:rPr>
      </w:r>
      <w:r>
        <w:rPr/>
        <w:t>制财务报表。</w:t>
      </w:r>
    </w:p>
    <w:p>
      <w:pPr>
        <w:spacing w:line="240" w:lineRule="auto" w:before="6"/>
        <w:rPr>
          <w:rFonts w:ascii="宋体" w:hAnsi="宋体" w:cs="宋体" w:eastAsia="宋体" w:hint="default"/>
          <w:sz w:val="23"/>
          <w:szCs w:val="23"/>
        </w:rPr>
      </w:pPr>
    </w:p>
    <w:p>
      <w:pPr>
        <w:pStyle w:val="Heading3"/>
        <w:spacing w:line="240" w:lineRule="auto"/>
        <w:ind w:right="1134"/>
        <w:jc w:val="left"/>
        <w:rPr>
          <w:b w:val="0"/>
          <w:bCs w:val="0"/>
        </w:rPr>
      </w:pPr>
      <w:bookmarkStart w:name="2、持续经营" w:id="165"/>
      <w:bookmarkEnd w:id="165"/>
      <w:r>
        <w:rPr>
          <w:b w:val="0"/>
          <w:bCs w:val="0"/>
        </w:rPr>
      </w:r>
      <w:r>
        <w:rPr>
          <w:rFonts w:ascii="Times New Roman" w:hAnsi="Times New Roman" w:cs="Times New Roman" w:eastAsia="Times New Roman" w:hint="default"/>
        </w:rPr>
        <w:t>2</w:t>
      </w:r>
      <w:r>
        <w:rPr/>
        <w:t>、持续经营</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right="1134" w:firstLine="290"/>
        <w:jc w:val="left"/>
      </w:pPr>
      <w:r>
        <w:rPr>
          <w:spacing w:val="-1"/>
        </w:rPr>
        <w:t>本公司对报告期末起</w:t>
      </w:r>
      <w:r>
        <w:rPr>
          <w:rFonts w:ascii="Times New Roman" w:hAnsi="Times New Roman" w:cs="Times New Roman" w:eastAsia="Times New Roman" w:hint="default"/>
          <w:spacing w:val="-1"/>
        </w:rPr>
        <w:t>12</w:t>
      </w:r>
      <w:r>
        <w:rPr>
          <w:spacing w:val="-1"/>
        </w:rPr>
        <w:t>个月的持续经营能力进行了评价，未发现对持续经营能力产生重大怀疑的事项或情况。因此，本</w:t>
      </w:r>
      <w:r>
        <w:rPr/>
        <w:t> 财务报表系在持续经营假设的基础上编制。</w:t>
      </w:r>
    </w:p>
    <w:p>
      <w:pPr>
        <w:spacing w:line="240" w:lineRule="auto" w:before="9"/>
        <w:rPr>
          <w:rFonts w:ascii="宋体" w:hAnsi="宋体" w:cs="宋体" w:eastAsia="宋体" w:hint="default"/>
          <w:sz w:val="21"/>
          <w:szCs w:val="21"/>
        </w:rPr>
      </w:pPr>
    </w:p>
    <w:p>
      <w:pPr>
        <w:pStyle w:val="Heading2"/>
        <w:spacing w:line="240" w:lineRule="auto"/>
        <w:ind w:right="1134"/>
        <w:jc w:val="left"/>
        <w:rPr>
          <w:b w:val="0"/>
          <w:bCs w:val="0"/>
        </w:rPr>
      </w:pPr>
      <w:bookmarkStart w:name="五、重要会计政策及会计估计" w:id="166"/>
      <w:bookmarkEnd w:id="166"/>
      <w:r>
        <w:rPr>
          <w:b w:val="0"/>
          <w:bCs w:val="0"/>
        </w:rPr>
      </w:r>
      <w:r>
        <w:rPr/>
        <w:t>五、重要会计政策及会计估计</w:t>
      </w:r>
      <w:r>
        <w:rPr>
          <w:b w:val="0"/>
          <w:bCs w:val="0"/>
        </w:rPr>
      </w:r>
    </w:p>
    <w:p>
      <w:pPr>
        <w:spacing w:line="240" w:lineRule="auto" w:before="7"/>
        <w:rPr>
          <w:rFonts w:ascii="宋体" w:hAnsi="宋体" w:cs="宋体" w:eastAsia="宋体" w:hint="default"/>
          <w:b/>
          <w:bCs/>
          <w:sz w:val="26"/>
          <w:szCs w:val="26"/>
        </w:rPr>
      </w:pPr>
    </w:p>
    <w:p>
      <w:pPr>
        <w:pStyle w:val="BodyText"/>
        <w:spacing w:line="357" w:lineRule="auto"/>
        <w:ind w:right="7692"/>
        <w:jc w:val="left"/>
      </w:pPr>
      <w:r>
        <w:rPr/>
        <w:t>公司是否需要遵守特殊行业的披露要求 否</w:t>
      </w:r>
    </w:p>
    <w:p>
      <w:pPr>
        <w:pStyle w:val="BodyText"/>
        <w:spacing w:line="357" w:lineRule="auto" w:before="29"/>
        <w:ind w:left="514" w:right="0" w:hanging="360"/>
        <w:jc w:val="left"/>
      </w:pPr>
      <w:r>
        <w:rPr/>
        <w:t>具体会计政策和会计估计提示： </w:t>
      </w:r>
      <w:r>
        <w:rPr>
          <w:spacing w:val="-2"/>
        </w:rPr>
        <w:t>本公司根据实际生产经营特点针对应收款项坏账准备计提、固定资产折旧、无形资产摊销、收入确认等交易或事项制定</w:t>
      </w:r>
    </w:p>
    <w:p>
      <w:pPr>
        <w:spacing w:after="0" w:line="357"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right="0"/>
        <w:jc w:val="both"/>
      </w:pPr>
      <w:r>
        <w:rPr/>
        <w:t>了具体会计政策和会计估计。</w:t>
      </w:r>
    </w:p>
    <w:p>
      <w:pPr>
        <w:spacing w:line="240" w:lineRule="auto" w:before="12"/>
        <w:rPr>
          <w:rFonts w:ascii="宋体" w:hAnsi="宋体" w:cs="宋体" w:eastAsia="宋体" w:hint="default"/>
          <w:sz w:val="26"/>
          <w:szCs w:val="26"/>
        </w:rPr>
      </w:pPr>
    </w:p>
    <w:p>
      <w:pPr>
        <w:pStyle w:val="Heading3"/>
        <w:spacing w:line="240" w:lineRule="auto"/>
        <w:ind w:right="0"/>
        <w:jc w:val="both"/>
        <w:rPr>
          <w:b w:val="0"/>
          <w:bCs w:val="0"/>
        </w:rPr>
      </w:pPr>
      <w:bookmarkStart w:name="1、遵循企业会计准则的声明" w:id="167"/>
      <w:bookmarkEnd w:id="167"/>
      <w:r>
        <w:rPr>
          <w:b w:val="0"/>
          <w:bCs w:val="0"/>
        </w:rPr>
      </w:r>
      <w:r>
        <w:rPr>
          <w:rFonts w:ascii="Times New Roman" w:hAnsi="Times New Roman" w:cs="Times New Roman" w:eastAsia="Times New Roman" w:hint="default"/>
        </w:rPr>
        <w:t>1</w:t>
      </w:r>
      <w:r>
        <w:rPr/>
        <w:t>、遵循企业会计准则的声明</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1152" w:firstLine="420"/>
        <w:jc w:val="left"/>
      </w:pPr>
      <w:r>
        <w:rPr/>
        <w:t>本公司所编制的财务报表符合企业会计准则的要求，真实、完整地反映了报告期公司的财务状况、经营成果、现金流 量等有关信息。</w:t>
      </w:r>
    </w:p>
    <w:p>
      <w:pPr>
        <w:spacing w:line="240" w:lineRule="auto" w:before="7"/>
        <w:rPr>
          <w:rFonts w:ascii="宋体" w:hAnsi="宋体" w:cs="宋体" w:eastAsia="宋体" w:hint="default"/>
          <w:sz w:val="22"/>
          <w:szCs w:val="22"/>
        </w:rPr>
      </w:pPr>
    </w:p>
    <w:p>
      <w:pPr>
        <w:pStyle w:val="Heading3"/>
        <w:spacing w:line="240" w:lineRule="auto"/>
        <w:ind w:right="0"/>
        <w:jc w:val="both"/>
        <w:rPr>
          <w:b w:val="0"/>
          <w:bCs w:val="0"/>
        </w:rPr>
      </w:pPr>
      <w:bookmarkStart w:name="2、会计期间" w:id="168"/>
      <w:bookmarkEnd w:id="168"/>
      <w:r>
        <w:rPr>
          <w:b w:val="0"/>
          <w:bCs w:val="0"/>
        </w:rPr>
      </w:r>
      <w:r>
        <w:rPr>
          <w:rFonts w:ascii="Times New Roman" w:hAnsi="Times New Roman" w:cs="Times New Roman" w:eastAsia="Times New Roman" w:hint="default"/>
        </w:rPr>
        <w:t>2</w:t>
      </w:r>
      <w:r>
        <w:rPr/>
        <w:t>、会计期间</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74" w:right="1134"/>
        <w:jc w:val="left"/>
      </w:pPr>
      <w:r>
        <w:rPr/>
        <w:t>自公历</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w:t>
      </w:r>
      <w:r>
        <w:rPr/>
        <w:t>日至</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日止为一个会计年度。</w:t>
      </w:r>
    </w:p>
    <w:p>
      <w:pPr>
        <w:spacing w:line="240" w:lineRule="auto" w:before="11"/>
        <w:rPr>
          <w:rFonts w:ascii="宋体" w:hAnsi="宋体" w:cs="宋体" w:eastAsia="宋体" w:hint="default"/>
          <w:sz w:val="25"/>
          <w:szCs w:val="25"/>
        </w:rPr>
      </w:pPr>
    </w:p>
    <w:p>
      <w:pPr>
        <w:pStyle w:val="Heading3"/>
        <w:spacing w:line="240" w:lineRule="auto"/>
        <w:ind w:right="0"/>
        <w:jc w:val="both"/>
        <w:rPr>
          <w:b w:val="0"/>
          <w:bCs w:val="0"/>
        </w:rPr>
      </w:pPr>
      <w:bookmarkStart w:name="3、营业周期" w:id="169"/>
      <w:bookmarkEnd w:id="169"/>
      <w:r>
        <w:rPr>
          <w:b w:val="0"/>
          <w:bCs w:val="0"/>
        </w:rPr>
      </w:r>
      <w:r>
        <w:rPr>
          <w:rFonts w:ascii="Times New Roman" w:hAnsi="Times New Roman" w:cs="Times New Roman" w:eastAsia="Times New Roman" w:hint="default"/>
        </w:rPr>
        <w:t>3</w:t>
      </w:r>
      <w:r>
        <w:rPr/>
        <w:t>、营业周期</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74" w:right="1134"/>
        <w:jc w:val="left"/>
      </w:pPr>
      <w:r>
        <w:rPr/>
        <w:t>公司经营业务的营业周期较短，以</w:t>
      </w:r>
      <w:r>
        <w:rPr>
          <w:rFonts w:ascii="Times New Roman" w:hAnsi="Times New Roman" w:cs="Times New Roman" w:eastAsia="Times New Roman" w:hint="default"/>
        </w:rPr>
        <w:t>12</w:t>
      </w:r>
      <w:r>
        <w:rPr/>
        <w:t>个月作为资产和负债的流动性划分标准。</w:t>
      </w:r>
    </w:p>
    <w:p>
      <w:pPr>
        <w:spacing w:line="240" w:lineRule="auto" w:before="11"/>
        <w:rPr>
          <w:rFonts w:ascii="宋体" w:hAnsi="宋体" w:cs="宋体" w:eastAsia="宋体" w:hint="default"/>
          <w:sz w:val="25"/>
          <w:szCs w:val="25"/>
        </w:rPr>
      </w:pPr>
    </w:p>
    <w:p>
      <w:pPr>
        <w:pStyle w:val="Heading3"/>
        <w:spacing w:line="240" w:lineRule="auto"/>
        <w:ind w:right="0"/>
        <w:jc w:val="both"/>
        <w:rPr>
          <w:b w:val="0"/>
          <w:bCs w:val="0"/>
        </w:rPr>
      </w:pPr>
      <w:bookmarkStart w:name="4、记账本位币" w:id="170"/>
      <w:bookmarkEnd w:id="170"/>
      <w:r>
        <w:rPr>
          <w:b w:val="0"/>
          <w:bCs w:val="0"/>
        </w:rPr>
      </w:r>
      <w:r>
        <w:rPr>
          <w:rFonts w:ascii="Times New Roman" w:hAnsi="Times New Roman" w:cs="Times New Roman" w:eastAsia="Times New Roman" w:hint="default"/>
        </w:rPr>
        <w:t>4</w:t>
      </w:r>
      <w:r>
        <w:rPr/>
        <w:t>、记账本位币</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574" w:right="2592"/>
        <w:jc w:val="left"/>
      </w:pPr>
      <w:r>
        <w:rPr/>
        <w:t>采用人民币为记账本位币。 境外子公司以其经营所处的主要经济环境中的货币为记账本位币，编制财务报表时折算为人民币。</w:t>
      </w:r>
    </w:p>
    <w:p>
      <w:pPr>
        <w:spacing w:line="240" w:lineRule="auto" w:before="7"/>
        <w:rPr>
          <w:rFonts w:ascii="宋体" w:hAnsi="宋体" w:cs="宋体" w:eastAsia="宋体" w:hint="default"/>
          <w:sz w:val="22"/>
          <w:szCs w:val="22"/>
        </w:rPr>
      </w:pPr>
    </w:p>
    <w:p>
      <w:pPr>
        <w:pStyle w:val="Heading3"/>
        <w:spacing w:line="240" w:lineRule="auto"/>
        <w:ind w:right="0"/>
        <w:jc w:val="both"/>
        <w:rPr>
          <w:b w:val="0"/>
          <w:bCs w:val="0"/>
        </w:rPr>
      </w:pPr>
      <w:bookmarkStart w:name="5、同一控制下和非同一控制下企业合并的会计处理方法" w:id="171"/>
      <w:bookmarkEnd w:id="171"/>
      <w:r>
        <w:rPr>
          <w:b w:val="0"/>
          <w:bCs w:val="0"/>
        </w:rPr>
      </w:r>
      <w:r>
        <w:rPr>
          <w:rFonts w:ascii="Times New Roman" w:hAnsi="Times New Roman" w:cs="Times New Roman" w:eastAsia="Times New Roman" w:hint="default"/>
        </w:rPr>
        <w:t>5</w:t>
      </w:r>
      <w:r>
        <w:rPr/>
        <w:t>、同一控制下和非同一控制下企业合并的会计处理方法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9" w:lineRule="auto"/>
        <w:ind w:right="0" w:firstLine="360"/>
        <w:jc w:val="left"/>
      </w:pPr>
      <w:r>
        <w:rPr>
          <w:rFonts w:ascii="宋体" w:hAnsi="宋体" w:cs="宋体" w:eastAsia="宋体" w:hint="default"/>
          <w:spacing w:val="-2"/>
        </w:rPr>
        <w:t>1.</w:t>
      </w:r>
      <w:r>
        <w:rPr>
          <w:spacing w:val="-2"/>
        </w:rPr>
        <w:t>分步实现企业合并过程中的各项交易的条款、条件以及经济影响符合以下一种或多种情况，将多次交易事项作为一揽</w:t>
      </w:r>
      <w:r>
        <w:rPr/>
        <w:t> 子交易进行会计处理</w:t>
      </w:r>
    </w:p>
    <w:p>
      <w:pPr>
        <w:pStyle w:val="BodyText"/>
        <w:spacing w:line="240" w:lineRule="auto" w:before="17"/>
        <w:ind w:left="511" w:right="1134"/>
        <w:jc w:val="left"/>
      </w:pPr>
      <w:r>
        <w:rPr/>
        <w:t>（</w:t>
      </w:r>
      <w:r>
        <w:rPr>
          <w:rFonts w:ascii="宋体" w:hAnsi="宋体" w:cs="宋体" w:eastAsia="宋体" w:hint="default"/>
        </w:rPr>
        <w:t>1</w:t>
      </w:r>
      <w:r>
        <w:rPr/>
        <w:t>）这些交易是同时或者在考虑了彼此影响的情况下订立的；</w:t>
      </w:r>
    </w:p>
    <w:p>
      <w:pPr>
        <w:pStyle w:val="BodyText"/>
        <w:spacing w:line="240" w:lineRule="auto" w:before="76"/>
        <w:ind w:left="511" w:right="1134"/>
        <w:jc w:val="left"/>
      </w:pPr>
      <w:r>
        <w:rPr/>
        <w:t>（</w:t>
      </w:r>
      <w:r>
        <w:rPr>
          <w:rFonts w:ascii="宋体" w:hAnsi="宋体" w:cs="宋体" w:eastAsia="宋体" w:hint="default"/>
        </w:rPr>
        <w:t>2</w:t>
      </w:r>
      <w:r>
        <w:rPr/>
        <w:t>）这些交易整体才能达成一项完整的商业结果；</w:t>
      </w:r>
    </w:p>
    <w:p>
      <w:pPr>
        <w:pStyle w:val="BodyText"/>
        <w:spacing w:line="240" w:lineRule="auto" w:before="76"/>
        <w:ind w:left="511" w:right="1134"/>
        <w:jc w:val="left"/>
      </w:pPr>
      <w:r>
        <w:rPr/>
        <w:t>（</w:t>
      </w:r>
      <w:r>
        <w:rPr>
          <w:rFonts w:ascii="宋体" w:hAnsi="宋体" w:cs="宋体" w:eastAsia="宋体" w:hint="default"/>
        </w:rPr>
        <w:t>3</w:t>
      </w:r>
      <w:r>
        <w:rPr/>
        <w:t>）一项交易的发生取决于其他至少一项交易的发生；</w:t>
      </w:r>
    </w:p>
    <w:p>
      <w:pPr>
        <w:pStyle w:val="BodyText"/>
        <w:spacing w:line="240" w:lineRule="auto" w:before="76"/>
        <w:ind w:left="511" w:right="1134"/>
        <w:jc w:val="left"/>
      </w:pPr>
      <w:r>
        <w:rPr/>
        <w:t>（</w:t>
      </w:r>
      <w:r>
        <w:rPr>
          <w:rFonts w:ascii="宋体" w:hAnsi="宋体" w:cs="宋体" w:eastAsia="宋体" w:hint="default"/>
        </w:rPr>
        <w:t>4</w:t>
      </w:r>
      <w:r>
        <w:rPr/>
        <w:t>）一项交易单独看是不经济的，但是和其他交易一并考虑时是经济的。</w:t>
      </w:r>
    </w:p>
    <w:p>
      <w:pPr>
        <w:pStyle w:val="BodyText"/>
        <w:spacing w:line="300" w:lineRule="auto" w:before="76"/>
        <w:ind w:left="511" w:right="0" w:firstLine="2"/>
        <w:jc w:val="left"/>
      </w:pPr>
      <w:r>
        <w:rPr>
          <w:rFonts w:ascii="Times New Roman" w:hAnsi="Times New Roman" w:cs="Times New Roman" w:eastAsia="Times New Roman" w:hint="default"/>
        </w:rPr>
        <w:t>2.</w:t>
      </w:r>
      <w:r>
        <w:rPr/>
        <w:t>同一控制下的企业合并 </w:t>
      </w:r>
      <w:r>
        <w:rPr>
          <w:spacing w:val="-2"/>
        </w:rPr>
        <w:t>本公司在企业合并中取得的资产和负债，按照合并日在被合并方资产、负债（包括最终控制方收购被合并方而形成的商</w:t>
      </w:r>
    </w:p>
    <w:p>
      <w:pPr>
        <w:pStyle w:val="BodyText"/>
        <w:spacing w:line="316" w:lineRule="auto" w:before="31"/>
        <w:ind w:right="0"/>
        <w:jc w:val="left"/>
      </w:pPr>
      <w:r>
        <w:rPr>
          <w:spacing w:val="-2"/>
        </w:rPr>
        <w:t>誉）在最终控制方合并财务报表中的账面价值计量。在合并中取得的净资产账面价值与支付的合并对价账面价值（或发行股</w:t>
      </w:r>
      <w:r>
        <w:rPr>
          <w:spacing w:val="-66"/>
        </w:rPr>
        <w:t> </w:t>
      </w:r>
      <w:r>
        <w:rPr>
          <w:spacing w:val="-66"/>
        </w:rPr>
      </w:r>
      <w:r>
        <w:rPr/>
        <w:t>份面值总额）的差额，调整资本公积中的股本溢价，资本公积中的股本溢价不足冲减的，调整留存收益。</w:t>
      </w:r>
    </w:p>
    <w:p>
      <w:pPr>
        <w:pStyle w:val="BodyText"/>
        <w:spacing w:line="240" w:lineRule="auto" w:before="19"/>
        <w:ind w:left="511" w:right="0"/>
        <w:jc w:val="left"/>
      </w:pPr>
      <w:r>
        <w:rPr/>
        <w:t>如果存在或有对价并需要确认预计负债或资产，该预计负债或资产金额与后续或有对价结算金额的差额，调整资本公积</w:t>
      </w:r>
    </w:p>
    <w:p>
      <w:pPr>
        <w:pStyle w:val="BodyText"/>
        <w:spacing w:line="316" w:lineRule="auto" w:before="76"/>
        <w:ind w:left="511" w:right="0" w:hanging="358"/>
        <w:jc w:val="left"/>
      </w:pPr>
      <w:r>
        <w:rPr/>
        <w:t>（资本溢价或股本溢价），资本公积不足的，调整留存收益。 </w:t>
      </w:r>
      <w:r>
        <w:rPr>
          <w:spacing w:val="-2"/>
        </w:rPr>
        <w:t>对于通过多次交易最终实现企业合并的，属于一揽子交易的，将各项交易作为一项取得控制权的交易进行会计处理；不</w:t>
      </w:r>
    </w:p>
    <w:p>
      <w:pPr>
        <w:pStyle w:val="BodyText"/>
        <w:spacing w:line="316" w:lineRule="auto" w:before="19"/>
        <w:ind w:right="1043"/>
        <w:jc w:val="both"/>
      </w:pPr>
      <w:r>
        <w:rPr>
          <w:spacing w:val="-2"/>
        </w:rPr>
        <w:t>属于一揽子交易的，在取得控制权日，长期股权投资初始投资成本，与达到合并前的长期股权投资账面价值加上合并日进一</w:t>
      </w:r>
      <w:r>
        <w:rPr>
          <w:spacing w:val="-66"/>
        </w:rPr>
        <w:t> </w:t>
      </w:r>
      <w:r>
        <w:rPr>
          <w:spacing w:val="-66"/>
        </w:rPr>
      </w:r>
      <w:r>
        <w:rPr>
          <w:spacing w:val="-2"/>
        </w:rPr>
        <w:t>步取得股份新支付对价的账面价值之和的差额，调整资本公积；资本公积不足冲减的，调整留存收益。对于合并日之前持有</w:t>
      </w:r>
      <w:r>
        <w:rPr>
          <w:spacing w:val="-66"/>
        </w:rPr>
        <w:t> </w:t>
      </w:r>
      <w:r>
        <w:rPr>
          <w:spacing w:val="-66"/>
        </w:rPr>
      </w:r>
      <w:r>
        <w:rPr>
          <w:spacing w:val="-2"/>
        </w:rPr>
        <w:t>的股权投资，因采用权益法核算或金融工具确认和计量准则核算而确认的其他综合收益，暂不进行会计处理，直至处置该项</w:t>
      </w:r>
      <w:r>
        <w:rPr>
          <w:spacing w:val="-66"/>
        </w:rPr>
        <w:t> </w:t>
      </w:r>
      <w:r>
        <w:rPr>
          <w:spacing w:val="-66"/>
        </w:rPr>
      </w:r>
      <w:r>
        <w:rPr>
          <w:spacing w:val="-2"/>
        </w:rPr>
        <w:t>投资时采用与被投资单位直接处置相关资产或负债相同的基础进行会计处理；因采用权益法核算而确认的被投资单位净资产</w:t>
      </w:r>
      <w:r>
        <w:rPr>
          <w:spacing w:val="-64"/>
        </w:rPr>
        <w:t> </w:t>
      </w:r>
      <w:r>
        <w:rPr>
          <w:spacing w:val="-64"/>
        </w:rPr>
      </w:r>
      <w:r>
        <w:rPr>
          <w:spacing w:val="-4"/>
        </w:rPr>
        <w:t>中除净损益、其他综合收益和利润分配以外的所有者权益其他变动，暂不进行会计处理，直至处置该项投资时转入当期损益。</w:t>
      </w:r>
    </w:p>
    <w:p>
      <w:pPr>
        <w:pStyle w:val="BodyText"/>
        <w:spacing w:line="316" w:lineRule="auto" w:before="19"/>
        <w:ind w:left="514" w:right="0"/>
        <w:jc w:val="left"/>
      </w:pPr>
      <w:r>
        <w:rPr>
          <w:rFonts w:ascii="宋体" w:hAnsi="宋体" w:cs="宋体" w:eastAsia="宋体" w:hint="default"/>
        </w:rPr>
        <w:t>3.</w:t>
      </w:r>
      <w:r>
        <w:rPr/>
        <w:t>非同一控制下的企业合并 </w:t>
      </w:r>
      <w:r>
        <w:rPr>
          <w:spacing w:val="-2"/>
        </w:rPr>
        <w:t>购买日是指本公司实际取得对被购买方控制权的日期，即被购买方的净资产或生产经营决策的控制权转移给本公司的日</w:t>
      </w:r>
    </w:p>
    <w:p>
      <w:pPr>
        <w:pStyle w:val="BodyText"/>
        <w:spacing w:line="240" w:lineRule="auto" w:before="19"/>
        <w:ind w:right="0"/>
        <w:jc w:val="both"/>
      </w:pPr>
      <w:r>
        <w:rPr/>
        <w:t>期。同时满足下列条件时，本公司一般认为实现了控制权的转移：</w:t>
      </w:r>
    </w:p>
    <w:p>
      <w:pPr>
        <w:pStyle w:val="BodyText"/>
        <w:spacing w:line="240" w:lineRule="auto" w:before="76"/>
        <w:ind w:left="514" w:right="1134"/>
        <w:jc w:val="left"/>
      </w:pPr>
      <w:r>
        <w:rPr/>
        <w:t>①企业合并合同或协议已获本公司内部权力机构通过。</w:t>
      </w:r>
    </w:p>
    <w:p>
      <w:pPr>
        <w:pStyle w:val="BodyText"/>
        <w:spacing w:line="240" w:lineRule="auto" w:before="76"/>
        <w:ind w:left="514" w:right="1134"/>
        <w:jc w:val="left"/>
      </w:pPr>
      <w:r>
        <w:rPr/>
        <w:t>②企业合并事项需要经过国家有关主管部门审批的，已获得批准。</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left="514" w:right="1134"/>
        <w:jc w:val="left"/>
      </w:pPr>
      <w:r>
        <w:rPr/>
        <w:t>③已办理了必要的财产权转移手续。</w:t>
      </w:r>
    </w:p>
    <w:p>
      <w:pPr>
        <w:pStyle w:val="BodyText"/>
        <w:spacing w:line="240" w:lineRule="auto" w:before="76"/>
        <w:ind w:left="514" w:right="1134"/>
        <w:jc w:val="left"/>
      </w:pPr>
      <w:r>
        <w:rPr/>
        <w:t>④本公司已支付了合并价款的大部分，并且有能力、有计划支付剩余款项。</w:t>
      </w:r>
    </w:p>
    <w:p>
      <w:pPr>
        <w:pStyle w:val="BodyText"/>
        <w:spacing w:line="316" w:lineRule="auto" w:before="76"/>
        <w:ind w:left="514" w:right="0"/>
        <w:jc w:val="left"/>
      </w:pPr>
      <w:r>
        <w:rPr/>
        <w:t>⑤本公司实际上已经控制了被购买方的财务和经营政策，并享有相应的利益、承担相应的风险。 </w:t>
      </w:r>
      <w:r>
        <w:rPr>
          <w:spacing w:val="-4"/>
        </w:rPr>
        <w:t>本公司在购买日对作为企业合并对价付出的资产、发生或承担的负债按照公允价值计量，公允价值与其账面价值的差额，</w:t>
      </w:r>
    </w:p>
    <w:p>
      <w:pPr>
        <w:pStyle w:val="BodyText"/>
        <w:spacing w:line="316" w:lineRule="auto" w:before="19"/>
        <w:ind w:left="514" w:right="1118" w:hanging="360"/>
        <w:jc w:val="left"/>
      </w:pPr>
      <w:r>
        <w:rPr/>
        <w:t>计入当期损益。 </w:t>
      </w:r>
      <w:r>
        <w:rPr>
          <w:spacing w:val="-2"/>
        </w:rPr>
        <w:t>本公司对合并成本大于合并中取得的被购买方可辨认净资产公允价值份额的差额，确认为商誉；合并成本小于合并中取</w:t>
      </w:r>
    </w:p>
    <w:p>
      <w:pPr>
        <w:pStyle w:val="BodyText"/>
        <w:spacing w:line="316" w:lineRule="auto" w:before="19"/>
        <w:ind w:left="514" w:right="0" w:hanging="360"/>
        <w:jc w:val="left"/>
      </w:pPr>
      <w:r>
        <w:rPr/>
        <w:t>得的被购买方可辨认净资产公允价值份额的差额，经复核后，计入当期损益。 </w:t>
      </w:r>
      <w:r>
        <w:rPr>
          <w:spacing w:val="-2"/>
        </w:rPr>
        <w:t>通过多次交换交易分步实现的非同一控制下企业合并，属于一揽子交易的，将各项交易作为一项取得控制权的交易进行</w:t>
      </w:r>
    </w:p>
    <w:p>
      <w:pPr>
        <w:pStyle w:val="BodyText"/>
        <w:spacing w:line="316" w:lineRule="auto" w:before="19"/>
        <w:ind w:right="1131"/>
        <w:jc w:val="both"/>
      </w:pPr>
      <w:r>
        <w:rPr>
          <w:spacing w:val="-2"/>
        </w:rPr>
        <w:t>会计处理；不属于一揽子交易的，合并日之前持有的股权投资采用权益法核算的，以购买日之前所持被购买方的股权投资的</w:t>
      </w:r>
      <w:r>
        <w:rPr>
          <w:spacing w:val="-66"/>
        </w:rPr>
        <w:t> </w:t>
      </w:r>
      <w:r>
        <w:rPr>
          <w:spacing w:val="-66"/>
        </w:rPr>
      </w:r>
      <w:r>
        <w:rPr>
          <w:spacing w:val="-2"/>
        </w:rPr>
        <w:t>账面价值与购买日新增投资成本之和，作为该项投资的初始投资成本；购买日之前持有的股权投资因采用权益法核算而确认</w:t>
      </w:r>
      <w:r>
        <w:rPr>
          <w:spacing w:val="-64"/>
        </w:rPr>
        <w:t> </w:t>
      </w:r>
      <w:r>
        <w:rPr>
          <w:spacing w:val="-64"/>
        </w:rPr>
      </w:r>
      <w:r>
        <w:rPr>
          <w:spacing w:val="-2"/>
        </w:rPr>
        <w:t>的其他综合收益，在处置该项投资时采用与被投资单位直接处置相关资产或负债相同的基础进行会计处理。合并日之前持有</w:t>
      </w:r>
      <w:r>
        <w:rPr>
          <w:spacing w:val="-64"/>
        </w:rPr>
        <w:t> </w:t>
      </w:r>
      <w:r>
        <w:rPr>
          <w:spacing w:val="-64"/>
        </w:rPr>
      </w:r>
      <w:r>
        <w:rPr>
          <w:spacing w:val="-2"/>
        </w:rPr>
        <w:t>的股权投资采用金融工具确认和计量准则核算的，以该股权投资在合并日的公允价值加上新增投资成本之和，作为合并日的</w:t>
      </w:r>
      <w:r>
        <w:rPr>
          <w:spacing w:val="-64"/>
        </w:rPr>
        <w:t> </w:t>
      </w:r>
      <w:r>
        <w:rPr>
          <w:spacing w:val="-64"/>
        </w:rPr>
      </w:r>
      <w:r>
        <w:rPr>
          <w:spacing w:val="-2"/>
        </w:rPr>
        <w:t>初始投资成本。原持有股权的公允价值与账面价值之间的差额以及原计入其他综合收益的累计公允价值变动应全部转入合并</w:t>
      </w:r>
      <w:r>
        <w:rPr>
          <w:spacing w:val="-64"/>
        </w:rPr>
        <w:t> </w:t>
      </w:r>
      <w:r>
        <w:rPr>
          <w:spacing w:val="-64"/>
        </w:rPr>
      </w:r>
      <w:r>
        <w:rPr/>
        <w:t>日当期的投资收益。</w:t>
      </w:r>
    </w:p>
    <w:p>
      <w:pPr>
        <w:pStyle w:val="BodyText"/>
        <w:spacing w:line="316" w:lineRule="auto" w:before="19"/>
        <w:ind w:left="514" w:right="0"/>
        <w:jc w:val="left"/>
      </w:pPr>
      <w:r>
        <w:rPr>
          <w:rFonts w:ascii="宋体" w:hAnsi="宋体" w:cs="宋体" w:eastAsia="宋体" w:hint="default"/>
        </w:rPr>
        <w:t>4.</w:t>
      </w:r>
      <w:r>
        <w:rPr/>
        <w:t>为合并发生的相关费用 </w:t>
      </w:r>
      <w:r>
        <w:rPr>
          <w:spacing w:val="-2"/>
        </w:rPr>
        <w:t>为企业合并发生的审计、法律服务、评估咨询等中介费用以及其他直接相关费用，于发生时计入当期损益；为企业合并</w:t>
      </w:r>
    </w:p>
    <w:p>
      <w:pPr>
        <w:pStyle w:val="BodyText"/>
        <w:spacing w:line="240" w:lineRule="auto" w:before="19"/>
        <w:ind w:right="1134"/>
        <w:jc w:val="left"/>
      </w:pPr>
      <w:r>
        <w:rPr/>
        <w:t>而发行权益性证券的交易费用，可直接归属于权益性交易的从权益中扣减。</w:t>
      </w:r>
    </w:p>
    <w:p>
      <w:pPr>
        <w:spacing w:line="240" w:lineRule="auto" w:before="12"/>
        <w:rPr>
          <w:rFonts w:ascii="宋体" w:hAnsi="宋体" w:cs="宋体" w:eastAsia="宋体" w:hint="default"/>
          <w:sz w:val="26"/>
          <w:szCs w:val="26"/>
        </w:rPr>
      </w:pPr>
    </w:p>
    <w:p>
      <w:pPr>
        <w:pStyle w:val="Heading3"/>
        <w:spacing w:line="240" w:lineRule="auto"/>
        <w:ind w:right="1134"/>
        <w:jc w:val="left"/>
        <w:rPr>
          <w:b w:val="0"/>
          <w:bCs w:val="0"/>
        </w:rPr>
      </w:pPr>
      <w:bookmarkStart w:name="6、合并财务报表的编制方法" w:id="172"/>
      <w:bookmarkEnd w:id="172"/>
      <w:r>
        <w:rPr>
          <w:b w:val="0"/>
          <w:bCs w:val="0"/>
        </w:rPr>
      </w:r>
      <w:r>
        <w:rPr>
          <w:rFonts w:ascii="Times New Roman" w:hAnsi="Times New Roman" w:cs="Times New Roman" w:eastAsia="Times New Roman" w:hint="default"/>
        </w:rPr>
        <w:t>6</w:t>
      </w:r>
      <w:r>
        <w:rPr/>
        <w:t>、合并财务报表的编制方法</w:t>
      </w:r>
      <w:r>
        <w:rPr>
          <w:b w:val="0"/>
          <w:bCs w:val="0"/>
        </w:rPr>
      </w:r>
    </w:p>
    <w:p>
      <w:pPr>
        <w:spacing w:line="240" w:lineRule="auto" w:before="7"/>
        <w:rPr>
          <w:rFonts w:ascii="宋体" w:hAnsi="宋体" w:cs="宋体" w:eastAsia="宋体" w:hint="default"/>
          <w:b/>
          <w:bCs/>
          <w:sz w:val="26"/>
          <w:szCs w:val="26"/>
        </w:rPr>
      </w:pPr>
    </w:p>
    <w:p>
      <w:pPr>
        <w:pStyle w:val="BodyText"/>
        <w:spacing w:line="307" w:lineRule="auto"/>
        <w:ind w:left="514" w:right="1034"/>
        <w:jc w:val="left"/>
      </w:pPr>
      <w:r>
        <w:rPr>
          <w:rFonts w:ascii="Times New Roman" w:hAnsi="Times New Roman" w:cs="Times New Roman" w:eastAsia="Times New Roman" w:hint="default"/>
        </w:rPr>
        <w:t>1.</w:t>
      </w:r>
      <w:r>
        <w:rPr/>
        <w:t>合并范围 </w:t>
      </w:r>
      <w:r>
        <w:rPr>
          <w:spacing w:val="-4"/>
        </w:rPr>
        <w:t>本公司合并财务报表的合并范围以控制为基础确定，所有子公司（包括本公司所控制的单独主体）均纳入合并财务报表。</w:t>
      </w:r>
      <w:r>
        <w:rPr>
          <w:spacing w:val="-52"/>
        </w:rPr>
        <w:t> </w:t>
      </w:r>
      <w:r>
        <w:rPr>
          <w:spacing w:val="-52"/>
        </w:rPr>
      </w:r>
      <w:r>
        <w:rPr>
          <w:rFonts w:ascii="Times New Roman" w:hAnsi="Times New Roman" w:cs="Times New Roman" w:eastAsia="Times New Roman" w:hint="default"/>
        </w:rPr>
        <w:t>2.</w:t>
      </w:r>
      <w:r>
        <w:rPr/>
        <w:t>合并程序 </w:t>
      </w:r>
      <w:r>
        <w:rPr>
          <w:spacing w:val="-2"/>
        </w:rPr>
        <w:t>本公司以自身和各子公司的财务报表为基础，根据其他有关资料，编制合并财务报表。本公司编制合并财务报表，将整</w:t>
      </w:r>
    </w:p>
    <w:p>
      <w:pPr>
        <w:pStyle w:val="BodyText"/>
        <w:spacing w:line="316" w:lineRule="auto" w:before="26"/>
        <w:ind w:right="1131"/>
        <w:jc w:val="both"/>
      </w:pPr>
      <w:r>
        <w:rPr>
          <w:spacing w:val="-2"/>
        </w:rPr>
        <w:t>个企业集团视为一个会计主体，依据相关企业会计准则的确认、计量和列报要求，按照统一的会计政策，反映本企业集团整</w:t>
      </w:r>
      <w:r>
        <w:rPr>
          <w:spacing w:val="-66"/>
        </w:rPr>
        <w:t> </w:t>
      </w:r>
      <w:r>
        <w:rPr>
          <w:spacing w:val="-66"/>
        </w:rPr>
      </w:r>
      <w:r>
        <w:rPr/>
        <w:t>体财务状况、经营成果和现金流量。</w:t>
      </w:r>
    </w:p>
    <w:p>
      <w:pPr>
        <w:pStyle w:val="BodyText"/>
        <w:spacing w:line="316" w:lineRule="auto" w:before="19"/>
        <w:ind w:right="1133" w:firstLine="360"/>
        <w:jc w:val="both"/>
      </w:pPr>
      <w:r>
        <w:rPr>
          <w:spacing w:val="-2"/>
        </w:rPr>
        <w:t>所有纳入合并财务报表合并范围的子公司所采用的会计政策、会计期间与本公司一致，如子公司采用的会计政策、会计</w:t>
      </w:r>
      <w:r>
        <w:rPr/>
        <w:t> 期间与本公司不一致的，在编制合并财务报表时，按本公司的会计政策、会计期间进行必要的调整。</w:t>
      </w:r>
    </w:p>
    <w:p>
      <w:pPr>
        <w:pStyle w:val="BodyText"/>
        <w:spacing w:line="316" w:lineRule="auto" w:before="19"/>
        <w:ind w:right="1132" w:firstLine="360"/>
        <w:jc w:val="both"/>
      </w:pPr>
      <w:r>
        <w:rPr>
          <w:spacing w:val="-2"/>
        </w:rPr>
        <w:t>合并财务报表时抵销本公司与各子公司、各子公司相互之间发生的内部交易对合并资产负债表、合并利润表、合并现金</w:t>
      </w:r>
      <w:r>
        <w:rPr/>
        <w:t> </w:t>
      </w:r>
      <w:r>
        <w:rPr>
          <w:spacing w:val="-2"/>
        </w:rPr>
        <w:t>流量表、合并股东权益变动表的影响。如果站在企业集团合并财务报表角度与以本公司或子公司为会计主体对同一交易的认</w:t>
      </w:r>
      <w:r>
        <w:rPr>
          <w:spacing w:val="-64"/>
        </w:rPr>
        <w:t> </w:t>
      </w:r>
      <w:r>
        <w:rPr>
          <w:spacing w:val="-64"/>
        </w:rPr>
      </w:r>
      <w:r>
        <w:rPr/>
        <w:t>定不同时，从企业集团的角度对该交易予以调整。</w:t>
      </w:r>
    </w:p>
    <w:p>
      <w:pPr>
        <w:pStyle w:val="BodyText"/>
        <w:spacing w:line="316" w:lineRule="auto" w:before="19"/>
        <w:ind w:right="1131" w:firstLine="360"/>
        <w:jc w:val="both"/>
      </w:pPr>
      <w:r>
        <w:rPr>
          <w:spacing w:val="-2"/>
        </w:rPr>
        <w:t>子公司所有者权益、当期净损益和当期综合收益中属于少数股东的份额分别在合并资产负债表中所有者权益项目下、合</w:t>
      </w:r>
      <w:r>
        <w:rPr/>
        <w:t> </w:t>
      </w:r>
      <w:r>
        <w:rPr>
          <w:spacing w:val="-2"/>
        </w:rPr>
        <w:t>并利润表中净利润项目下和综合收益总额项目下单独列示。子公司少数股东分担的当期亏损超过了少数股东在该子公司期初</w:t>
      </w:r>
      <w:r>
        <w:rPr>
          <w:spacing w:val="-64"/>
        </w:rPr>
        <w:t> </w:t>
      </w:r>
      <w:r>
        <w:rPr>
          <w:spacing w:val="-64"/>
        </w:rPr>
      </w:r>
      <w:r>
        <w:rPr/>
        <w:t>所有者权益中所享有份额而形成的余额，冲减少数股东权益。</w:t>
      </w:r>
    </w:p>
    <w:p>
      <w:pPr>
        <w:pStyle w:val="BodyText"/>
        <w:spacing w:line="316" w:lineRule="auto" w:before="19"/>
        <w:ind w:right="1130" w:firstLine="360"/>
        <w:jc w:val="both"/>
      </w:pPr>
      <w:r>
        <w:rPr>
          <w:spacing w:val="-2"/>
        </w:rPr>
        <w:t>对于同一控制下企业合并取得的子公司，以其资产、负债（包括最终控制方收购该子公司而形成的商誉）在最终控制方</w:t>
      </w:r>
      <w:r>
        <w:rPr/>
        <w:t> 财务报表中的账面价值为基础对其财务报表进行调整。</w:t>
      </w:r>
    </w:p>
    <w:p>
      <w:pPr>
        <w:pStyle w:val="BodyText"/>
        <w:spacing w:line="240" w:lineRule="auto" w:before="19"/>
        <w:ind w:left="514" w:right="1134"/>
        <w:jc w:val="left"/>
      </w:pPr>
      <w:r>
        <w:rPr/>
        <w:t>对于非同一控制下企业合并取得的子公司，以购买日可辨认净资产公允价值为基础对其财务报表进行调整</w:t>
      </w:r>
    </w:p>
    <w:p>
      <w:pPr>
        <w:pStyle w:val="BodyText"/>
        <w:spacing w:line="300" w:lineRule="auto" w:before="76"/>
        <w:ind w:left="514" w:right="0" w:firstLine="145"/>
        <w:jc w:val="left"/>
      </w:pPr>
      <w:r>
        <w:rPr/>
        <w:t>（</w:t>
      </w:r>
      <w:r>
        <w:rPr>
          <w:rFonts w:ascii="Times New Roman" w:hAnsi="Times New Roman" w:cs="Times New Roman" w:eastAsia="Times New Roman" w:hint="default"/>
        </w:rPr>
        <w:t>1</w:t>
      </w:r>
      <w:r>
        <w:rPr/>
        <w:t>）增加子公司或业务 </w:t>
      </w:r>
      <w:r>
        <w:rPr>
          <w:spacing w:val="-2"/>
        </w:rPr>
        <w:t>在报告期内，若因同一控制下企业合并增加子公司或业务的，则调整合并资产负债表的期初数；将子公司或业务合并当</w:t>
      </w:r>
    </w:p>
    <w:p>
      <w:pPr>
        <w:pStyle w:val="BodyText"/>
        <w:spacing w:line="319" w:lineRule="auto" w:before="31"/>
        <w:ind w:right="1133"/>
        <w:jc w:val="both"/>
      </w:pPr>
      <w:r>
        <w:rPr>
          <w:spacing w:val="-2"/>
        </w:rPr>
        <w:t>期期初至报告期末的收入、费用、利润纳入合并利润表；将子公司或业务合并当期期初至报告期末的现金流量纳入合并现金</w:t>
      </w:r>
      <w:r>
        <w:rPr>
          <w:spacing w:val="-66"/>
        </w:rPr>
        <w:t> </w:t>
      </w:r>
      <w:r>
        <w:rPr>
          <w:spacing w:val="-66"/>
        </w:rPr>
      </w:r>
      <w:r>
        <w:rPr/>
        <w:t>流量表，同时对比较报表的相关项目进行调整，视同合并后的报告主体自最终控制方开始控制时点起一直存在。</w:t>
      </w:r>
    </w:p>
    <w:p>
      <w:pPr>
        <w:pStyle w:val="BodyText"/>
        <w:spacing w:line="316" w:lineRule="auto" w:before="17"/>
        <w:ind w:right="1131" w:firstLine="360"/>
        <w:jc w:val="both"/>
      </w:pPr>
      <w:r>
        <w:rPr>
          <w:spacing w:val="-2"/>
        </w:rPr>
        <w:t>因追加投资等原因能够对同一控制下的被投资方实施控制的，视同参与合并的各方在最终控制方开始控制时即以目前的</w:t>
      </w:r>
      <w:r>
        <w:rPr/>
        <w:t> </w:t>
      </w:r>
      <w:r>
        <w:rPr>
          <w:spacing w:val="-2"/>
        </w:rPr>
        <w:t>状态存在进行调整。在取得被合并方控制权之前持有的股权投资，在取得原股权之日与合并方和被合并方同处于同一控制之</w:t>
      </w:r>
      <w:r>
        <w:rPr>
          <w:spacing w:val="-64"/>
        </w:rPr>
        <w:t> </w:t>
      </w:r>
      <w:r>
        <w:rPr>
          <w:spacing w:val="-64"/>
        </w:rPr>
      </w:r>
      <w:r>
        <w:rPr>
          <w:spacing w:val="-2"/>
        </w:rPr>
        <w:t>日孰晚日起至合并日之间已确认有关损益、其他综合收益以及其他净资产变动，分别冲减比较报表期间的期初留存收益或当</w:t>
      </w:r>
    </w:p>
    <w:p>
      <w:pPr>
        <w:spacing w:after="0" w:line="316"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right="1134"/>
        <w:jc w:val="left"/>
      </w:pPr>
      <w:r>
        <w:rPr/>
        <w:t>期损益。</w:t>
      </w:r>
    </w:p>
    <w:p>
      <w:pPr>
        <w:pStyle w:val="BodyText"/>
        <w:spacing w:line="316" w:lineRule="auto" w:before="76"/>
        <w:ind w:right="1132" w:firstLine="360"/>
        <w:jc w:val="both"/>
      </w:pPr>
      <w:r>
        <w:rPr>
          <w:spacing w:val="-2"/>
        </w:rPr>
        <w:t>在报告期内，若因非同一控制下企业合并增加子公司或业务的，则不调整合并资产负债表期初数；将该子公司或业务自</w:t>
      </w:r>
      <w:r>
        <w:rPr/>
        <w:t> </w:t>
      </w:r>
      <w:r>
        <w:rPr>
          <w:spacing w:val="-2"/>
        </w:rPr>
        <w:t>购买日至报告期末的收入、费用、利润纳入合并利润表；该子公司或业务自购买日至报告期末的现金流量纳入合并现金流量</w:t>
      </w:r>
      <w:r>
        <w:rPr>
          <w:spacing w:val="-65"/>
        </w:rPr>
        <w:t> </w:t>
      </w:r>
      <w:r>
        <w:rPr>
          <w:spacing w:val="-65"/>
        </w:rPr>
      </w:r>
      <w:r>
        <w:rPr/>
        <w:t>表。</w:t>
      </w:r>
    </w:p>
    <w:p>
      <w:pPr>
        <w:pStyle w:val="BodyText"/>
        <w:spacing w:line="316" w:lineRule="auto" w:before="19"/>
        <w:ind w:right="1132" w:firstLine="360"/>
        <w:jc w:val="both"/>
      </w:pPr>
      <w:r>
        <w:rPr>
          <w:spacing w:val="-2"/>
        </w:rPr>
        <w:t>因追加投资等原因能够对非同一控制下的被投资方实施控制的，对于购买日之前持有的被购买方的股权，本公司按照该</w:t>
      </w:r>
      <w:r>
        <w:rPr/>
        <w:t> </w:t>
      </w:r>
      <w:r>
        <w:rPr>
          <w:spacing w:val="-2"/>
        </w:rPr>
        <w:t>股权在购买日的公允价值进行重新计量，公允价值与其账面价值的差额计入当期投资收益。购买日之前持有的被购买方的股</w:t>
      </w:r>
      <w:r>
        <w:rPr>
          <w:spacing w:val="-64"/>
        </w:rPr>
        <w:t> </w:t>
      </w:r>
      <w:r>
        <w:rPr>
          <w:spacing w:val="-64"/>
        </w:rPr>
      </w:r>
      <w:r>
        <w:rPr>
          <w:spacing w:val="-2"/>
        </w:rPr>
        <w:t>权涉及权益法核算下的其他综合收益以及除净损益、其他综合收益和利润分配之外的其他所有者权益变动的，与其相关的其</w:t>
      </w:r>
      <w:r>
        <w:rPr>
          <w:spacing w:val="-64"/>
        </w:rPr>
        <w:t> </w:t>
      </w:r>
      <w:r>
        <w:rPr>
          <w:spacing w:val="-64"/>
        </w:rPr>
      </w:r>
      <w:r>
        <w:rPr>
          <w:spacing w:val="-2"/>
        </w:rPr>
        <w:t>他综合收益、其他所有者权益变动转为购买日所属当期投资收益，由于被投资方重新计量设定受益计划净负债或净资产变动</w:t>
      </w:r>
      <w:r>
        <w:rPr>
          <w:spacing w:val="-64"/>
        </w:rPr>
        <w:t> </w:t>
      </w:r>
      <w:r>
        <w:rPr>
          <w:spacing w:val="-64"/>
        </w:rPr>
      </w:r>
      <w:r>
        <w:rPr/>
        <w:t>而产生的其他综合收益除外。</w:t>
      </w:r>
    </w:p>
    <w:p>
      <w:pPr>
        <w:pStyle w:val="BodyText"/>
        <w:spacing w:line="240" w:lineRule="auto" w:before="19"/>
        <w:ind w:left="514" w:right="1134"/>
        <w:jc w:val="left"/>
      </w:pPr>
      <w:r>
        <w:rPr/>
        <w:t>（</w:t>
      </w:r>
      <w:r>
        <w:rPr>
          <w:rFonts w:ascii="Times New Roman" w:hAnsi="Times New Roman" w:cs="Times New Roman" w:eastAsia="Times New Roman" w:hint="default"/>
        </w:rPr>
        <w:t>2</w:t>
      </w:r>
      <w:r>
        <w:rPr/>
        <w:t>）处置子公司或业务</w:t>
      </w:r>
    </w:p>
    <w:p>
      <w:pPr>
        <w:pStyle w:val="BodyText"/>
        <w:spacing w:line="300" w:lineRule="auto" w:before="63"/>
        <w:ind w:left="514" w:right="0"/>
        <w:jc w:val="left"/>
      </w:pPr>
      <w:r>
        <w:rPr>
          <w:rFonts w:ascii="Times New Roman" w:hAnsi="Times New Roman" w:cs="Times New Roman" w:eastAsia="Times New Roman" w:hint="default"/>
        </w:rPr>
        <w:t>1</w:t>
      </w:r>
      <w:r>
        <w:rPr/>
        <w:t>）一般处理方法 </w:t>
      </w:r>
      <w:r>
        <w:rPr>
          <w:spacing w:val="-2"/>
        </w:rPr>
        <w:t>在报告期内，本公司处置子公司或业务，则该子公司或业务期初至处置日的收入、费用、利润纳入合并利润表；该子公</w:t>
      </w:r>
    </w:p>
    <w:p>
      <w:pPr>
        <w:pStyle w:val="BodyText"/>
        <w:spacing w:line="316" w:lineRule="auto" w:before="31"/>
        <w:ind w:left="514" w:right="0" w:hanging="360"/>
        <w:jc w:val="left"/>
      </w:pPr>
      <w:r>
        <w:rPr/>
        <w:t>司或业务期初至处置日的现金流量纳入合并现金流量表。 </w:t>
      </w:r>
      <w:r>
        <w:rPr>
          <w:spacing w:val="-2"/>
        </w:rPr>
        <w:t>因处置部分股权投资或其他原因丧失了对被投资方控制权时，对于处置后的剩余股权投资，本公司按照其在丧失控制权</w:t>
      </w:r>
    </w:p>
    <w:p>
      <w:pPr>
        <w:pStyle w:val="BodyText"/>
        <w:spacing w:line="316" w:lineRule="auto" w:before="19"/>
        <w:ind w:right="1032"/>
        <w:jc w:val="left"/>
      </w:pPr>
      <w:r>
        <w:rPr>
          <w:spacing w:val="-2"/>
        </w:rPr>
        <w:t>日的公允价值进行重新计量。处置股权取得的对价与剩余股权公允价值之和，减去按原持股比例计算应享有原有子公司自购</w:t>
      </w:r>
      <w:r>
        <w:rPr>
          <w:spacing w:val="-64"/>
        </w:rPr>
        <w:t> </w:t>
      </w:r>
      <w:r>
        <w:rPr>
          <w:spacing w:val="-64"/>
        </w:rPr>
      </w:r>
      <w:r>
        <w:rPr>
          <w:spacing w:val="-2"/>
        </w:rPr>
        <w:t>买日或合并日开始持续计算的净资产的份额与商誉之和的差额，计入丧失控制权当期的投资收益。与原有子公司股权投资相</w:t>
      </w:r>
      <w:r>
        <w:rPr>
          <w:spacing w:val="-64"/>
        </w:rPr>
        <w:t> </w:t>
      </w:r>
      <w:r>
        <w:rPr>
          <w:spacing w:val="-64"/>
        </w:rPr>
      </w:r>
      <w:r>
        <w:rPr/>
        <w:t>关的其他综合收益或除净损益、其他综合收益及利润分配之外的其他所有者权益变动，在丧失控制权时转为当期投资收益， 由于被投资方重新计量设定受益计划净负债或净资产变动而产生的其他综合收益除外。</w:t>
      </w:r>
    </w:p>
    <w:p>
      <w:pPr>
        <w:pStyle w:val="BodyText"/>
        <w:spacing w:line="300" w:lineRule="auto" w:before="19"/>
        <w:ind w:left="514" w:right="0"/>
        <w:jc w:val="left"/>
      </w:pPr>
      <w:r>
        <w:rPr>
          <w:rFonts w:ascii="Times New Roman" w:hAnsi="Times New Roman" w:cs="Times New Roman" w:eastAsia="Times New Roman" w:hint="default"/>
        </w:rPr>
        <w:t>2</w:t>
      </w:r>
      <w:r>
        <w:rPr/>
        <w:t>）分步处置子公司 </w:t>
      </w:r>
      <w:r>
        <w:rPr>
          <w:spacing w:val="-2"/>
        </w:rPr>
        <w:t>通过多次交易分步处置对子公司股权投资直至丧失控制权的，处置对子公司股权投资的各项交易的条款、条件以及经济</w:t>
      </w:r>
    </w:p>
    <w:p>
      <w:pPr>
        <w:pStyle w:val="BodyText"/>
        <w:spacing w:line="304" w:lineRule="auto" w:before="31"/>
        <w:ind w:left="514" w:right="3552" w:hanging="360"/>
        <w:jc w:val="left"/>
      </w:pPr>
      <w:r>
        <w:rPr/>
        <w:t>影响符合以下一种或多种情况，通常表明应将多次交易事项作为一揽子交易进行会计处理： </w:t>
      </w:r>
      <w:r>
        <w:rPr>
          <w:rFonts w:ascii="Times New Roman" w:hAnsi="Times New Roman" w:cs="Times New Roman" w:eastAsia="Times New Roman" w:hint="default"/>
        </w:rPr>
        <w:t>A.</w:t>
      </w:r>
      <w:r>
        <w:rPr/>
        <w:t>这些交易是同时或者在考虑了彼此影响的情况下订立的； </w:t>
      </w:r>
      <w:r>
        <w:rPr>
          <w:rFonts w:ascii="Times New Roman" w:hAnsi="Times New Roman" w:cs="Times New Roman" w:eastAsia="Times New Roman" w:hint="default"/>
        </w:rPr>
        <w:t>B.</w:t>
      </w:r>
      <w:r>
        <w:rPr/>
        <w:t>这些交易整体才能达成一项完整的商业结果； </w:t>
      </w:r>
      <w:r>
        <w:rPr>
          <w:rFonts w:ascii="Times New Roman" w:hAnsi="Times New Roman" w:cs="Times New Roman" w:eastAsia="Times New Roman" w:hint="default"/>
        </w:rPr>
        <w:t>C.</w:t>
      </w:r>
      <w:r>
        <w:rPr/>
        <w:t>一项交易的发生取决于其他至少一项交易的发生； </w:t>
      </w:r>
      <w:r>
        <w:rPr>
          <w:rFonts w:ascii="Times New Roman" w:hAnsi="Times New Roman" w:cs="Times New Roman" w:eastAsia="Times New Roman" w:hint="default"/>
        </w:rPr>
        <w:t>D.</w:t>
      </w:r>
      <w:r>
        <w:rPr/>
        <w:t>一项交易单独看是不经济的，但是和其他交易一并考虑时是经济的。</w:t>
      </w:r>
    </w:p>
    <w:p>
      <w:pPr>
        <w:pStyle w:val="BodyText"/>
        <w:spacing w:line="316" w:lineRule="auto" w:before="9"/>
        <w:ind w:right="1131" w:firstLine="360"/>
        <w:jc w:val="both"/>
      </w:pPr>
      <w:r>
        <w:rPr>
          <w:spacing w:val="-2"/>
        </w:rPr>
        <w:t>处置对子公司股权投资直至丧失控制权的各项交易属于一揽子交易的，本公司将各项交易作为一项处置子公司并丧失控</w:t>
      </w:r>
      <w:r>
        <w:rPr/>
        <w:t> </w:t>
      </w:r>
      <w:r>
        <w:rPr>
          <w:spacing w:val="-2"/>
        </w:rPr>
        <w:t>制权的交易进行会计处理；但是，在丧失控制权之前每一次处置价款与处置投资对应的享有该子公司净资产份额的差额，在</w:t>
      </w:r>
      <w:r>
        <w:rPr>
          <w:spacing w:val="-66"/>
        </w:rPr>
        <w:t> </w:t>
      </w:r>
      <w:r>
        <w:rPr>
          <w:spacing w:val="-66"/>
        </w:rPr>
      </w:r>
      <w:r>
        <w:rPr/>
        <w:t>合并财务报表中确认为其他综合收益，在丧失控制权时一并转入丧失控制权当期的损益。</w:t>
      </w:r>
    </w:p>
    <w:p>
      <w:pPr>
        <w:pStyle w:val="BodyText"/>
        <w:spacing w:line="316" w:lineRule="auto" w:before="19"/>
        <w:ind w:right="1132" w:firstLine="360"/>
        <w:jc w:val="both"/>
      </w:pPr>
      <w:r>
        <w:rPr>
          <w:spacing w:val="-2"/>
        </w:rPr>
        <w:t>处置对子公司股权投资直至丧失控制权的各项交易不属于一揽子交易的，在丧失控制权之前，按不丧失控制权的情况下</w:t>
      </w:r>
      <w:r>
        <w:rPr/>
        <w:t> 部分处置对子公司的股权投资的相关政策进行会计处理；在丧失控制权时，按处置子公司一般处理方法进行会计处理。</w:t>
      </w:r>
    </w:p>
    <w:p>
      <w:pPr>
        <w:pStyle w:val="BodyText"/>
        <w:spacing w:line="300" w:lineRule="auto" w:before="19"/>
        <w:ind w:left="514" w:right="0"/>
        <w:jc w:val="left"/>
      </w:pPr>
      <w:r>
        <w:rPr/>
        <w:t>（</w:t>
      </w:r>
      <w:r>
        <w:rPr>
          <w:rFonts w:ascii="Times New Roman" w:hAnsi="Times New Roman" w:cs="Times New Roman" w:eastAsia="Times New Roman" w:hint="default"/>
        </w:rPr>
        <w:t>3</w:t>
      </w:r>
      <w:r>
        <w:rPr/>
        <w:t>）购买子公司少数股权 </w:t>
      </w:r>
      <w:r>
        <w:rPr>
          <w:spacing w:val="-2"/>
        </w:rPr>
        <w:t>本公司因购买少数股权新取得的长期股权投资与按照新增持股比例计算应享有子公司自购买日（或合并日）开始持续计</w:t>
      </w:r>
    </w:p>
    <w:p>
      <w:pPr>
        <w:pStyle w:val="BodyText"/>
        <w:spacing w:line="316" w:lineRule="auto" w:before="31"/>
        <w:ind w:right="1118"/>
        <w:jc w:val="left"/>
      </w:pPr>
      <w:r>
        <w:rPr>
          <w:spacing w:val="-2"/>
        </w:rPr>
        <w:t>算的净资产份额之间的差额，调整合并资产负债表中的资本公积中的股本溢价，资本公积中的股本溢价不足冲减的，调整留</w:t>
      </w:r>
      <w:r>
        <w:rPr>
          <w:spacing w:val="-66"/>
        </w:rPr>
        <w:t> </w:t>
      </w:r>
      <w:r>
        <w:rPr>
          <w:spacing w:val="-66"/>
        </w:rPr>
      </w:r>
      <w:r>
        <w:rPr/>
        <w:t>存收益。</w:t>
      </w:r>
    </w:p>
    <w:p>
      <w:pPr>
        <w:pStyle w:val="BodyText"/>
        <w:spacing w:line="300" w:lineRule="auto" w:before="19"/>
        <w:ind w:left="514" w:right="1212"/>
        <w:jc w:val="left"/>
      </w:pPr>
      <w:r>
        <w:rPr/>
        <w:t>（</w:t>
      </w:r>
      <w:r>
        <w:rPr>
          <w:rFonts w:ascii="Times New Roman" w:hAnsi="Times New Roman" w:cs="Times New Roman" w:eastAsia="Times New Roman" w:hint="default"/>
        </w:rPr>
        <w:t>4</w:t>
      </w:r>
      <w:r>
        <w:rPr/>
        <w:t>）不丧失控制权的情况下部分处置对子公司的股权投资 在不丧失控制权的情况下因部分处置对子公司的长期股权投资而取得的处置价款与处置长期股权投资相对应享有子公</w:t>
      </w:r>
    </w:p>
    <w:p>
      <w:pPr>
        <w:pStyle w:val="BodyText"/>
        <w:spacing w:line="316" w:lineRule="auto" w:before="31"/>
        <w:ind w:right="0"/>
        <w:jc w:val="left"/>
      </w:pPr>
      <w:r>
        <w:rPr>
          <w:spacing w:val="-2"/>
        </w:rPr>
        <w:t>司自购买日或合并日开始持续计算的净资产份额之间的差额，调整合并资产负债表中的资本公积中的股本溢价，资本公积中</w:t>
      </w:r>
      <w:r>
        <w:rPr>
          <w:spacing w:val="-64"/>
        </w:rPr>
        <w:t> </w:t>
      </w:r>
      <w:r>
        <w:rPr>
          <w:spacing w:val="-64"/>
        </w:rPr>
      </w:r>
      <w:r>
        <w:rPr/>
        <w:t>的股本溢价不足冲减的，调整留存收益。</w:t>
      </w:r>
    </w:p>
    <w:p>
      <w:pPr>
        <w:spacing w:line="240" w:lineRule="auto" w:before="7"/>
        <w:rPr>
          <w:rFonts w:ascii="宋体" w:hAnsi="宋体" w:cs="宋体" w:eastAsia="宋体" w:hint="default"/>
          <w:sz w:val="22"/>
          <w:szCs w:val="22"/>
        </w:rPr>
      </w:pPr>
    </w:p>
    <w:p>
      <w:pPr>
        <w:pStyle w:val="Heading3"/>
        <w:spacing w:line="240" w:lineRule="auto"/>
        <w:ind w:right="1134"/>
        <w:jc w:val="left"/>
        <w:rPr>
          <w:b w:val="0"/>
          <w:bCs w:val="0"/>
        </w:rPr>
      </w:pPr>
      <w:bookmarkStart w:name="7、合营安排分类及共同经营会计处理方法" w:id="173"/>
      <w:bookmarkEnd w:id="173"/>
      <w:r>
        <w:rPr>
          <w:b w:val="0"/>
          <w:bCs w:val="0"/>
        </w:rPr>
      </w:r>
      <w:r>
        <w:rPr>
          <w:rFonts w:ascii="Times New Roman" w:hAnsi="Times New Roman" w:cs="Times New Roman" w:eastAsia="Times New Roman" w:hint="default"/>
        </w:rPr>
        <w:t>7</w:t>
      </w:r>
      <w:r>
        <w:rPr/>
        <w:t>、合营安排分类及共同经营会计处理方法</w:t>
      </w:r>
      <w:r>
        <w:rPr>
          <w:b w:val="0"/>
          <w:bCs w:val="0"/>
        </w:rPr>
      </w:r>
    </w:p>
    <w:p>
      <w:pPr>
        <w:spacing w:line="240" w:lineRule="auto" w:before="7"/>
        <w:rPr>
          <w:rFonts w:ascii="宋体" w:hAnsi="宋体" w:cs="宋体" w:eastAsia="宋体" w:hint="default"/>
          <w:b/>
          <w:bCs/>
          <w:sz w:val="26"/>
          <w:szCs w:val="26"/>
        </w:rPr>
      </w:pPr>
    </w:p>
    <w:p>
      <w:pPr>
        <w:pStyle w:val="BodyText"/>
        <w:spacing w:line="309" w:lineRule="auto"/>
        <w:ind w:left="514" w:right="7512"/>
        <w:jc w:val="left"/>
      </w:pPr>
      <w:r>
        <w:rPr>
          <w:rFonts w:ascii="Times New Roman" w:hAnsi="Times New Roman" w:cs="Times New Roman" w:eastAsia="Times New Roman" w:hint="default"/>
        </w:rPr>
        <w:t>1.</w:t>
      </w:r>
      <w:r>
        <w:rPr/>
        <w:t>合营安排的分类 合营安排分为共同经营和合营企业。 </w:t>
      </w:r>
      <w:r>
        <w:rPr>
          <w:rFonts w:ascii="Times New Roman" w:hAnsi="Times New Roman" w:cs="Times New Roman" w:eastAsia="Times New Roman" w:hint="default"/>
        </w:rPr>
        <w:t>2</w:t>
      </w:r>
      <w:r>
        <w:rPr/>
        <w:t>．共同经营参与方的会计处理</w:t>
      </w:r>
    </w:p>
    <w:p>
      <w:pPr>
        <w:spacing w:after="0" w:line="309"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left="514" w:right="1134"/>
        <w:jc w:val="left"/>
      </w:pPr>
      <w:r>
        <w:rPr/>
        <w:t>合营方确认其与共同经营中利益份额相关的下列项目，并按照相关企业会计准则的规定进行会计处理：</w:t>
      </w:r>
    </w:p>
    <w:p>
      <w:pPr>
        <w:pStyle w:val="BodyText"/>
        <w:spacing w:line="240" w:lineRule="auto" w:before="76"/>
        <w:ind w:left="514" w:right="1134"/>
        <w:jc w:val="left"/>
      </w:pPr>
      <w:r>
        <w:rPr>
          <w:rFonts w:ascii="Times New Roman" w:hAnsi="Times New Roman" w:cs="Times New Roman" w:eastAsia="Times New Roman" w:hint="default"/>
        </w:rPr>
        <w:t>1</w:t>
      </w:r>
      <w:r>
        <w:rPr/>
        <w:t>）确认单独所持有的资产，以及按其份额确认共同持有的资产；</w:t>
      </w:r>
    </w:p>
    <w:p>
      <w:pPr>
        <w:pStyle w:val="BodyText"/>
        <w:spacing w:line="240" w:lineRule="auto" w:before="63"/>
        <w:ind w:left="514" w:right="1134"/>
        <w:jc w:val="left"/>
      </w:pPr>
      <w:r>
        <w:rPr>
          <w:rFonts w:ascii="Times New Roman" w:hAnsi="Times New Roman" w:cs="Times New Roman" w:eastAsia="Times New Roman" w:hint="default"/>
        </w:rPr>
        <w:t>2</w:t>
      </w:r>
      <w:r>
        <w:rPr/>
        <w:t>）确认单独所承担的负债，以及按其份额确认共同承担的负债；</w:t>
      </w:r>
    </w:p>
    <w:p>
      <w:pPr>
        <w:pStyle w:val="BodyText"/>
        <w:spacing w:line="240" w:lineRule="auto" w:before="63"/>
        <w:ind w:left="514" w:right="1134"/>
        <w:jc w:val="left"/>
      </w:pPr>
      <w:r>
        <w:rPr>
          <w:rFonts w:ascii="Times New Roman" w:hAnsi="Times New Roman" w:cs="Times New Roman" w:eastAsia="Times New Roman" w:hint="default"/>
        </w:rPr>
        <w:t>3</w:t>
      </w:r>
      <w:r>
        <w:rPr/>
        <w:t>）确认出售其享有的共同经营产出份额所产生的收入；</w:t>
      </w:r>
    </w:p>
    <w:p>
      <w:pPr>
        <w:pStyle w:val="BodyText"/>
        <w:spacing w:line="240" w:lineRule="auto" w:before="63"/>
        <w:ind w:left="514" w:right="1134"/>
        <w:jc w:val="left"/>
      </w:pPr>
      <w:r>
        <w:rPr>
          <w:rFonts w:ascii="Times New Roman" w:hAnsi="Times New Roman" w:cs="Times New Roman" w:eastAsia="Times New Roman" w:hint="default"/>
        </w:rPr>
        <w:t>4</w:t>
      </w:r>
      <w:r>
        <w:rPr/>
        <w:t>）按其份额确认共同经营因出售产出所产生的收入；</w:t>
      </w:r>
    </w:p>
    <w:p>
      <w:pPr>
        <w:pStyle w:val="BodyText"/>
        <w:spacing w:line="300" w:lineRule="auto" w:before="63"/>
        <w:ind w:left="514" w:right="0"/>
        <w:jc w:val="left"/>
      </w:pPr>
      <w:r>
        <w:rPr>
          <w:rFonts w:ascii="Times New Roman" w:hAnsi="Times New Roman" w:cs="Times New Roman" w:eastAsia="Times New Roman" w:hint="default"/>
        </w:rPr>
        <w:t>5</w:t>
      </w:r>
      <w:r>
        <w:rPr/>
        <w:t>）确认单独所发生的费用，以及按其份额确认共同经营发生的费用。 </w:t>
      </w:r>
      <w:r>
        <w:rPr>
          <w:spacing w:val="-1"/>
        </w:rPr>
        <w:t>合营方向共同经营投出或出售资产等</w:t>
      </w:r>
      <w:r>
        <w:rPr>
          <w:rFonts w:ascii="Times New Roman" w:hAnsi="Times New Roman" w:cs="Times New Roman" w:eastAsia="Times New Roman" w:hint="default"/>
          <w:spacing w:val="-1"/>
        </w:rPr>
        <w:t>(</w:t>
      </w:r>
      <w:r>
        <w:rPr>
          <w:spacing w:val="-1"/>
        </w:rPr>
        <w:t>该资产构成业务的除外</w:t>
      </w:r>
      <w:r>
        <w:rPr>
          <w:rFonts w:ascii="Times New Roman" w:hAnsi="Times New Roman" w:cs="Times New Roman" w:eastAsia="Times New Roman" w:hint="default"/>
          <w:spacing w:val="-1"/>
        </w:rPr>
        <w:t>)</w:t>
      </w:r>
      <w:r>
        <w:rPr>
          <w:spacing w:val="-1"/>
        </w:rPr>
        <w:t>，在该资产等由共同经营出售给第三方之前，仅确认因该</w:t>
      </w:r>
    </w:p>
    <w:p>
      <w:pPr>
        <w:pStyle w:val="BodyText"/>
        <w:spacing w:line="300" w:lineRule="auto" w:before="13"/>
        <w:ind w:right="1122"/>
        <w:jc w:val="left"/>
      </w:pPr>
      <w:r>
        <w:rPr/>
        <w:t>交易产生的损益中归属于共同经营其他参与方的部分。投出或出售的资产发生符合《企业会计准则第</w:t>
      </w:r>
      <w:r>
        <w:rPr>
          <w:rFonts w:ascii="Times New Roman" w:hAnsi="Times New Roman" w:cs="Times New Roman" w:eastAsia="Times New Roman" w:hint="default"/>
        </w:rPr>
        <w:t>8</w:t>
      </w:r>
      <w:r>
        <w:rPr/>
        <w:t>号</w:t>
      </w:r>
      <w:r>
        <w:rPr>
          <w:rFonts w:ascii="Times New Roman" w:hAnsi="Times New Roman" w:cs="Times New Roman" w:eastAsia="Times New Roman" w:hint="default"/>
        </w:rPr>
        <w:t>——</w:t>
      </w:r>
      <w:r>
        <w:rPr/>
        <w:t>资产减值》等 规定的资产减值损失的，合营方全额确认该损失。</w:t>
      </w:r>
    </w:p>
    <w:p>
      <w:pPr>
        <w:pStyle w:val="BodyText"/>
        <w:spacing w:line="300" w:lineRule="auto" w:before="31"/>
        <w:ind w:right="0" w:firstLine="360"/>
        <w:jc w:val="left"/>
      </w:pPr>
      <w:r>
        <w:rPr/>
        <w:t>合营方自共同经营购买资产等</w:t>
      </w:r>
      <w:r>
        <w:rPr>
          <w:rFonts w:ascii="Times New Roman" w:hAnsi="Times New Roman" w:cs="Times New Roman" w:eastAsia="Times New Roman" w:hint="default"/>
        </w:rPr>
        <w:t>(</w:t>
      </w:r>
      <w:r>
        <w:rPr/>
        <w:t>该资产构成业务的除外</w:t>
      </w:r>
      <w:r>
        <w:rPr>
          <w:rFonts w:ascii="Times New Roman" w:hAnsi="Times New Roman" w:cs="Times New Roman" w:eastAsia="Times New Roman" w:hint="default"/>
        </w:rPr>
        <w:t>)</w:t>
      </w:r>
      <w:r>
        <w:rPr/>
        <w:t>，在将该资产等出售给第三方之前，仅确认因该交易产生的损益 </w:t>
      </w:r>
      <w:r>
        <w:rPr>
          <w:spacing w:val="-2"/>
        </w:rPr>
        <w:t>中归属于共同经营其他参与方的部分。购入的资产发生符合《企业会计准则第</w:t>
      </w:r>
      <w:r>
        <w:rPr>
          <w:rFonts w:ascii="Times New Roman" w:hAnsi="Times New Roman" w:cs="Times New Roman" w:eastAsia="Times New Roman" w:hint="default"/>
          <w:spacing w:val="-2"/>
        </w:rPr>
        <w:t>8</w:t>
      </w:r>
      <w:r>
        <w:rPr>
          <w:spacing w:val="-2"/>
        </w:rPr>
        <w:t>号</w:t>
      </w:r>
      <w:r>
        <w:rPr>
          <w:rFonts w:ascii="Times New Roman" w:hAnsi="Times New Roman" w:cs="Times New Roman" w:eastAsia="Times New Roman" w:hint="default"/>
          <w:spacing w:val="-2"/>
        </w:rPr>
        <w:t>——</w:t>
      </w:r>
      <w:r>
        <w:rPr>
          <w:spacing w:val="-2"/>
        </w:rPr>
        <w:t>资产减值》等规定的资产减值损失的，</w:t>
      </w:r>
      <w:r>
        <w:rPr>
          <w:spacing w:val="-64"/>
        </w:rPr>
        <w:t> </w:t>
      </w:r>
      <w:r>
        <w:rPr>
          <w:spacing w:val="-64"/>
        </w:rPr>
      </w:r>
      <w:r>
        <w:rPr/>
        <w:t>合营方按其承担的份额确认该部分损失。</w:t>
      </w:r>
    </w:p>
    <w:p>
      <w:pPr>
        <w:pStyle w:val="BodyText"/>
        <w:spacing w:line="316" w:lineRule="auto" w:before="31"/>
        <w:ind w:right="0" w:firstLine="360"/>
        <w:jc w:val="left"/>
      </w:pPr>
      <w:r>
        <w:rPr>
          <w:spacing w:val="-2"/>
        </w:rPr>
        <w:t>对共同经营不享有共同控制的参与方，如果享有该共同经营相关资产且承担该共同经营相关负债的，按照上述方法进行</w:t>
      </w:r>
      <w:r>
        <w:rPr/>
        <w:t> 会计处理；否则，按照相关企业会计准则的规定进行会计处理。</w:t>
      </w:r>
    </w:p>
    <w:p>
      <w:pPr>
        <w:spacing w:line="240" w:lineRule="auto" w:before="7"/>
        <w:rPr>
          <w:rFonts w:ascii="宋体" w:hAnsi="宋体" w:cs="宋体" w:eastAsia="宋体" w:hint="default"/>
          <w:sz w:val="22"/>
          <w:szCs w:val="22"/>
        </w:rPr>
      </w:pPr>
    </w:p>
    <w:p>
      <w:pPr>
        <w:pStyle w:val="Heading3"/>
        <w:spacing w:line="240" w:lineRule="auto"/>
        <w:ind w:right="1134"/>
        <w:jc w:val="left"/>
        <w:rPr>
          <w:b w:val="0"/>
          <w:bCs w:val="0"/>
        </w:rPr>
      </w:pPr>
      <w:bookmarkStart w:name="8、现金及现金等价物的确定标准" w:id="174"/>
      <w:bookmarkEnd w:id="174"/>
      <w:r>
        <w:rPr>
          <w:b w:val="0"/>
          <w:bCs w:val="0"/>
        </w:rPr>
      </w:r>
      <w:r>
        <w:rPr>
          <w:rFonts w:ascii="Times New Roman" w:hAnsi="Times New Roman" w:cs="Times New Roman" w:eastAsia="Times New Roman" w:hint="default"/>
        </w:rPr>
        <w:t>8</w:t>
      </w:r>
      <w:r>
        <w:rPr/>
        <w:t>、现金及现金等价物的确定标准</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right="0" w:firstLine="360"/>
        <w:jc w:val="left"/>
      </w:pPr>
      <w:r>
        <w:rPr>
          <w:spacing w:val="-2"/>
        </w:rPr>
        <w:t>在编制现金流量表时，将本公司库存现金以及可以随时用于支付的存款确认为现金。将同时具备期限短（一般从购买日</w:t>
      </w:r>
      <w:r>
        <w:rPr/>
        <w:t> 起三个月内到期）、流动性强、易于转换为已知金额的现金、价值变动风险很小四个条件的投资，确定为现金等价物。</w:t>
      </w:r>
    </w:p>
    <w:p>
      <w:pPr>
        <w:spacing w:line="240" w:lineRule="auto" w:before="7"/>
        <w:rPr>
          <w:rFonts w:ascii="宋体" w:hAnsi="宋体" w:cs="宋体" w:eastAsia="宋体" w:hint="default"/>
          <w:sz w:val="22"/>
          <w:szCs w:val="22"/>
        </w:rPr>
      </w:pPr>
    </w:p>
    <w:p>
      <w:pPr>
        <w:pStyle w:val="Heading3"/>
        <w:spacing w:line="240" w:lineRule="auto"/>
        <w:ind w:right="1134"/>
        <w:jc w:val="left"/>
        <w:rPr>
          <w:b w:val="0"/>
          <w:bCs w:val="0"/>
        </w:rPr>
      </w:pPr>
      <w:bookmarkStart w:name="9、外币业务和外币报表折算" w:id="175"/>
      <w:bookmarkEnd w:id="175"/>
      <w:r>
        <w:rPr>
          <w:b w:val="0"/>
          <w:bCs w:val="0"/>
        </w:rPr>
      </w:r>
      <w:r>
        <w:rPr>
          <w:rFonts w:ascii="Times New Roman" w:hAnsi="Times New Roman" w:cs="Times New Roman" w:eastAsia="Times New Roman" w:hint="default"/>
        </w:rPr>
        <w:t>9</w:t>
      </w:r>
      <w:r>
        <w:rPr/>
        <w:t>、外币业务和外币报表折算</w:t>
      </w:r>
      <w:r>
        <w:rPr>
          <w:b w:val="0"/>
          <w:bCs w:val="0"/>
        </w:rPr>
      </w:r>
    </w:p>
    <w:p>
      <w:pPr>
        <w:spacing w:line="240" w:lineRule="auto" w:before="7"/>
        <w:rPr>
          <w:rFonts w:ascii="宋体" w:hAnsi="宋体" w:cs="宋体" w:eastAsia="宋体" w:hint="default"/>
          <w:b/>
          <w:bCs/>
          <w:sz w:val="26"/>
          <w:szCs w:val="26"/>
        </w:rPr>
      </w:pPr>
    </w:p>
    <w:p>
      <w:pPr>
        <w:pStyle w:val="BodyText"/>
        <w:spacing w:line="316" w:lineRule="auto"/>
        <w:ind w:left="514" w:right="3192" w:firstLine="1"/>
        <w:jc w:val="left"/>
      </w:pPr>
      <w:r>
        <w:rPr>
          <w:rFonts w:ascii="宋体" w:hAnsi="宋体" w:cs="宋体" w:eastAsia="宋体" w:hint="default"/>
        </w:rPr>
        <w:t>1.</w:t>
      </w:r>
      <w:r>
        <w:rPr/>
        <w:t>外币业务 外币业务交易在初始确认时，采用交易发生日的即期汇率作为折算汇率折合成人民币记账。</w:t>
      </w:r>
    </w:p>
    <w:p>
      <w:pPr>
        <w:pStyle w:val="BodyText"/>
        <w:spacing w:line="316" w:lineRule="auto" w:before="19"/>
        <w:ind w:right="1132" w:firstLine="360"/>
        <w:jc w:val="both"/>
      </w:pPr>
      <w:r>
        <w:rPr>
          <w:spacing w:val="-2"/>
        </w:rPr>
        <w:t>资产负债表日，外币货币性项目按资产负债表日即期汇率折算，由此产生的汇兑差额，除属于与购建符合资本化条件的</w:t>
      </w:r>
      <w:r>
        <w:rPr/>
        <w:t> </w:t>
      </w:r>
      <w:r>
        <w:rPr>
          <w:spacing w:val="-2"/>
        </w:rPr>
        <w:t>资产相关的外币专门借款产生的汇兑差额按照借款费用资本化的原则处理外，均计入当期损益。以历史成本计量的外币非货</w:t>
      </w:r>
      <w:r>
        <w:rPr>
          <w:spacing w:val="-64"/>
        </w:rPr>
        <w:t> </w:t>
      </w:r>
      <w:r>
        <w:rPr>
          <w:spacing w:val="-64"/>
        </w:rPr>
      </w:r>
      <w:r>
        <w:rPr/>
        <w:t>币性项目，仍采用交易发生日的即期汇率折算，不改变其记账本位币金额。</w:t>
      </w:r>
    </w:p>
    <w:p>
      <w:pPr>
        <w:pStyle w:val="BodyText"/>
        <w:spacing w:line="316" w:lineRule="auto" w:before="19"/>
        <w:ind w:right="0" w:firstLine="360"/>
        <w:jc w:val="left"/>
      </w:pPr>
      <w:r>
        <w:rPr>
          <w:spacing w:val="-2"/>
        </w:rPr>
        <w:t>以公允价值计量的外币非货币性项目，采用公允价值确定日的即期汇率折算，由此产生的汇兑差额作为公允价值变动损</w:t>
      </w:r>
      <w:r>
        <w:rPr/>
        <w:t> 益计入当期损益。如属于可供出售外币非货币性项目的，形成的汇兑差额计入其他综合收益。</w:t>
      </w:r>
    </w:p>
    <w:p>
      <w:pPr>
        <w:pStyle w:val="BodyText"/>
        <w:spacing w:line="300" w:lineRule="auto" w:before="19"/>
        <w:ind w:left="514" w:right="1134" w:firstLine="1"/>
        <w:jc w:val="left"/>
      </w:pPr>
      <w:r>
        <w:rPr>
          <w:rFonts w:ascii="Times New Roman" w:hAnsi="Times New Roman" w:cs="Times New Roman" w:eastAsia="Times New Roman" w:hint="default"/>
        </w:rPr>
        <w:t>2.</w:t>
      </w:r>
      <w:r>
        <w:rPr/>
        <w:t>外币财务报表的折算 </w:t>
      </w:r>
      <w:r>
        <w:rPr>
          <w:spacing w:val="-2"/>
        </w:rPr>
        <w:t>资产负债表中的资产和负债项目，采用资产负债表日的即期汇率折算；所有者权益项目除</w:t>
      </w:r>
      <w:r>
        <w:rPr>
          <w:rFonts w:ascii="Times New Roman" w:hAnsi="Times New Roman" w:cs="Times New Roman" w:eastAsia="Times New Roman" w:hint="default"/>
          <w:spacing w:val="-2"/>
        </w:rPr>
        <w:t>“</w:t>
      </w:r>
      <w:r>
        <w:rPr>
          <w:spacing w:val="-2"/>
        </w:rPr>
        <w:t>未分配利润</w:t>
      </w:r>
      <w:r>
        <w:rPr>
          <w:rFonts w:ascii="Times New Roman" w:hAnsi="Times New Roman" w:cs="Times New Roman" w:eastAsia="Times New Roman" w:hint="default"/>
          <w:spacing w:val="-2"/>
        </w:rPr>
        <w:t>”</w:t>
      </w:r>
      <w:r>
        <w:rPr>
          <w:spacing w:val="-2"/>
        </w:rPr>
        <w:t>项目外，其他项</w:t>
      </w:r>
    </w:p>
    <w:p>
      <w:pPr>
        <w:pStyle w:val="BodyText"/>
        <w:spacing w:line="316" w:lineRule="auto" w:before="13"/>
        <w:ind w:right="0"/>
        <w:jc w:val="left"/>
      </w:pPr>
      <w:r>
        <w:rPr>
          <w:spacing w:val="-2"/>
        </w:rPr>
        <w:t>目采用发生时的即期汇率折算。利润表中的收入和费用项目，采用交易发生日的即期汇率折算。按照上述折算产生的外币财</w:t>
      </w:r>
      <w:r>
        <w:rPr>
          <w:spacing w:val="-66"/>
        </w:rPr>
        <w:t> </w:t>
      </w:r>
      <w:r>
        <w:rPr>
          <w:spacing w:val="-66"/>
        </w:rPr>
      </w:r>
      <w:r>
        <w:rPr/>
        <w:t>务报表折算差额计入其他综合收益。</w:t>
      </w:r>
    </w:p>
    <w:p>
      <w:pPr>
        <w:pStyle w:val="BodyText"/>
        <w:spacing w:line="316" w:lineRule="auto" w:before="19"/>
        <w:ind w:right="1131" w:firstLine="360"/>
        <w:jc w:val="both"/>
      </w:pPr>
      <w:r>
        <w:rPr>
          <w:spacing w:val="-2"/>
        </w:rPr>
        <w:t>处置境外经营时，将资产负债表中其他综合收益项目中列示的、与该境外经营相关的外币财务报表折算差额，自其他综</w:t>
      </w:r>
      <w:r>
        <w:rPr/>
        <w:t> </w:t>
      </w:r>
      <w:r>
        <w:rPr>
          <w:spacing w:val="-2"/>
        </w:rPr>
        <w:t>合收益项目转入处置当期损益；在处置部分股权投资或其他原因导致持有境外经营权益比例降低但不丧失对境外经营控制权</w:t>
      </w:r>
      <w:r>
        <w:rPr>
          <w:spacing w:val="-64"/>
        </w:rPr>
        <w:t> </w:t>
      </w:r>
      <w:r>
        <w:rPr>
          <w:spacing w:val="-64"/>
        </w:rPr>
      </w:r>
      <w:r>
        <w:rPr>
          <w:spacing w:val="-2"/>
        </w:rPr>
        <w:t>时，与该境外经营处置部分相关的外币报表折算差额将归属于少数股东权益，不转入当期损益。在处置境外经营为联营企业</w:t>
      </w:r>
      <w:r>
        <w:rPr>
          <w:spacing w:val="-66"/>
        </w:rPr>
        <w:t> </w:t>
      </w:r>
      <w:r>
        <w:rPr>
          <w:spacing w:val="-66"/>
        </w:rPr>
      </w:r>
      <w:r>
        <w:rPr/>
        <w:t>或合营企业的部分股权时，与该境外经营相关的外币报表折算差额，按处置该境外经营的比例转入处置当期损益。</w:t>
      </w:r>
    </w:p>
    <w:p>
      <w:pPr>
        <w:spacing w:line="240" w:lineRule="auto" w:before="7"/>
        <w:rPr>
          <w:rFonts w:ascii="宋体" w:hAnsi="宋体" w:cs="宋体" w:eastAsia="宋体" w:hint="default"/>
          <w:sz w:val="22"/>
          <w:szCs w:val="22"/>
        </w:rPr>
      </w:pPr>
    </w:p>
    <w:p>
      <w:pPr>
        <w:pStyle w:val="Heading3"/>
        <w:spacing w:line="240" w:lineRule="auto"/>
        <w:ind w:right="1134"/>
        <w:jc w:val="left"/>
        <w:rPr>
          <w:b w:val="0"/>
          <w:bCs w:val="0"/>
        </w:rPr>
      </w:pPr>
      <w:bookmarkStart w:name="10、金融工具" w:id="176"/>
      <w:bookmarkEnd w:id="176"/>
      <w:r>
        <w:rPr>
          <w:b w:val="0"/>
          <w:bCs w:val="0"/>
        </w:rPr>
      </w:r>
      <w:r>
        <w:rPr>
          <w:rFonts w:ascii="Times New Roman" w:hAnsi="Times New Roman" w:cs="Times New Roman" w:eastAsia="Times New Roman" w:hint="default"/>
        </w:rPr>
        <w:t>10</w:t>
      </w:r>
      <w:r>
        <w:rPr/>
        <w:t>、金融工具</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514" w:right="1134"/>
        <w:jc w:val="left"/>
      </w:pPr>
      <w:r>
        <w:rPr/>
        <w:t>金融工具包括金融资产、金融负债和权益工具。</w:t>
      </w:r>
    </w:p>
    <w:p>
      <w:pPr>
        <w:pStyle w:val="BodyText"/>
        <w:spacing w:line="300" w:lineRule="auto" w:before="76"/>
        <w:ind w:left="514" w:right="0" w:hanging="70"/>
        <w:jc w:val="left"/>
      </w:pPr>
      <w:r>
        <w:rPr>
          <w:rFonts w:ascii="Times New Roman" w:hAnsi="Times New Roman" w:cs="Times New Roman" w:eastAsia="Times New Roman" w:hint="default"/>
        </w:rPr>
        <w:t>1.</w:t>
      </w:r>
      <w:r>
        <w:rPr/>
        <w:t>金融工具的分类 </w:t>
      </w:r>
      <w:r>
        <w:rPr>
          <w:spacing w:val="-2"/>
        </w:rPr>
        <w:t>本公司根据所发行金融工具的合同条款及其所反映的经济实质而非仅以法律形式，结合取得持有金融资产和承担金融负</w:t>
      </w:r>
    </w:p>
    <w:p>
      <w:pPr>
        <w:pStyle w:val="BodyText"/>
        <w:spacing w:line="316" w:lineRule="auto" w:before="31"/>
        <w:ind w:right="0"/>
        <w:jc w:val="left"/>
      </w:pPr>
      <w:r>
        <w:rPr>
          <w:spacing w:val="-2"/>
        </w:rPr>
        <w:t>债的目的，在初始确认时将金融资产和金融负债分为不同类别：以公允价值计量且其变动计入当期损益的金融资产（或金融</w:t>
      </w:r>
      <w:r>
        <w:rPr>
          <w:spacing w:val="-65"/>
        </w:rPr>
        <w:t> </w:t>
      </w:r>
      <w:r>
        <w:rPr>
          <w:spacing w:val="-65"/>
        </w:rPr>
      </w:r>
      <w:r>
        <w:rPr/>
        <w:t>负债）；持有至到期投资；应收款项；可供出售金融资产；其他金融负债等。</w:t>
      </w:r>
    </w:p>
    <w:p>
      <w:pPr>
        <w:spacing w:after="0" w:line="316"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240" w:lineRule="auto" w:before="44"/>
        <w:ind w:left="514" w:right="1134"/>
        <w:jc w:val="left"/>
      </w:pPr>
      <w:r>
        <w:rPr>
          <w:rFonts w:ascii="Times New Roman" w:hAnsi="Times New Roman" w:cs="Times New Roman" w:eastAsia="Times New Roman" w:hint="default"/>
        </w:rPr>
        <w:t>2.</w:t>
      </w:r>
      <w:r>
        <w:rPr/>
        <w:t>金融工具的确认依据和计量方法</w:t>
      </w:r>
    </w:p>
    <w:p>
      <w:pPr>
        <w:pStyle w:val="BodyText"/>
        <w:spacing w:line="300" w:lineRule="auto" w:before="63"/>
        <w:ind w:left="514" w:right="0"/>
        <w:jc w:val="left"/>
      </w:pPr>
      <w:r>
        <w:rPr/>
        <w:t>（</w:t>
      </w:r>
      <w:r>
        <w:rPr>
          <w:rFonts w:ascii="Times New Roman" w:hAnsi="Times New Roman" w:cs="Times New Roman" w:eastAsia="Times New Roman" w:hint="default"/>
        </w:rPr>
        <w:t>1</w:t>
      </w:r>
      <w:r>
        <w:rPr/>
        <w:t>）以公允价值计量且其变动计入当期损益的金融资产（金融负债） </w:t>
      </w:r>
      <w:r>
        <w:rPr>
          <w:spacing w:val="-2"/>
        </w:rPr>
        <w:t>以公允价值计量且其变动计入当期损益的金融资产或金融负债，包括交易性金融资产或金融负债和直接指定为以公允价</w:t>
      </w:r>
    </w:p>
    <w:p>
      <w:pPr>
        <w:pStyle w:val="BodyText"/>
        <w:spacing w:line="319" w:lineRule="auto" w:before="31"/>
        <w:ind w:left="514" w:right="4452" w:hanging="360"/>
        <w:jc w:val="left"/>
      </w:pPr>
      <w:r>
        <w:rPr/>
        <w:t>值计量且其变动计入当期损益的金融资产或金融负债。 交易性金融资产或金融负债是指满足下列条件之一的金融资产或金融负债： </w:t>
      </w:r>
      <w:r>
        <w:rPr>
          <w:rFonts w:ascii="Times New Roman" w:hAnsi="Times New Roman" w:cs="Times New Roman" w:eastAsia="Times New Roman" w:hint="default"/>
        </w:rPr>
        <w:t>1</w:t>
      </w:r>
      <w:r>
        <w:rPr/>
        <w:t>）取得该金融资产或金融负债的目的是为了在短期内出售、回购或赎回；</w:t>
      </w:r>
    </w:p>
    <w:p>
      <w:pPr>
        <w:pStyle w:val="BodyText"/>
        <w:spacing w:line="300" w:lineRule="auto"/>
        <w:ind w:right="1140" w:firstLine="360"/>
        <w:jc w:val="both"/>
      </w:pPr>
      <w:r>
        <w:rPr>
          <w:rFonts w:ascii="Times New Roman" w:hAnsi="Times New Roman" w:cs="Times New Roman" w:eastAsia="Times New Roman" w:hint="default"/>
        </w:rPr>
        <w:t>2</w:t>
      </w:r>
      <w:r>
        <w:rPr/>
        <w:t>）属于进行集中管理的可辨认金融工具组合的一部分，且有客观证据表明本公司近期采用短期获利方式对该组合进行 管理；</w:t>
      </w:r>
    </w:p>
    <w:p>
      <w:pPr>
        <w:pStyle w:val="BodyText"/>
        <w:spacing w:line="300" w:lineRule="auto" w:before="31"/>
        <w:ind w:right="1140" w:firstLine="360"/>
        <w:jc w:val="both"/>
      </w:pPr>
      <w:r>
        <w:rPr>
          <w:rFonts w:ascii="Times New Roman" w:hAnsi="Times New Roman" w:cs="Times New Roman" w:eastAsia="Times New Roman" w:hint="default"/>
        </w:rPr>
        <w:t>3</w:t>
      </w:r>
      <w:r>
        <w:rPr/>
        <w:t>）属于衍生金融工具，但是被指定为有效套期工具的衍生工具、属于财务担保合同的衍生工具、与在活跃市场中没有 报价且其公允价值不能可靠计量的权益工具投资挂钩并须通过交付该权益工具结算的衍生工具除外。</w:t>
      </w:r>
    </w:p>
    <w:p>
      <w:pPr>
        <w:pStyle w:val="BodyText"/>
        <w:spacing w:line="316" w:lineRule="auto" w:before="31"/>
        <w:ind w:right="1131" w:firstLine="360"/>
        <w:jc w:val="both"/>
      </w:pPr>
      <w:r>
        <w:rPr>
          <w:spacing w:val="-2"/>
        </w:rPr>
        <w:t>只有符合以下条件之一，金融资产或金融负债才可在初始计量时指定为以公允价值计量且其变动计入损益的金融资产或</w:t>
      </w:r>
      <w:r>
        <w:rPr/>
        <w:t> 金融负债：</w:t>
      </w:r>
    </w:p>
    <w:p>
      <w:pPr>
        <w:pStyle w:val="BodyText"/>
        <w:spacing w:line="300" w:lineRule="auto" w:before="19"/>
        <w:ind w:right="1139" w:firstLine="360"/>
        <w:jc w:val="both"/>
      </w:pPr>
      <w:r>
        <w:rPr>
          <w:rFonts w:ascii="Times New Roman" w:hAnsi="Times New Roman" w:cs="Times New Roman" w:eastAsia="Times New Roman" w:hint="default"/>
        </w:rPr>
        <w:t>1</w:t>
      </w:r>
      <w:r>
        <w:rPr/>
        <w:t>）该项指定可以消除或明显减少由于金融资产或金融负债的计量基础不同所导致的相关利得或损失在确认或计量方面 不一致的情况；</w:t>
      </w:r>
    </w:p>
    <w:p>
      <w:pPr>
        <w:pStyle w:val="BodyText"/>
        <w:spacing w:line="300" w:lineRule="auto" w:before="31"/>
        <w:ind w:right="1140" w:firstLine="360"/>
        <w:jc w:val="both"/>
      </w:pPr>
      <w:r>
        <w:rPr>
          <w:rFonts w:ascii="Times New Roman" w:hAnsi="Times New Roman" w:cs="Times New Roman" w:eastAsia="Times New Roman" w:hint="default"/>
        </w:rPr>
        <w:t>2</w:t>
      </w:r>
      <w:r>
        <w:rPr/>
        <w:t>）风险管理或投资策略的正式书面文件已载明，该金融资产组合、该金融负债组合、或该金融资产和金融负债组合， 以公允价值为基础进行管理、评价并向关键管理人员报告；</w:t>
      </w:r>
    </w:p>
    <w:p>
      <w:pPr>
        <w:pStyle w:val="BodyText"/>
        <w:spacing w:line="300" w:lineRule="auto" w:before="31"/>
        <w:ind w:right="1140" w:firstLine="360"/>
        <w:jc w:val="both"/>
      </w:pPr>
      <w:r>
        <w:rPr>
          <w:rFonts w:ascii="Times New Roman" w:hAnsi="Times New Roman" w:cs="Times New Roman" w:eastAsia="Times New Roman" w:hint="default"/>
        </w:rPr>
        <w:t>3</w:t>
      </w:r>
      <w:r>
        <w:rPr/>
        <w:t>）包含一项或多项嵌入衍生工具的混合工具，除非嵌入衍生工具对混合工具的现金流量没有重大改变，或所嵌入的衍 生工具明显不应当从相关混合工具中分拆；</w:t>
      </w:r>
    </w:p>
    <w:p>
      <w:pPr>
        <w:pStyle w:val="BodyText"/>
        <w:spacing w:line="300" w:lineRule="auto" w:before="31"/>
        <w:ind w:left="514" w:right="0"/>
        <w:jc w:val="left"/>
      </w:pPr>
      <w:r>
        <w:rPr>
          <w:rFonts w:ascii="Times New Roman" w:hAnsi="Times New Roman" w:cs="Times New Roman" w:eastAsia="Times New Roman" w:hint="default"/>
        </w:rPr>
        <w:t>4</w:t>
      </w:r>
      <w:r>
        <w:rPr/>
        <w:t>）包含需要分拆但无法在取得时或后续的资产负债表日对其进行单独计量的嵌入衍生工具的混合工具。 </w:t>
      </w:r>
      <w:r>
        <w:rPr>
          <w:spacing w:val="-2"/>
        </w:rPr>
        <w:t>本公司对以公允价值计量且其变动计入当期损益的金融资产或金融负债，在取得时以公允价值（扣除已宣告但尚未发放</w:t>
      </w:r>
    </w:p>
    <w:p>
      <w:pPr>
        <w:pStyle w:val="BodyText"/>
        <w:spacing w:line="319" w:lineRule="auto" w:before="31"/>
        <w:ind w:right="1133"/>
        <w:jc w:val="both"/>
      </w:pPr>
      <w:r>
        <w:rPr>
          <w:spacing w:val="-2"/>
        </w:rPr>
        <w:t>的现金股利或已到付息期但尚未领取的债券利息）作为初始确认金额，相关的交易费用计入当期损益。持有期间将取得的利</w:t>
      </w:r>
      <w:r>
        <w:rPr>
          <w:spacing w:val="-66"/>
        </w:rPr>
        <w:t> </w:t>
      </w:r>
      <w:r>
        <w:rPr>
          <w:spacing w:val="-66"/>
        </w:rPr>
      </w:r>
      <w:r>
        <w:rPr>
          <w:spacing w:val="-2"/>
        </w:rPr>
        <w:t>息或现金股利确认为投资收益，期末将公允价值变动计入当期损益。处置时，其公允价值与初始入账金额之间的差额确认为</w:t>
      </w:r>
      <w:r>
        <w:rPr>
          <w:spacing w:val="-66"/>
        </w:rPr>
        <w:t> </w:t>
      </w:r>
      <w:r>
        <w:rPr>
          <w:spacing w:val="-66"/>
        </w:rPr>
      </w:r>
      <w:r>
        <w:rPr/>
        <w:t>投资收益，同时调整公允价值变动损益。</w:t>
      </w:r>
    </w:p>
    <w:p>
      <w:pPr>
        <w:pStyle w:val="BodyText"/>
        <w:spacing w:line="300" w:lineRule="auto" w:before="17"/>
        <w:ind w:left="514" w:right="3912"/>
        <w:jc w:val="left"/>
      </w:pPr>
      <w:r>
        <w:rPr/>
        <w:t>（</w:t>
      </w:r>
      <w:r>
        <w:rPr>
          <w:rFonts w:ascii="Times New Roman" w:hAnsi="Times New Roman" w:cs="Times New Roman" w:eastAsia="Times New Roman" w:hint="default"/>
        </w:rPr>
        <w:t>2</w:t>
      </w:r>
      <w:r>
        <w:rPr/>
        <w:t>）应收款项 应收款项是指在活跃市场中没有报价、回收金额固定或可确定的非衍生金融资产。</w:t>
      </w:r>
    </w:p>
    <w:p>
      <w:pPr>
        <w:pStyle w:val="BodyText"/>
        <w:spacing w:line="316" w:lineRule="auto" w:before="31"/>
        <w:ind w:right="1132" w:firstLine="360"/>
        <w:jc w:val="both"/>
      </w:pPr>
      <w:r>
        <w:rPr>
          <w:spacing w:val="-2"/>
        </w:rPr>
        <w:t>本公司对外销售商品或提供劳务形成的应收债权，以及公司持有的其他企业的债权（不包括在活跃市场上有报价的债务</w:t>
      </w:r>
      <w:r>
        <w:rPr/>
        <w:t> </w:t>
      </w:r>
      <w:r>
        <w:rPr>
          <w:spacing w:val="-2"/>
        </w:rPr>
        <w:t>工具），包括应收账款、其他应收款、应收票据、预付款项等，以向购货方应收的合同或协议价款作为初始确认金额；具有</w:t>
      </w:r>
      <w:r>
        <w:rPr>
          <w:spacing w:val="-71"/>
        </w:rPr>
        <w:t> </w:t>
      </w:r>
      <w:r>
        <w:rPr>
          <w:spacing w:val="-71"/>
        </w:rPr>
      </w:r>
      <w:r>
        <w:rPr/>
        <w:t>融资性质的，按其现值进行初始确认。</w:t>
      </w:r>
    </w:p>
    <w:p>
      <w:pPr>
        <w:pStyle w:val="BodyText"/>
        <w:spacing w:line="240" w:lineRule="auto" w:before="19"/>
        <w:ind w:left="514" w:right="1134"/>
        <w:jc w:val="left"/>
      </w:pPr>
      <w:r>
        <w:rPr/>
        <w:t>收回或处置时，将取得的价款与该应收款项账面价值之间的差额计入当期损益。</w:t>
      </w:r>
    </w:p>
    <w:p>
      <w:pPr>
        <w:pStyle w:val="BodyText"/>
        <w:spacing w:line="309" w:lineRule="auto" w:before="76"/>
        <w:ind w:left="514" w:right="0"/>
        <w:jc w:val="left"/>
      </w:pPr>
      <w:r>
        <w:rPr/>
        <w:t>（</w:t>
      </w:r>
      <w:r>
        <w:rPr>
          <w:rFonts w:ascii="Times New Roman" w:hAnsi="Times New Roman" w:cs="Times New Roman" w:eastAsia="Times New Roman" w:hint="default"/>
        </w:rPr>
        <w:t>3</w:t>
      </w:r>
      <w:r>
        <w:rPr/>
        <w:t>）持有至到期投资 </w:t>
      </w:r>
      <w:r>
        <w:rPr>
          <w:spacing w:val="-4"/>
        </w:rPr>
        <w:t>持有至到期投资是指到期日固定、回收金额固定或可确定，且本公司有明确意图和能力持有至到期的非衍生性金融资产。</w:t>
      </w:r>
      <w:r>
        <w:rPr>
          <w:spacing w:val="-52"/>
        </w:rPr>
        <w:t> </w:t>
      </w:r>
      <w:r>
        <w:rPr>
          <w:spacing w:val="-52"/>
        </w:rPr>
      </w:r>
      <w:r>
        <w:rPr>
          <w:spacing w:val="-2"/>
        </w:rPr>
        <w:t>本公司对持有至到期投资，在取得时按公允价值（扣除已到付息期但尚未领取的债券利息）和相关交易费用之和作为初</w:t>
      </w:r>
    </w:p>
    <w:p>
      <w:pPr>
        <w:pStyle w:val="BodyText"/>
        <w:spacing w:line="316" w:lineRule="auto" w:before="24"/>
        <w:ind w:right="1131"/>
        <w:jc w:val="both"/>
      </w:pPr>
      <w:r>
        <w:rPr>
          <w:spacing w:val="-2"/>
        </w:rPr>
        <w:t>始确认金额。持有期间按照摊余成本和实际利率计算确认利息收入，计入投资收益。实际利率在取得时确定，在该预期存续</w:t>
      </w:r>
      <w:r>
        <w:rPr>
          <w:spacing w:val="-66"/>
        </w:rPr>
        <w:t> </w:t>
      </w:r>
      <w:r>
        <w:rPr>
          <w:spacing w:val="-66"/>
        </w:rPr>
      </w:r>
      <w:r>
        <w:rPr/>
        <w:t>期间或适用的更短期间内保持不变。处置时，将所取得价款与该投资账面价值之间的差额计入投资收益。</w:t>
      </w:r>
    </w:p>
    <w:p>
      <w:pPr>
        <w:pStyle w:val="BodyText"/>
        <w:spacing w:line="316" w:lineRule="auto" w:before="19"/>
        <w:ind w:right="1131" w:firstLine="360"/>
        <w:jc w:val="both"/>
      </w:pPr>
      <w:r>
        <w:rPr>
          <w:spacing w:val="-2"/>
        </w:rPr>
        <w:t>如果持有至到期投资处置或重分类为其他类金融资产的金额，相对于本公司全部持有至到期投资在出售或重分类前的总</w:t>
      </w:r>
      <w:r>
        <w:rPr/>
        <w:t> </w:t>
      </w:r>
      <w:r>
        <w:rPr>
          <w:spacing w:val="-2"/>
        </w:rPr>
        <w:t>额较大，在处置或重分类后应立即将其剩余的持有至到期投资重分类为可供出售金融资产；重分类日，该投资的账面价值与</w:t>
      </w:r>
      <w:r>
        <w:rPr>
          <w:spacing w:val="-66"/>
        </w:rPr>
        <w:t> </w:t>
      </w:r>
      <w:r>
        <w:rPr>
          <w:spacing w:val="-66"/>
        </w:rPr>
      </w:r>
      <w:r>
        <w:rPr>
          <w:spacing w:val="-2"/>
        </w:rPr>
        <w:t>其公允价值之间的差额计入其他综合收益，在该可供出售金融资产发生减值或终止确认时转出，计入当期损益。但是，遇到</w:t>
      </w:r>
      <w:r>
        <w:rPr>
          <w:spacing w:val="-66"/>
        </w:rPr>
        <w:t> </w:t>
      </w:r>
      <w:r>
        <w:rPr>
          <w:spacing w:val="-66"/>
        </w:rPr>
      </w:r>
      <w:r>
        <w:rPr/>
        <w:t>下列情况可以除外：</w:t>
      </w:r>
    </w:p>
    <w:p>
      <w:pPr>
        <w:pStyle w:val="BodyText"/>
        <w:spacing w:line="300" w:lineRule="auto" w:before="19"/>
        <w:ind w:right="1199" w:firstLine="360"/>
        <w:jc w:val="both"/>
      </w:pPr>
      <w:r>
        <w:rPr>
          <w:rFonts w:ascii="Times New Roman" w:hAnsi="Times New Roman" w:cs="Times New Roman" w:eastAsia="Times New Roman" w:hint="default"/>
        </w:rPr>
        <w:t>1</w:t>
      </w:r>
      <w:r>
        <w:rPr/>
        <w:t>）出售日或重分类日距离该项投资到期日或赎回日较近</w:t>
      </w:r>
      <w:r>
        <w:rPr>
          <w:rFonts w:ascii="Times New Roman" w:hAnsi="Times New Roman" w:cs="Times New Roman" w:eastAsia="Times New Roman" w:hint="default"/>
        </w:rPr>
        <w:t>(</w:t>
      </w:r>
      <w:r>
        <w:rPr/>
        <w:t>如到期前三个月内</w:t>
      </w:r>
      <w:r>
        <w:rPr>
          <w:rFonts w:ascii="Times New Roman" w:hAnsi="Times New Roman" w:cs="Times New Roman" w:eastAsia="Times New Roman" w:hint="default"/>
        </w:rPr>
        <w:t>)</w:t>
      </w:r>
      <w:r>
        <w:rPr/>
        <w:t>，且市场利率变化对该项投资的公允价值 没有显著影响。</w:t>
      </w:r>
    </w:p>
    <w:p>
      <w:pPr>
        <w:pStyle w:val="BodyText"/>
        <w:spacing w:line="240" w:lineRule="auto" w:before="32"/>
        <w:ind w:left="514" w:right="1134"/>
        <w:jc w:val="left"/>
      </w:pPr>
      <w:r>
        <w:rPr>
          <w:rFonts w:ascii="Times New Roman" w:hAnsi="Times New Roman" w:cs="Times New Roman" w:eastAsia="Times New Roman" w:hint="default"/>
        </w:rPr>
        <w:t>2</w:t>
      </w:r>
      <w:r>
        <w:rPr/>
        <w:t>）根据合同约定的偿付方式，企业已收回几乎所有初始本金。</w:t>
      </w:r>
    </w:p>
    <w:p>
      <w:pPr>
        <w:pStyle w:val="BodyText"/>
        <w:spacing w:line="240" w:lineRule="auto" w:before="63"/>
        <w:ind w:left="514" w:right="1134"/>
        <w:jc w:val="left"/>
      </w:pPr>
      <w:r>
        <w:rPr>
          <w:rFonts w:ascii="Times New Roman" w:hAnsi="Times New Roman" w:cs="Times New Roman" w:eastAsia="Times New Roman" w:hint="default"/>
        </w:rPr>
        <w:t>3</w:t>
      </w:r>
      <w:r>
        <w:rPr/>
        <w:t>）出售或重分类是由于企业无法控制、预期不会重复发生且难以合理预计的独立事件所引起。</w:t>
      </w:r>
    </w:p>
    <w:p>
      <w:pPr>
        <w:pStyle w:val="BodyText"/>
        <w:spacing w:line="300" w:lineRule="auto" w:before="63"/>
        <w:ind w:left="514" w:right="1032"/>
        <w:jc w:val="left"/>
      </w:pPr>
      <w:r>
        <w:rPr/>
        <w:t>（</w:t>
      </w:r>
      <w:r>
        <w:rPr>
          <w:rFonts w:ascii="Times New Roman" w:hAnsi="Times New Roman" w:cs="Times New Roman" w:eastAsia="Times New Roman" w:hint="default"/>
        </w:rPr>
        <w:t>4</w:t>
      </w:r>
      <w:r>
        <w:rPr/>
        <w:t>）可供出售金融资产 可供出售金融资产，是指初始确认时即指定为可供出售的非衍生金融资产，以及除其他金融资产类别以外的金融资产。</w:t>
      </w:r>
    </w:p>
    <w:p>
      <w:pPr>
        <w:spacing w:after="0" w:line="30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9" w:lineRule="auto" w:before="44"/>
        <w:ind w:right="1131" w:firstLine="360"/>
        <w:jc w:val="both"/>
      </w:pPr>
      <w:r>
        <w:rPr>
          <w:spacing w:val="-2"/>
        </w:rPr>
        <w:t>本公司对可供出售金融资产，在取得时按公允价值（扣除已宣告但尚未发放的现金股利或已到付息期但尚未领取的债券</w:t>
      </w:r>
      <w:r>
        <w:rPr/>
        <w:t> </w:t>
      </w:r>
      <w:r>
        <w:rPr>
          <w:spacing w:val="-2"/>
        </w:rPr>
        <w:t>利息）和相关交易费用之和作为初始确认金额。持有期间将取得的利息或现金股利确认为投资收益。可供出售金融资产的公</w:t>
      </w:r>
      <w:r>
        <w:rPr>
          <w:spacing w:val="-65"/>
        </w:rPr>
        <w:t> </w:t>
      </w:r>
      <w:r>
        <w:rPr>
          <w:spacing w:val="-65"/>
        </w:rPr>
      </w:r>
      <w:r>
        <w:rPr>
          <w:spacing w:val="-2"/>
        </w:rPr>
        <w:t>允价值变动形成的利得或损失，除减值损失和外币货币性金融资产形成的汇兑差额外，直接计入其他综合收益。处置可供出</w:t>
      </w:r>
      <w:r>
        <w:rPr>
          <w:spacing w:val="-66"/>
        </w:rPr>
        <w:t> </w:t>
      </w:r>
      <w:r>
        <w:rPr>
          <w:spacing w:val="-66"/>
        </w:rPr>
      </w:r>
      <w:r>
        <w:rPr>
          <w:spacing w:val="-2"/>
        </w:rPr>
        <w:t>售金融资产时，将取得的价款与该金融资产账面价值之间的差额，计入投资损益；同时，将原直接计入其他综合收益的公允</w:t>
      </w:r>
      <w:r>
        <w:rPr>
          <w:spacing w:val="-66"/>
        </w:rPr>
        <w:t> </w:t>
      </w:r>
      <w:r>
        <w:rPr>
          <w:spacing w:val="-66"/>
        </w:rPr>
      </w:r>
      <w:r>
        <w:rPr/>
        <w:t>价值变动累计额对应处置部分的金额转出，计入投资损益。</w:t>
      </w:r>
    </w:p>
    <w:p>
      <w:pPr>
        <w:pStyle w:val="BodyText"/>
        <w:spacing w:line="316" w:lineRule="auto" w:before="17"/>
        <w:ind w:right="0" w:firstLine="360"/>
        <w:jc w:val="left"/>
      </w:pPr>
      <w:r>
        <w:rPr>
          <w:spacing w:val="-2"/>
        </w:rPr>
        <w:t>本公司对在活跃市场中没有报价且其公允价值不能可靠计量的权益工具投资，以及与该权益工具挂钩并须通过交付该权</w:t>
      </w:r>
      <w:r>
        <w:rPr/>
        <w:t> 益工具结算的衍生金融资产，按照成本计量。</w:t>
      </w:r>
    </w:p>
    <w:p>
      <w:pPr>
        <w:pStyle w:val="BodyText"/>
        <w:spacing w:line="309" w:lineRule="auto" w:before="19"/>
        <w:ind w:left="514" w:right="3732"/>
        <w:jc w:val="left"/>
      </w:pPr>
      <w:r>
        <w:rPr/>
        <w:t>（</w:t>
      </w:r>
      <w:r>
        <w:rPr>
          <w:rFonts w:ascii="Times New Roman" w:hAnsi="Times New Roman" w:cs="Times New Roman" w:eastAsia="Times New Roman" w:hint="default"/>
        </w:rPr>
        <w:t>5</w:t>
      </w:r>
      <w:r>
        <w:rPr/>
        <w:t>）其他金融负债 按其公允价值和相关交易费用之和作为初始确认金额。采用摊余成本进行后续计量。 </w:t>
      </w:r>
      <w:r>
        <w:rPr>
          <w:rFonts w:ascii="Times New Roman" w:hAnsi="Times New Roman" w:cs="Times New Roman" w:eastAsia="Times New Roman" w:hint="default"/>
        </w:rPr>
        <w:t>3.</w:t>
      </w:r>
      <w:r>
        <w:rPr/>
        <w:t>金融资产转移的确认依据和计量方法</w:t>
      </w:r>
    </w:p>
    <w:p>
      <w:pPr>
        <w:pStyle w:val="BodyText"/>
        <w:spacing w:line="316" w:lineRule="auto" w:before="5"/>
        <w:ind w:right="0" w:firstLine="360"/>
        <w:jc w:val="left"/>
      </w:pPr>
      <w:r>
        <w:rPr>
          <w:spacing w:val="-2"/>
        </w:rPr>
        <w:t>公司发生金融资产转移时，如已将金融资产所有权上几乎所有的风险和报酬转移给转入方，则终止确认该金融资产；如</w:t>
      </w:r>
      <w:r>
        <w:rPr/>
        <w:t> 保留了金融资产所有权上几乎所有的风险和报酬的，则不终止确认该金融资产。</w:t>
      </w:r>
    </w:p>
    <w:p>
      <w:pPr>
        <w:pStyle w:val="BodyText"/>
        <w:spacing w:line="316" w:lineRule="auto" w:before="19"/>
        <w:ind w:right="0" w:firstLine="360"/>
        <w:jc w:val="left"/>
      </w:pPr>
      <w:r>
        <w:rPr>
          <w:spacing w:val="-2"/>
        </w:rPr>
        <w:t>在判断金融资产转移是否满足上述金融资产终止确认条件时，采用实质重于形式的原则。公司将金融资产转移区分为金</w:t>
      </w:r>
      <w:r>
        <w:rPr/>
        <w:t> 融资产整体转移和部分转移。金融资产整体转移满足终止确认条件的，将下列两项金额的差额计入当期损益：</w:t>
      </w:r>
    </w:p>
    <w:p>
      <w:pPr>
        <w:pStyle w:val="BodyText"/>
        <w:spacing w:line="240" w:lineRule="auto" w:before="19"/>
        <w:ind w:left="514" w:right="1134"/>
        <w:jc w:val="left"/>
      </w:pPr>
      <w:r>
        <w:rPr/>
        <w:t>（</w:t>
      </w:r>
      <w:r>
        <w:rPr>
          <w:rFonts w:ascii="Times New Roman" w:hAnsi="Times New Roman" w:cs="Times New Roman" w:eastAsia="Times New Roman" w:hint="default"/>
        </w:rPr>
        <w:t>1</w:t>
      </w:r>
      <w:r>
        <w:rPr/>
        <w:t>）所转移金融资产的账面价值；</w:t>
      </w:r>
    </w:p>
    <w:p>
      <w:pPr>
        <w:pStyle w:val="BodyText"/>
        <w:spacing w:line="300" w:lineRule="auto" w:before="63"/>
        <w:ind w:right="1122" w:firstLine="360"/>
        <w:jc w:val="left"/>
      </w:pPr>
      <w:r>
        <w:rPr/>
        <w:t>（</w:t>
      </w:r>
      <w:r>
        <w:rPr>
          <w:rFonts w:ascii="Times New Roman" w:hAnsi="Times New Roman" w:cs="Times New Roman" w:eastAsia="Times New Roman" w:hint="default"/>
        </w:rPr>
        <w:t>2</w:t>
      </w:r>
      <w:r>
        <w:rPr/>
        <w:t>）因转移而收到的对价，与原直接计入所有者权益的公允价值变动累计额（涉及转移的金融资产为可供出售金融资 产的情形）之和。</w:t>
      </w:r>
    </w:p>
    <w:p>
      <w:pPr>
        <w:pStyle w:val="BodyText"/>
        <w:spacing w:line="316" w:lineRule="auto" w:before="31"/>
        <w:ind w:right="1032" w:firstLine="360"/>
        <w:jc w:val="left"/>
      </w:pPr>
      <w:r>
        <w:rPr/>
        <w:t>金融资产部分转移满足终止确认条件的，将所转移金融资产整体的账面价值，在终止确认部分和未终止确认部分之间， 按照各自的相对公允价值进行分摊，并将下列两项金额的差额计入当期损益：</w:t>
      </w:r>
    </w:p>
    <w:p>
      <w:pPr>
        <w:pStyle w:val="BodyText"/>
        <w:spacing w:line="240" w:lineRule="auto" w:before="19"/>
        <w:ind w:left="514" w:right="1134"/>
        <w:jc w:val="left"/>
      </w:pPr>
      <w:r>
        <w:rPr/>
        <w:t>（</w:t>
      </w:r>
      <w:r>
        <w:rPr>
          <w:rFonts w:ascii="Times New Roman" w:hAnsi="Times New Roman" w:cs="Times New Roman" w:eastAsia="Times New Roman" w:hint="default"/>
        </w:rPr>
        <w:t>1</w:t>
      </w:r>
      <w:r>
        <w:rPr/>
        <w:t>）终止确认部分的账面价值；</w:t>
      </w:r>
    </w:p>
    <w:p>
      <w:pPr>
        <w:pStyle w:val="BodyText"/>
        <w:spacing w:line="300" w:lineRule="auto" w:before="63"/>
        <w:ind w:right="1122" w:firstLine="360"/>
        <w:jc w:val="left"/>
      </w:pPr>
      <w:r>
        <w:rPr/>
        <w:t>（</w:t>
      </w:r>
      <w:r>
        <w:rPr>
          <w:rFonts w:ascii="Times New Roman" w:hAnsi="Times New Roman" w:cs="Times New Roman" w:eastAsia="Times New Roman" w:hint="default"/>
        </w:rPr>
        <w:t>2</w:t>
      </w:r>
      <w:r>
        <w:rPr/>
        <w:t>）终止确认部分的对价，与原直接计入所有者权益的公允价值变动累计额中对应终止确认部分的金额（涉及转移的 金融资产为可供出售金融资产的情形）之和。</w:t>
      </w:r>
    </w:p>
    <w:p>
      <w:pPr>
        <w:pStyle w:val="BodyText"/>
        <w:spacing w:line="309" w:lineRule="auto" w:before="32"/>
        <w:ind w:left="514" w:right="1118"/>
        <w:jc w:val="left"/>
      </w:pPr>
      <w:r>
        <w:rPr/>
        <w:t>金融资产转移不满足终止确认条件的，继续确认该金融资产，所收到的对价确认为一项金融负债。 </w:t>
      </w:r>
      <w:r>
        <w:rPr>
          <w:rFonts w:ascii="Times New Roman" w:hAnsi="Times New Roman" w:cs="Times New Roman" w:eastAsia="Times New Roman" w:hint="default"/>
        </w:rPr>
        <w:t>4.</w:t>
      </w:r>
      <w:r>
        <w:rPr/>
        <w:t>金融负债终止确认条件 </w:t>
      </w:r>
      <w:r>
        <w:rPr>
          <w:spacing w:val="-2"/>
        </w:rPr>
        <w:t>金融负债的现时义务全部或部分已经解除的，则终止确认该金融负债或其一部分；本公司若与债权人签定协议，以承担</w:t>
      </w:r>
    </w:p>
    <w:p>
      <w:pPr>
        <w:pStyle w:val="BodyText"/>
        <w:spacing w:line="316" w:lineRule="auto" w:before="24"/>
        <w:ind w:right="1133"/>
        <w:jc w:val="both"/>
      </w:pPr>
      <w:r>
        <w:rPr>
          <w:spacing w:val="-2"/>
        </w:rPr>
        <w:t>新金融负债方式替换现存金融负债，且新金融负债与现存金融负债的合同条款实质上不同的，则终止确认现存金融负债，并</w:t>
      </w:r>
      <w:r>
        <w:rPr>
          <w:spacing w:val="-66"/>
        </w:rPr>
        <w:t> </w:t>
      </w:r>
      <w:r>
        <w:rPr>
          <w:spacing w:val="-66"/>
        </w:rPr>
      </w:r>
      <w:r>
        <w:rPr/>
        <w:t>同时确认新金融负债。</w:t>
      </w:r>
    </w:p>
    <w:p>
      <w:pPr>
        <w:pStyle w:val="BodyText"/>
        <w:spacing w:line="316" w:lineRule="auto" w:before="19"/>
        <w:ind w:right="0" w:firstLine="360"/>
        <w:jc w:val="left"/>
      </w:pPr>
      <w:r>
        <w:rPr>
          <w:spacing w:val="-2"/>
        </w:rPr>
        <w:t>对现存金融负债全部或部分合同条款作出实质性修改的，则终止确认现存金融负债或其一部分，同时将修改条款后的金</w:t>
      </w:r>
      <w:r>
        <w:rPr/>
        <w:t> 融负债确认为一项新金融负债。</w:t>
      </w:r>
    </w:p>
    <w:p>
      <w:pPr>
        <w:pStyle w:val="BodyText"/>
        <w:spacing w:line="316" w:lineRule="auto" w:before="19"/>
        <w:ind w:right="0" w:firstLine="360"/>
        <w:jc w:val="left"/>
      </w:pPr>
      <w:r>
        <w:rPr>
          <w:spacing w:val="-2"/>
        </w:rPr>
        <w:t>金融负债全部或部分终止确认时，终止确认的金融负债账面价值与支付对价（包括转出的非现金资产或承担的新金融负</w:t>
      </w:r>
      <w:r>
        <w:rPr/>
        <w:t> 债）之间的差额，计入当期损益。</w:t>
      </w:r>
    </w:p>
    <w:p>
      <w:pPr>
        <w:pStyle w:val="BodyText"/>
        <w:spacing w:line="316" w:lineRule="auto" w:before="19"/>
        <w:ind w:right="1032" w:firstLine="360"/>
        <w:jc w:val="left"/>
      </w:pPr>
      <w:r>
        <w:rPr>
          <w:spacing w:val="-2"/>
        </w:rPr>
        <w:t>本公司若回购部分金融负债的，在回购日按照继续确认部分与终止确认部分的相对公允价值，将该金融负债整体的账面</w:t>
      </w:r>
      <w:r>
        <w:rPr/>
        <w:t> 价值进行分配。分配给终止确认部分的账面价值与支付的对价（包括转出的非现金资产或承担的新金融负债）之间的差额， 计入当期损益。</w:t>
      </w:r>
    </w:p>
    <w:p>
      <w:pPr>
        <w:pStyle w:val="BodyText"/>
        <w:spacing w:line="300" w:lineRule="auto" w:before="19"/>
        <w:ind w:left="514" w:right="0"/>
        <w:jc w:val="left"/>
      </w:pPr>
      <w:r>
        <w:rPr>
          <w:rFonts w:ascii="Times New Roman" w:hAnsi="Times New Roman" w:cs="Times New Roman" w:eastAsia="Times New Roman" w:hint="default"/>
        </w:rPr>
        <w:t>5.</w:t>
      </w:r>
      <w:r>
        <w:rPr/>
        <w:t>金融资产和金融负债公允价值的确定方法 </w:t>
      </w:r>
      <w:r>
        <w:rPr>
          <w:spacing w:val="-4"/>
        </w:rPr>
        <w:t>存在活跃市场的金融资产或金融负债，以活跃市场的报价确定其公允价值；活跃市场的报价包括易于且可定期从交易所、</w:t>
      </w:r>
    </w:p>
    <w:p>
      <w:pPr>
        <w:pStyle w:val="BodyText"/>
        <w:spacing w:line="316" w:lineRule="auto" w:before="31"/>
        <w:ind w:right="1131"/>
        <w:jc w:val="both"/>
      </w:pPr>
      <w:r>
        <w:rPr>
          <w:spacing w:val="-2"/>
        </w:rPr>
        <w:t>交易商、经纪人、行业集团、定价机构或监管机构等获得相关资产或负债的报价，且能代表在公平交易基础上实际并经常发</w:t>
      </w:r>
      <w:r>
        <w:rPr>
          <w:spacing w:val="-66"/>
        </w:rPr>
        <w:t> </w:t>
      </w:r>
      <w:r>
        <w:rPr>
          <w:spacing w:val="-66"/>
        </w:rPr>
      </w:r>
      <w:r>
        <w:rPr/>
        <w:t>生的市场交易。</w:t>
      </w:r>
    </w:p>
    <w:p>
      <w:pPr>
        <w:pStyle w:val="BodyText"/>
        <w:spacing w:line="316" w:lineRule="auto" w:before="19"/>
        <w:ind w:left="514" w:right="0"/>
        <w:jc w:val="left"/>
      </w:pPr>
      <w:r>
        <w:rPr/>
        <w:t>初始取得或衍生的金融资产或承担的金融负债，以市场交易价格作为确定其公允价值的基础。 </w:t>
      </w:r>
      <w:r>
        <w:rPr>
          <w:spacing w:val="-2"/>
        </w:rPr>
        <w:t>不存在活跃市场的金融资产或金融负债，采用估值技术确定其公允价值。在估值时，本公司采用在当前情况下适用并且</w:t>
      </w:r>
    </w:p>
    <w:p>
      <w:pPr>
        <w:pStyle w:val="BodyText"/>
        <w:spacing w:line="316" w:lineRule="auto" w:before="19"/>
        <w:ind w:right="1131"/>
        <w:jc w:val="both"/>
      </w:pPr>
      <w:r>
        <w:rPr>
          <w:spacing w:val="-2"/>
        </w:rPr>
        <w:t>有足够可利用数据和其他信息支持的估值技术，选择与市场参与者在相关资产或负债的交易中所考虑的资产或负债特征相一</w:t>
      </w:r>
      <w:r>
        <w:rPr>
          <w:spacing w:val="-64"/>
        </w:rPr>
        <w:t> </w:t>
      </w:r>
      <w:r>
        <w:rPr>
          <w:spacing w:val="-64"/>
        </w:rPr>
      </w:r>
      <w:r>
        <w:rPr>
          <w:spacing w:val="-2"/>
        </w:rPr>
        <w:t>致的输入值，并尽可能优先使用相关可观察输入值。在相关可观察输入值无法取得或取得不切实可行的情况下，使用不可观</w:t>
      </w:r>
      <w:r>
        <w:rPr>
          <w:spacing w:val="-66"/>
        </w:rPr>
        <w:t> </w:t>
      </w:r>
      <w:r>
        <w:rPr>
          <w:spacing w:val="-66"/>
        </w:rPr>
      </w:r>
      <w:r>
        <w:rPr/>
        <w:t>察输入值。</w:t>
      </w:r>
    </w:p>
    <w:p>
      <w:pPr>
        <w:pStyle w:val="BodyText"/>
        <w:spacing w:line="240" w:lineRule="auto" w:before="19"/>
        <w:ind w:left="514" w:right="1134"/>
        <w:jc w:val="left"/>
      </w:pPr>
      <w:r>
        <w:rPr>
          <w:rFonts w:ascii="Times New Roman" w:hAnsi="Times New Roman" w:cs="Times New Roman" w:eastAsia="Times New Roman" w:hint="default"/>
        </w:rPr>
        <w:t>6.</w:t>
      </w:r>
      <w:r>
        <w:rPr/>
        <w:t>金融资产（不含应收款项）减值准备计提</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right="0" w:firstLine="360"/>
        <w:jc w:val="left"/>
      </w:pPr>
      <w:r>
        <w:rPr>
          <w:spacing w:val="-2"/>
        </w:rPr>
        <w:t>资产负债表日对以公允价值计量且其变动计入当期损益的金融资产以外的金融资产的账面价值进行检查，如有客观证据</w:t>
      </w:r>
      <w:r>
        <w:rPr/>
        <w:t> 表明该金融资产发生减值的，计提减值准备。</w:t>
      </w:r>
    </w:p>
    <w:p>
      <w:pPr>
        <w:pStyle w:val="BodyText"/>
        <w:spacing w:line="240" w:lineRule="auto" w:before="19"/>
        <w:ind w:left="514" w:right="1134"/>
        <w:jc w:val="left"/>
      </w:pPr>
      <w:r>
        <w:rPr/>
        <w:t>金融资产发生减值的客观证据，包括但不限于：</w:t>
      </w:r>
    </w:p>
    <w:p>
      <w:pPr>
        <w:pStyle w:val="BodyText"/>
        <w:spacing w:line="240" w:lineRule="auto" w:before="76"/>
        <w:ind w:left="514" w:right="1134"/>
        <w:jc w:val="left"/>
      </w:pPr>
      <w:r>
        <w:rPr/>
        <w:t>（</w:t>
      </w:r>
      <w:r>
        <w:rPr>
          <w:rFonts w:ascii="Times New Roman" w:hAnsi="Times New Roman" w:cs="Times New Roman" w:eastAsia="Times New Roman" w:hint="default"/>
        </w:rPr>
        <w:t>1</w:t>
      </w:r>
      <w:r>
        <w:rPr/>
        <w:t>）发行方或债务人发生严重财务困难；</w:t>
      </w:r>
    </w:p>
    <w:p>
      <w:pPr>
        <w:pStyle w:val="BodyText"/>
        <w:spacing w:line="240" w:lineRule="auto" w:before="63"/>
        <w:ind w:left="514" w:right="1134"/>
        <w:jc w:val="left"/>
      </w:pPr>
      <w:r>
        <w:rPr/>
        <w:t>（</w:t>
      </w:r>
      <w:r>
        <w:rPr>
          <w:rFonts w:ascii="Times New Roman" w:hAnsi="Times New Roman" w:cs="Times New Roman" w:eastAsia="Times New Roman" w:hint="default"/>
        </w:rPr>
        <w:t>2</w:t>
      </w:r>
      <w:r>
        <w:rPr/>
        <w:t>）债务人违反了合同条款，如偿付利息或本金发生违约或逾期等；</w:t>
      </w:r>
    </w:p>
    <w:p>
      <w:pPr>
        <w:pStyle w:val="BodyText"/>
        <w:spacing w:line="240" w:lineRule="auto" w:before="63"/>
        <w:ind w:left="514" w:right="1134"/>
        <w:jc w:val="left"/>
      </w:pPr>
      <w:r>
        <w:rPr/>
        <w:t>（</w:t>
      </w:r>
      <w:r>
        <w:rPr>
          <w:rFonts w:ascii="Times New Roman" w:hAnsi="Times New Roman" w:cs="Times New Roman" w:eastAsia="Times New Roman" w:hint="default"/>
        </w:rPr>
        <w:t>3</w:t>
      </w:r>
      <w:r>
        <w:rPr/>
        <w:t>）债权人出于经济或法律等方面因素的考虑，对发生财务困难的债务人作出让步；</w:t>
      </w:r>
    </w:p>
    <w:p>
      <w:pPr>
        <w:pStyle w:val="BodyText"/>
        <w:spacing w:line="240" w:lineRule="auto" w:before="63"/>
        <w:ind w:left="514" w:right="1134"/>
        <w:jc w:val="left"/>
      </w:pPr>
      <w:r>
        <w:rPr/>
        <w:t>（</w:t>
      </w:r>
      <w:r>
        <w:rPr>
          <w:rFonts w:ascii="Times New Roman" w:hAnsi="Times New Roman" w:cs="Times New Roman" w:eastAsia="Times New Roman" w:hint="default"/>
        </w:rPr>
        <w:t>4</w:t>
      </w:r>
      <w:r>
        <w:rPr/>
        <w:t>）债务人很可能倒闭或进行其他财务重组；</w:t>
      </w:r>
    </w:p>
    <w:p>
      <w:pPr>
        <w:pStyle w:val="BodyText"/>
        <w:spacing w:line="240" w:lineRule="auto" w:before="63"/>
        <w:ind w:left="514" w:right="1134"/>
        <w:jc w:val="left"/>
      </w:pPr>
      <w:r>
        <w:rPr/>
        <w:t>（</w:t>
      </w:r>
      <w:r>
        <w:rPr>
          <w:rFonts w:ascii="Times New Roman" w:hAnsi="Times New Roman" w:cs="Times New Roman" w:eastAsia="Times New Roman" w:hint="default"/>
        </w:rPr>
        <w:t>5</w:t>
      </w:r>
      <w:r>
        <w:rPr/>
        <w:t>）因发行方发生重大财务困难，该金融资产无法在活跃市场继续交易；</w:t>
      </w:r>
    </w:p>
    <w:p>
      <w:pPr>
        <w:pStyle w:val="BodyText"/>
        <w:spacing w:line="309" w:lineRule="auto" w:before="63"/>
        <w:ind w:left="514" w:right="1132"/>
        <w:jc w:val="both"/>
      </w:pPr>
      <w:r>
        <w:rPr/>
        <w:t>（</w:t>
      </w:r>
      <w:r>
        <w:rPr>
          <w:rFonts w:ascii="Times New Roman" w:hAnsi="Times New Roman" w:cs="Times New Roman" w:eastAsia="Times New Roman" w:hint="default"/>
        </w:rPr>
        <w:t>6</w:t>
      </w:r>
      <w:r>
        <w:rPr/>
        <w:t>）无法辨认一组金融资产中的某项资产的现金流量是否已经减少，但根据公开的数据对其进行总体评价后发现，该 </w:t>
      </w:r>
      <w:r>
        <w:rPr>
          <w:spacing w:val="-2"/>
        </w:rPr>
        <w:t>组金融资产自初始确认以来的预计未来现金流量确已减少且可计量，如该组金融资产的债务人支付能力逐步恶化，或债</w:t>
      </w:r>
      <w:r>
        <w:rPr>
          <w:spacing w:val="-68"/>
        </w:rPr>
        <w:t> </w:t>
      </w:r>
      <w:r>
        <w:rPr>
          <w:spacing w:val="-68"/>
        </w:rPr>
      </w:r>
      <w:r>
        <w:rPr/>
        <w:t>务人所在国家或地区失业率提高、担保物在其所在地区的价格明显下降、所处行业不景气等；</w:t>
      </w:r>
    </w:p>
    <w:p>
      <w:pPr>
        <w:pStyle w:val="BodyText"/>
        <w:spacing w:line="300" w:lineRule="auto" w:before="24"/>
        <w:ind w:left="514" w:right="1122"/>
        <w:jc w:val="left"/>
      </w:pPr>
      <w:r>
        <w:rPr/>
        <w:t>（</w:t>
      </w:r>
      <w:r>
        <w:rPr>
          <w:rFonts w:ascii="Times New Roman" w:hAnsi="Times New Roman" w:cs="Times New Roman" w:eastAsia="Times New Roman" w:hint="default"/>
        </w:rPr>
        <w:t>7</w:t>
      </w:r>
      <w:r>
        <w:rPr/>
        <w:t>）权益工具发行方经营所处的技术、市场、经济或法律环境等发生重大不利变化，使权益工具投资人可能无法收回 投资成本；</w:t>
      </w:r>
    </w:p>
    <w:p>
      <w:pPr>
        <w:pStyle w:val="BodyText"/>
        <w:spacing w:line="300" w:lineRule="auto" w:before="31"/>
        <w:ind w:left="514" w:right="5802"/>
        <w:jc w:val="left"/>
      </w:pPr>
      <w:r>
        <w:rPr/>
        <w:t>（</w:t>
      </w:r>
      <w:r>
        <w:rPr>
          <w:rFonts w:ascii="Times New Roman" w:hAnsi="Times New Roman" w:cs="Times New Roman" w:eastAsia="Times New Roman" w:hint="default"/>
        </w:rPr>
        <w:t>8</w:t>
      </w:r>
      <w:r>
        <w:rPr/>
        <w:t>）权益工具投资的公允价值发生严重或非暂时性下跌； 金融资产的具体减值方法如下：</w:t>
      </w:r>
    </w:p>
    <w:p>
      <w:pPr>
        <w:pStyle w:val="BodyText"/>
        <w:spacing w:line="300" w:lineRule="auto" w:before="31"/>
        <w:ind w:left="514" w:right="0"/>
        <w:jc w:val="left"/>
      </w:pPr>
      <w:r>
        <w:rPr/>
        <w:t>（</w:t>
      </w:r>
      <w:r>
        <w:rPr>
          <w:rFonts w:ascii="Times New Roman" w:hAnsi="Times New Roman" w:cs="Times New Roman" w:eastAsia="Times New Roman" w:hint="default"/>
        </w:rPr>
        <w:t>1</w:t>
      </w:r>
      <w:r>
        <w:rPr/>
        <w:t>）可供出售金融资产减值准备 </w:t>
      </w:r>
      <w:r>
        <w:rPr>
          <w:spacing w:val="-2"/>
        </w:rPr>
        <w:t>本公司于资产负债表日对各项可供出售权益工具投资单独进行检查，若该权益工具投资于资产负债表日的公允价值低于</w:t>
      </w:r>
    </w:p>
    <w:p>
      <w:pPr>
        <w:pStyle w:val="BodyText"/>
        <w:spacing w:line="300" w:lineRule="auto" w:before="31"/>
        <w:ind w:right="1131"/>
        <w:jc w:val="both"/>
      </w:pPr>
      <w:r>
        <w:rPr>
          <w:spacing w:val="-1"/>
        </w:rPr>
        <w:t>其成本超过</w:t>
      </w:r>
      <w:r>
        <w:rPr>
          <w:rFonts w:ascii="Times New Roman" w:hAnsi="Times New Roman" w:cs="Times New Roman" w:eastAsia="Times New Roman" w:hint="default"/>
          <w:spacing w:val="-1"/>
        </w:rPr>
        <w:t>50%</w:t>
      </w:r>
      <w:r>
        <w:rPr>
          <w:spacing w:val="-1"/>
        </w:rPr>
        <w:t>（含</w:t>
      </w:r>
      <w:r>
        <w:rPr>
          <w:rFonts w:ascii="Times New Roman" w:hAnsi="Times New Roman" w:cs="Times New Roman" w:eastAsia="Times New Roman" w:hint="default"/>
          <w:spacing w:val="-1"/>
        </w:rPr>
        <w:t>50%</w:t>
      </w:r>
      <w:r>
        <w:rPr>
          <w:spacing w:val="-1"/>
        </w:rPr>
        <w:t>）或低于其成本持续时间超过一年（含一年）的，则表明其发生减值；若该权益工具投资于资产负</w:t>
      </w:r>
      <w:r>
        <w:rPr>
          <w:spacing w:val="-58"/>
        </w:rPr>
        <w:t> </w:t>
      </w:r>
      <w:r>
        <w:rPr>
          <w:spacing w:val="-58"/>
        </w:rPr>
      </w:r>
      <w:r>
        <w:rPr/>
        <w:t>债表日的公允价值低于其成本超过</w:t>
      </w:r>
      <w:r>
        <w:rPr>
          <w:rFonts w:ascii="Times New Roman" w:hAnsi="Times New Roman" w:cs="Times New Roman" w:eastAsia="Times New Roman" w:hint="default"/>
        </w:rPr>
        <w:t>20%</w:t>
      </w:r>
      <w:r>
        <w:rPr/>
        <w:t>（含</w:t>
      </w:r>
      <w:r>
        <w:rPr>
          <w:rFonts w:ascii="Times New Roman" w:hAnsi="Times New Roman" w:cs="Times New Roman" w:eastAsia="Times New Roman" w:hint="default"/>
        </w:rPr>
        <w:t>20%</w:t>
      </w:r>
      <w:r>
        <w:rPr/>
        <w:t>）但尚未达到</w:t>
      </w:r>
      <w:r>
        <w:rPr>
          <w:rFonts w:ascii="Times New Roman" w:hAnsi="Times New Roman" w:cs="Times New Roman" w:eastAsia="Times New Roman" w:hint="default"/>
        </w:rPr>
        <w:t>50%</w:t>
      </w:r>
      <w:r>
        <w:rPr/>
        <w:t>的，本公司会综合考虑其他相关因素诸如价格波动率等， 判断该权益工具投资是否发生减值。</w:t>
      </w:r>
    </w:p>
    <w:p>
      <w:pPr>
        <w:pStyle w:val="BodyText"/>
        <w:spacing w:line="319" w:lineRule="auto" w:before="31"/>
        <w:ind w:right="0" w:firstLine="360"/>
        <w:jc w:val="left"/>
      </w:pPr>
      <w:r>
        <w:rPr/>
        <w:t>上段所述成本按照可供出售权益工具投资的初始取得成本扣除已收回本金和已摊销金额、原已计入损益的减值损失确 </w:t>
      </w:r>
      <w:r>
        <w:rPr>
          <w:spacing w:val="-2"/>
        </w:rPr>
        <w:t>定；不存在活跃市场的可供出售权益工具投资的公允价值，按照类似金融资产当时市场收益率对未来现金流量折现确定的现</w:t>
      </w:r>
      <w:r>
        <w:rPr>
          <w:spacing w:val="-63"/>
        </w:rPr>
        <w:t> </w:t>
      </w:r>
      <w:r>
        <w:rPr>
          <w:spacing w:val="-63"/>
        </w:rPr>
      </w:r>
      <w:r>
        <w:rPr>
          <w:spacing w:val="-2"/>
        </w:rPr>
        <w:t>值确定；在活跃市场有报价的可供出售权益工具投资的公允价值根据证券交易所期末收盘价确定，除非该项可供出售权益工</w:t>
      </w:r>
      <w:r>
        <w:rPr>
          <w:spacing w:val="-64"/>
        </w:rPr>
        <w:t> </w:t>
      </w:r>
      <w:r>
        <w:rPr>
          <w:spacing w:val="-64"/>
        </w:rPr>
      </w:r>
      <w:r>
        <w:rPr>
          <w:spacing w:val="-2"/>
        </w:rPr>
        <w:t>具投资存在限售期。对于存在限售期的可供出售权益工具投资，按照证券交易所期末收盘价扣除市场参与者因承担指定期间</w:t>
      </w:r>
      <w:r>
        <w:rPr>
          <w:spacing w:val="-64"/>
        </w:rPr>
        <w:t> </w:t>
      </w:r>
      <w:r>
        <w:rPr>
          <w:spacing w:val="-64"/>
        </w:rPr>
      </w:r>
      <w:r>
        <w:rPr/>
        <w:t>内无法在公开市场上出售该权益工具的风险而要求获得的补偿金额后确定。</w:t>
      </w:r>
    </w:p>
    <w:p>
      <w:pPr>
        <w:pStyle w:val="BodyText"/>
        <w:spacing w:line="316" w:lineRule="auto" w:before="17"/>
        <w:ind w:right="1132" w:firstLine="360"/>
        <w:jc w:val="both"/>
      </w:pPr>
      <w:r>
        <w:rPr>
          <w:spacing w:val="-2"/>
        </w:rPr>
        <w:t>可供出售金融资产发生减值时，即使该金融资产没有终止确认，本公司将原直接计入其他综合收益的因公允价值下降形</w:t>
      </w:r>
      <w:r>
        <w:rPr/>
        <w:t> </w:t>
      </w:r>
      <w:r>
        <w:rPr>
          <w:spacing w:val="-2"/>
        </w:rPr>
        <w:t>成的累计损失从其他综合收益转出，计入当期损益。该转出的累计损失，等于可供出售金融资产的初始取得成本扣除已收回</w:t>
      </w:r>
      <w:r>
        <w:rPr>
          <w:spacing w:val="-66"/>
        </w:rPr>
        <w:t> </w:t>
      </w:r>
      <w:r>
        <w:rPr>
          <w:spacing w:val="-66"/>
        </w:rPr>
      </w:r>
      <w:r>
        <w:rPr/>
        <w:t>本金和已摊余金额、当前公允价值和原已计入损益的减值损失后的余额。</w:t>
      </w:r>
    </w:p>
    <w:p>
      <w:pPr>
        <w:pStyle w:val="BodyText"/>
        <w:spacing w:line="316" w:lineRule="auto" w:before="19"/>
        <w:ind w:right="1131" w:firstLine="360"/>
        <w:jc w:val="both"/>
      </w:pPr>
      <w:r>
        <w:rPr>
          <w:spacing w:val="-2"/>
        </w:rPr>
        <w:t>对于已确认减值损失的可供出售债务工具，在随后的会计期间公允价值已上升且客观上与确认原减值损失后发生的事项</w:t>
      </w:r>
      <w:r>
        <w:rPr/>
        <w:t> </w:t>
      </w:r>
      <w:r>
        <w:rPr>
          <w:spacing w:val="-2"/>
        </w:rPr>
        <w:t>有关的，原确认的减值损失予以转回计入当期损益；对于可供出售权益工具投资发生的减值损失，在该权益工具价值回升时</w:t>
      </w:r>
      <w:r>
        <w:rPr>
          <w:spacing w:val="-66"/>
        </w:rPr>
        <w:t> </w:t>
      </w:r>
      <w:r>
        <w:rPr>
          <w:spacing w:val="-66"/>
        </w:rPr>
      </w:r>
      <w:r>
        <w:rPr>
          <w:spacing w:val="-2"/>
        </w:rPr>
        <w:t>通过权益转回；但在活跃市场中没有报价且其公允价值不能可靠计量的权益工具投资，或与该权益工具挂钩并须通过交付该</w:t>
      </w:r>
      <w:r>
        <w:rPr>
          <w:spacing w:val="-64"/>
        </w:rPr>
        <w:t> </w:t>
      </w:r>
      <w:r>
        <w:rPr>
          <w:spacing w:val="-64"/>
        </w:rPr>
      </w:r>
      <w:r>
        <w:rPr/>
        <w:t>权益工具结算的衍生金融资产发生的减值损失，不得转回。</w:t>
      </w:r>
    </w:p>
    <w:p>
      <w:pPr>
        <w:pStyle w:val="BodyText"/>
        <w:spacing w:line="300" w:lineRule="auto" w:before="19"/>
        <w:ind w:left="514" w:right="0"/>
        <w:jc w:val="left"/>
      </w:pPr>
      <w:r>
        <w:rPr/>
        <w:t>（</w:t>
      </w:r>
      <w:r>
        <w:rPr>
          <w:rFonts w:ascii="Times New Roman" w:hAnsi="Times New Roman" w:cs="Times New Roman" w:eastAsia="Times New Roman" w:hint="default"/>
        </w:rPr>
        <w:t>2</w:t>
      </w:r>
      <w:r>
        <w:rPr/>
        <w:t>）持有至到期投资减值准备 </w:t>
      </w:r>
      <w:r>
        <w:rPr>
          <w:spacing w:val="-2"/>
        </w:rPr>
        <w:t>对于持有至到期投资，有客观证据表明其发生了减值的，根据其账面价值与预计未来现金流量现值之间差额计算确认减</w:t>
      </w:r>
    </w:p>
    <w:p>
      <w:pPr>
        <w:pStyle w:val="BodyText"/>
        <w:spacing w:line="316" w:lineRule="auto" w:before="31"/>
        <w:ind w:right="1131"/>
        <w:jc w:val="both"/>
      </w:pPr>
      <w:r>
        <w:rPr>
          <w:spacing w:val="-2"/>
        </w:rPr>
        <w:t>值损失；计提后如有证据表明其价值已恢复，原确认的减值损失可予以转回，记入当期损益，但该转回的账面价值不超过假</w:t>
      </w:r>
      <w:r>
        <w:rPr>
          <w:spacing w:val="-66"/>
        </w:rPr>
        <w:t> </w:t>
      </w:r>
      <w:r>
        <w:rPr>
          <w:spacing w:val="-66"/>
        </w:rPr>
      </w:r>
      <w:r>
        <w:rPr/>
        <w:t>定不计提减值准备情况下该金融资产在转回日的摊余成本。</w:t>
      </w:r>
    </w:p>
    <w:p>
      <w:pPr>
        <w:pStyle w:val="BodyText"/>
        <w:spacing w:line="300" w:lineRule="auto" w:before="19"/>
        <w:ind w:left="514" w:right="0"/>
        <w:jc w:val="left"/>
      </w:pPr>
      <w:r>
        <w:rPr>
          <w:rFonts w:ascii="Times New Roman" w:hAnsi="Times New Roman" w:cs="Times New Roman" w:eastAsia="Times New Roman" w:hint="default"/>
        </w:rPr>
        <w:t>7.</w:t>
      </w:r>
      <w:r>
        <w:rPr/>
        <w:t>金融资产及金融负债的抵销 </w:t>
      </w:r>
      <w:r>
        <w:rPr>
          <w:spacing w:val="-2"/>
        </w:rPr>
        <w:t>金融资产和金融负债在资产负债表内分别列示，没有相互抵销。但是，同时满足下列条件的，以相互抵销后的净额在资</w:t>
      </w:r>
    </w:p>
    <w:p>
      <w:pPr>
        <w:pStyle w:val="BodyText"/>
        <w:spacing w:line="240" w:lineRule="auto" w:before="31"/>
        <w:ind w:right="0"/>
        <w:jc w:val="both"/>
      </w:pPr>
      <w:r>
        <w:rPr/>
        <w:t>产负债表内列示：</w:t>
      </w:r>
    </w:p>
    <w:p>
      <w:pPr>
        <w:pStyle w:val="BodyText"/>
        <w:spacing w:line="240" w:lineRule="auto" w:before="76"/>
        <w:ind w:left="514" w:right="1134"/>
        <w:jc w:val="left"/>
      </w:pPr>
      <w:r>
        <w:rPr/>
        <w:t>（</w:t>
      </w:r>
      <w:r>
        <w:rPr>
          <w:rFonts w:ascii="Times New Roman" w:hAnsi="Times New Roman" w:cs="Times New Roman" w:eastAsia="Times New Roman" w:hint="default"/>
        </w:rPr>
        <w:t>1</w:t>
      </w:r>
      <w:r>
        <w:rPr/>
        <w:t>）本公司具有抵销已确认金额的法定权利，且该种法定权利是当前可执行的；</w:t>
      </w:r>
    </w:p>
    <w:p>
      <w:pPr>
        <w:pStyle w:val="BodyText"/>
        <w:spacing w:line="240" w:lineRule="auto" w:before="63"/>
        <w:ind w:left="514" w:right="1134"/>
        <w:jc w:val="left"/>
      </w:pPr>
      <w:r>
        <w:rPr/>
        <w:t>（</w:t>
      </w:r>
      <w:r>
        <w:rPr>
          <w:rFonts w:ascii="Times New Roman" w:hAnsi="Times New Roman" w:cs="Times New Roman" w:eastAsia="Times New Roman" w:hint="default"/>
        </w:rPr>
        <w:t>2</w:t>
      </w:r>
      <w:r>
        <w:rPr/>
        <w:t>）本公司计划以净额结算，或同时变现该金融资产和清偿该金融负债。</w:t>
      </w:r>
    </w:p>
    <w:p>
      <w:pPr>
        <w:spacing w:after="0" w:line="240" w:lineRule="auto"/>
        <w:jc w:val="left"/>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right="1134"/>
        <w:jc w:val="left"/>
        <w:rPr>
          <w:b w:val="0"/>
          <w:bCs w:val="0"/>
        </w:rPr>
      </w:pPr>
      <w:bookmarkStart w:name="11、应收票据及应收账款" w:id="177"/>
      <w:bookmarkEnd w:id="177"/>
      <w:r>
        <w:rPr>
          <w:b w:val="0"/>
          <w:bCs w:val="0"/>
        </w:rPr>
      </w:r>
      <w:r>
        <w:rPr>
          <w:rFonts w:ascii="Times New Roman" w:hAnsi="Times New Roman" w:cs="Times New Roman" w:eastAsia="Times New Roman" w:hint="default"/>
        </w:rPr>
        <w:t>11</w:t>
      </w:r>
      <w:r>
        <w:rPr/>
        <w:t>、应收票据及应收账款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单项金额重大并单独计提坏账准备的应收款项" w:id="178"/>
      <w:bookmarkEnd w:id="178"/>
      <w:r>
        <w:rPr>
          <w:b w:val="0"/>
          <w:bCs w:val="0"/>
        </w:rPr>
      </w:r>
      <w:r>
        <w:rPr/>
        <w:t>（</w:t>
      </w:r>
      <w:r>
        <w:rPr>
          <w:rFonts w:ascii="Times New Roman" w:hAnsi="Times New Roman" w:cs="Times New Roman" w:eastAsia="Times New Roman" w:hint="default"/>
        </w:rPr>
        <w:t>1</w:t>
      </w:r>
      <w:r>
        <w:rPr/>
        <w:t>）单项金额重大并单独计提坏账准备的应收款项</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5"/>
          <w:szCs w:val="25"/>
        </w:rPr>
      </w:pPr>
    </w:p>
    <w:p>
      <w:pPr>
        <w:pStyle w:val="BodyText"/>
        <w:spacing w:line="240" w:lineRule="auto" w:before="44"/>
        <w:ind w:left="5856" w:right="1155"/>
        <w:jc w:val="right"/>
      </w:pPr>
      <w:r>
        <w:rPr/>
        <w:pict>
          <v:shape style="position:absolute;margin-left:56.459999pt;margin-top:-52.228317pt;width:479.2pt;height:71.9pt;mso-position-horizontal-relative:page;mso-position-vertical-relative:paragraph;z-index:18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829"/>
                    <w:gridCol w:w="5740"/>
                  </w:tblGrid>
                  <w:tr>
                    <w:trPr>
                      <w:trHeight w:val="402" w:hRule="exact"/>
                    </w:trPr>
                    <w:tc>
                      <w:tcPr>
                        <w:tcW w:w="3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5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万元以上（含）</w:t>
                        </w:r>
                      </w:p>
                    </w:tc>
                  </w:tr>
                  <w:tr>
                    <w:trPr>
                      <w:trHeight w:val="1026" w:hRule="exact"/>
                    </w:trPr>
                    <w:tc>
                      <w:tcPr>
                        <w:tcW w:w="38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574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3"/>
                            <w:sz w:val="18"/>
                            <w:szCs w:val="18"/>
                          </w:rPr>
                          <w:t>单项金额重大的应收款项坏账准备的计提方法：单独进行减值测试，按预</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计未来现金流量现值低于其账面价值的差额计提坏账准备，计入当期损 益。单独测试未发生减值的应收款项，将其归入相应组合计提坏账准备</w:t>
                        </w:r>
                      </w:p>
                    </w:tc>
                  </w:tr>
                </w:tbl>
                <w:p>
                  <w:pPr/>
                </w:p>
              </w:txbxContent>
            </v:textbox>
            <w10:wrap type="none"/>
          </v:shape>
        </w:pict>
      </w:r>
      <w:r>
        <w:rPr/>
        <w:t>。</w:t>
      </w:r>
    </w:p>
    <w:p>
      <w:pPr>
        <w:spacing w:line="240" w:lineRule="auto" w:before="12"/>
        <w:rPr>
          <w:rFonts w:ascii="宋体" w:hAnsi="宋体" w:cs="宋体" w:eastAsia="宋体" w:hint="default"/>
          <w:sz w:val="27"/>
          <w:szCs w:val="27"/>
        </w:rPr>
      </w:pPr>
    </w:p>
    <w:p>
      <w:pPr>
        <w:pStyle w:val="Heading3"/>
        <w:spacing w:line="240" w:lineRule="auto" w:before="35"/>
        <w:ind w:right="1134"/>
        <w:jc w:val="left"/>
        <w:rPr>
          <w:b w:val="0"/>
          <w:bCs w:val="0"/>
        </w:rPr>
      </w:pPr>
      <w:bookmarkStart w:name="（2）按信用风险特征组合计提坏账准备的应收款项" w:id="179"/>
      <w:bookmarkEnd w:id="179"/>
      <w:r>
        <w:rPr>
          <w:b w:val="0"/>
          <w:bCs w:val="0"/>
        </w:rPr>
      </w:r>
      <w:r>
        <w:rPr/>
        <w:t>（</w:t>
      </w:r>
      <w:r>
        <w:rPr>
          <w:rFonts w:ascii="Times New Roman" w:hAnsi="Times New Roman" w:cs="Times New Roman" w:eastAsia="Times New Roman" w:hint="default"/>
        </w:rPr>
        <w:t>2</w:t>
      </w:r>
      <w:r>
        <w:rPr/>
        <w:t>）按信用风险特征组合计提坏账准备的应收款项</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账龄分析法组合</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合并范围内关联方</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其他方法</w:t>
            </w:r>
          </w:p>
        </w:tc>
      </w:tr>
    </w:tbl>
    <w:p>
      <w:pPr>
        <w:pStyle w:val="BodyText"/>
        <w:spacing w:line="240" w:lineRule="auto" w:before="51"/>
        <w:ind w:right="1134"/>
        <w:jc w:val="left"/>
      </w:pPr>
      <w:r>
        <w:rPr/>
        <w:t>组合中，采用账龄分析法计提坏账准备的：</w:t>
      </w:r>
    </w:p>
    <w:p>
      <w:pPr>
        <w:pStyle w:val="BodyText"/>
        <w:spacing w:line="240" w:lineRule="auto" w:before="117"/>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6"/>
          <w:szCs w:val="6"/>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82"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bl>
    <w:p>
      <w:pPr>
        <w:pStyle w:val="BodyText"/>
        <w:spacing w:line="240" w:lineRule="auto" w:before="51"/>
        <w:ind w:right="1134"/>
        <w:jc w:val="left"/>
      </w:pPr>
      <w:r>
        <w:rPr/>
        <w:t>组合中，采用余额百分比法计提坏账准备的：</w:t>
      </w:r>
    </w:p>
    <w:p>
      <w:pPr>
        <w:pStyle w:val="BodyText"/>
        <w:spacing w:line="338" w:lineRule="auto" w:before="117"/>
        <w:ind w:right="75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组合中，采用其他方法计提坏账准备的：</w:t>
      </w:r>
    </w:p>
    <w:p>
      <w:pPr>
        <w:pStyle w:val="BodyText"/>
        <w:spacing w:line="240" w:lineRule="auto" w:before="43"/>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0"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合并范围内关联方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3）单项金额不重大但单独计提坏账准备的应收款项" w:id="180"/>
      <w:bookmarkEnd w:id="180"/>
      <w:r>
        <w:rPr>
          <w:b w:val="0"/>
          <w:bCs w:val="0"/>
        </w:rPr>
      </w:r>
      <w:r>
        <w:rPr/>
        <w:t>（</w:t>
      </w:r>
      <w:r>
        <w:rPr>
          <w:rFonts w:ascii="Times New Roman" w:hAnsi="Times New Roman" w:cs="Times New Roman" w:eastAsia="Times New Roman" w:hint="default"/>
        </w:rPr>
        <w:t>3</w:t>
      </w:r>
      <w:r>
        <w:rPr/>
        <w:t>）单项金额不重大但单独计提坏账准备的应收款项</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3108"/>
        <w:gridCol w:w="6461"/>
      </w:tblGrid>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646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7" w:right="0"/>
              <w:jc w:val="left"/>
              <w:rPr>
                <w:rFonts w:ascii="宋体" w:hAnsi="宋体" w:cs="宋体" w:eastAsia="宋体" w:hint="default"/>
                <w:sz w:val="18"/>
                <w:szCs w:val="18"/>
              </w:rPr>
            </w:pPr>
            <w:r>
              <w:rPr>
                <w:rFonts w:ascii="宋体" w:hAnsi="宋体" w:cs="宋体" w:eastAsia="宋体" w:hint="default"/>
                <w:sz w:val="18"/>
                <w:szCs w:val="18"/>
              </w:rPr>
              <w:t>存在客观证据表明本公司将无法按应收款项的原有条款收回款项。</w:t>
            </w:r>
          </w:p>
        </w:tc>
      </w:tr>
      <w:tr>
        <w:trPr>
          <w:trHeight w:val="403" w:hRule="exact"/>
        </w:trPr>
        <w:tc>
          <w:tcPr>
            <w:tcW w:w="3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6461"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52"/>
              <w:ind w:left="27" w:right="0"/>
              <w:jc w:val="left"/>
              <w:rPr>
                <w:rFonts w:ascii="宋体" w:hAnsi="宋体" w:cs="宋体" w:eastAsia="宋体" w:hint="default"/>
                <w:sz w:val="18"/>
                <w:szCs w:val="18"/>
              </w:rPr>
            </w:pPr>
            <w:r>
              <w:rPr>
                <w:rFonts w:ascii="宋体" w:hAnsi="宋体" w:cs="宋体" w:eastAsia="宋体" w:hint="default"/>
                <w:sz w:val="18"/>
                <w:szCs w:val="18"/>
              </w:rPr>
              <w:t>根据应收款项的预计未来现金流量现值低于其账面价值的差额进行计提。</w:t>
            </w:r>
          </w:p>
        </w:tc>
      </w:tr>
    </w:tbl>
    <w:p>
      <w:pPr>
        <w:spacing w:line="240" w:lineRule="auto" w:before="3"/>
        <w:rPr>
          <w:rFonts w:ascii="宋体" w:hAnsi="宋体" w:cs="宋体" w:eastAsia="宋体" w:hint="default"/>
          <w:b/>
          <w:bCs/>
          <w:sz w:val="19"/>
          <w:szCs w:val="19"/>
        </w:rPr>
      </w:pPr>
    </w:p>
    <w:p>
      <w:pPr>
        <w:pStyle w:val="Heading3"/>
        <w:spacing w:line="240" w:lineRule="auto" w:before="35"/>
        <w:ind w:right="1134"/>
        <w:jc w:val="left"/>
        <w:rPr>
          <w:b w:val="0"/>
          <w:bCs w:val="0"/>
        </w:rPr>
      </w:pPr>
      <w:bookmarkStart w:name="12、存货" w:id="181"/>
      <w:bookmarkEnd w:id="181"/>
      <w:r>
        <w:rPr>
          <w:b w:val="0"/>
          <w:bCs w:val="0"/>
        </w:rPr>
      </w:r>
      <w:r>
        <w:rPr>
          <w:rFonts w:ascii="Times New Roman" w:hAnsi="Times New Roman" w:cs="Times New Roman" w:eastAsia="Times New Roman" w:hint="default"/>
        </w:rPr>
        <w:t>12</w:t>
      </w:r>
      <w:r>
        <w:rPr/>
        <w:t>、存货</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7692"/>
        <w:jc w:val="left"/>
      </w:pPr>
      <w:r>
        <w:rPr/>
        <w:t>公司是否需要遵守特殊行业的披露要求 否</w:t>
      </w:r>
    </w:p>
    <w:p>
      <w:pPr>
        <w:spacing w:after="0" w:line="357"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left="514" w:right="1118" w:hanging="70"/>
        <w:jc w:val="left"/>
      </w:pPr>
      <w:r>
        <w:rPr>
          <w:rFonts w:ascii="Times New Roman" w:hAnsi="Times New Roman" w:cs="Times New Roman" w:eastAsia="Times New Roman" w:hint="default"/>
        </w:rPr>
        <w:t>1.</w:t>
      </w:r>
      <w:r>
        <w:rPr/>
        <w:t>存货的分类 </w:t>
      </w:r>
      <w:r>
        <w:rPr>
          <w:spacing w:val="-2"/>
        </w:rPr>
        <w:t>存货是指本公司在日常活动中持有以备出售的产成品或商品、处在生产过程中的在产品、在生产过程或提供劳务过程中</w:t>
      </w:r>
    </w:p>
    <w:p>
      <w:pPr>
        <w:pStyle w:val="BodyText"/>
        <w:spacing w:line="240" w:lineRule="auto" w:before="31"/>
        <w:ind w:right="1134"/>
        <w:jc w:val="left"/>
      </w:pPr>
      <w:r>
        <w:rPr/>
        <w:t>耗用的材料和物料等。主要包括原材料、委托加工物资、在产品、库存商品、发出商品等。</w:t>
      </w:r>
    </w:p>
    <w:p>
      <w:pPr>
        <w:pStyle w:val="BodyText"/>
        <w:spacing w:line="307" w:lineRule="auto" w:before="76"/>
        <w:ind w:left="514" w:right="1118"/>
        <w:jc w:val="left"/>
      </w:pPr>
      <w:r>
        <w:rPr>
          <w:rFonts w:ascii="Times New Roman" w:hAnsi="Times New Roman" w:cs="Times New Roman" w:eastAsia="Times New Roman" w:hint="default"/>
        </w:rPr>
        <w:t>2.</w:t>
      </w:r>
      <w:r>
        <w:rPr/>
        <w:t>存货的计价方法 存货在取得时，按成本进行初始计量，包括采购成本、加工成本和其他成本。存货发出时按加权平均法计价。 </w:t>
      </w:r>
      <w:r>
        <w:rPr>
          <w:rFonts w:ascii="Times New Roman" w:hAnsi="Times New Roman" w:cs="Times New Roman" w:eastAsia="Times New Roman" w:hint="default"/>
        </w:rPr>
        <w:t>3.</w:t>
      </w:r>
      <w:r>
        <w:rPr/>
        <w:t>存货可变现净值的确定依据及存货跌价准备的计提方法 </w:t>
      </w:r>
      <w:r>
        <w:rPr>
          <w:spacing w:val="-2"/>
        </w:rPr>
        <w:t>期末对存货进行全面清查后，按存货的成本与可变现净值孰低提取或调整存货跌价准备。产成品、库存商品和用于出售</w:t>
      </w:r>
    </w:p>
    <w:p>
      <w:pPr>
        <w:pStyle w:val="BodyText"/>
        <w:spacing w:line="316" w:lineRule="auto" w:before="26"/>
        <w:ind w:right="0"/>
        <w:jc w:val="left"/>
      </w:pPr>
      <w:r>
        <w:rPr>
          <w:spacing w:val="-4"/>
        </w:rPr>
        <w:t>的材料等直接用于出售的商品存货，在正常生产经营过程中，以该存货的估计售价减去估计的销售费用和相关税费后的金额，</w:t>
      </w:r>
      <w:r>
        <w:rPr>
          <w:spacing w:val="-44"/>
        </w:rPr>
        <w:t> </w:t>
      </w:r>
      <w:r>
        <w:rPr>
          <w:spacing w:val="-44"/>
        </w:rPr>
      </w:r>
      <w:r>
        <w:rPr>
          <w:spacing w:val="-2"/>
        </w:rPr>
        <w:t>确定其可变现净值；需要经过加工的材料存货，在正常生产经营过程中，以所生产的产成品的估计售价减去至完工时估计将</w:t>
      </w:r>
      <w:r>
        <w:rPr>
          <w:spacing w:val="-65"/>
        </w:rPr>
        <w:t> </w:t>
      </w:r>
      <w:r>
        <w:rPr>
          <w:spacing w:val="-65"/>
        </w:rPr>
      </w:r>
      <w:r>
        <w:rPr>
          <w:spacing w:val="-2"/>
        </w:rPr>
        <w:t>要发生的成本、估计的销售费用和相关税费后的金额，确定其可变现净值；为执行销售合同或者劳务合同而持有的存货，其</w:t>
      </w:r>
      <w:r>
        <w:rPr>
          <w:spacing w:val="-66"/>
        </w:rPr>
        <w:t> </w:t>
      </w:r>
      <w:r>
        <w:rPr>
          <w:spacing w:val="-66"/>
        </w:rPr>
      </w:r>
      <w:r>
        <w:rPr>
          <w:spacing w:val="-2"/>
        </w:rPr>
        <w:t>可变现净值以合同价格为基础计算，若持有存货的数量多于销售合同订购数量的，超出部分的存货的可变现净值以一般销售</w:t>
      </w:r>
      <w:r>
        <w:rPr>
          <w:spacing w:val="-64"/>
        </w:rPr>
        <w:t> </w:t>
      </w:r>
      <w:r>
        <w:rPr>
          <w:spacing w:val="-64"/>
        </w:rPr>
      </w:r>
      <w:r>
        <w:rPr/>
        <w:t>价格为基础计算。</w:t>
      </w:r>
    </w:p>
    <w:p>
      <w:pPr>
        <w:pStyle w:val="BodyText"/>
        <w:spacing w:line="316" w:lineRule="auto" w:before="19"/>
        <w:ind w:right="1131" w:firstLine="360"/>
        <w:jc w:val="both"/>
      </w:pPr>
      <w:r>
        <w:rPr>
          <w:spacing w:val="-2"/>
        </w:rPr>
        <w:t>期末按照单个存货项目计提存货跌价准备；但对于数量繁多、单价较低的存货，按照存货类别计提存货跌价准备；与在</w:t>
      </w:r>
      <w:r>
        <w:rPr/>
        <w:t> </w:t>
      </w:r>
      <w:r>
        <w:rPr>
          <w:spacing w:val="-2"/>
        </w:rPr>
        <w:t>同一地区生产和销售的产品系列相关、具有相同或类似最终用途或目的，且难以与其他项目分开计量的存货，则合并计提存</w:t>
      </w:r>
      <w:r>
        <w:rPr>
          <w:spacing w:val="-66"/>
        </w:rPr>
        <w:t> </w:t>
      </w:r>
      <w:r>
        <w:rPr>
          <w:spacing w:val="-66"/>
        </w:rPr>
      </w:r>
      <w:r>
        <w:rPr/>
        <w:t>货跌价准备。</w:t>
      </w:r>
    </w:p>
    <w:p>
      <w:pPr>
        <w:pStyle w:val="BodyText"/>
        <w:spacing w:line="316" w:lineRule="auto" w:before="19"/>
        <w:ind w:right="0" w:firstLine="360"/>
        <w:jc w:val="left"/>
      </w:pPr>
      <w:r>
        <w:rPr>
          <w:spacing w:val="-2"/>
        </w:rPr>
        <w:t>以前减记存货价值的影响因素已经消失的，减记的金额予以恢复，并在原已计提的存货跌价准备金额内转回，转回的金</w:t>
      </w:r>
      <w:r>
        <w:rPr/>
        <w:t> 额计入当期损益。</w:t>
      </w:r>
    </w:p>
    <w:p>
      <w:pPr>
        <w:pStyle w:val="BodyText"/>
        <w:spacing w:line="300" w:lineRule="auto" w:before="19"/>
        <w:ind w:right="1132" w:firstLine="360"/>
        <w:jc w:val="left"/>
      </w:pPr>
      <w:r>
        <w:rPr/>
        <w:t>报告期内，公司为拓展业务和满足客户的需求（如购买前试用、测试、演示等），会出借部分库存商品（以下简称</w:t>
      </w:r>
      <w:r>
        <w:rPr>
          <w:rFonts w:ascii="Times New Roman" w:hAnsi="Times New Roman" w:cs="Times New Roman" w:eastAsia="Times New Roman" w:hint="default"/>
        </w:rPr>
        <w:t>“</w:t>
      </w:r>
      <w:r>
        <w:rPr/>
        <w:t>借 货</w:t>
      </w:r>
      <w:r>
        <w:rPr>
          <w:rFonts w:ascii="Times New Roman" w:hAnsi="Times New Roman" w:cs="Times New Roman" w:eastAsia="Times New Roman" w:hint="default"/>
        </w:rPr>
        <w:t>”</w:t>
      </w:r>
      <w:r>
        <w:rPr/>
        <w:t>）给客户临时使用，借货的所有权归公司所有。</w:t>
      </w:r>
    </w:p>
    <w:p>
      <w:pPr>
        <w:pStyle w:val="BodyText"/>
        <w:spacing w:line="316" w:lineRule="auto" w:before="13"/>
        <w:ind w:right="0" w:firstLine="360"/>
        <w:jc w:val="left"/>
      </w:pPr>
      <w:r>
        <w:rPr>
          <w:spacing w:val="-2"/>
        </w:rPr>
        <w:t>会计期末，对于借货，公司除根据上述成本与可变现净值孰低提取或调整存货跌价准备外，基于谨慎性考虑，同时结合</w:t>
      </w:r>
      <w:r>
        <w:rPr/>
        <w:t> 借货在使用过程中的损耗情况、出借期间及期末状态按以下情形分别进行会计处理：</w:t>
      </w:r>
    </w:p>
    <w:p>
      <w:pPr>
        <w:pStyle w:val="BodyText"/>
        <w:spacing w:line="240" w:lineRule="auto" w:before="19"/>
        <w:ind w:left="514" w:right="1134"/>
        <w:jc w:val="left"/>
      </w:pPr>
      <w:r>
        <w:rPr/>
        <w:t>（</w:t>
      </w:r>
      <w:r>
        <w:rPr>
          <w:rFonts w:ascii="Times New Roman" w:hAnsi="Times New Roman" w:cs="Times New Roman" w:eastAsia="Times New Roman" w:hint="default"/>
        </w:rPr>
        <w:t>1</w:t>
      </w:r>
      <w:r>
        <w:rPr/>
        <w:t>）按照</w:t>
      </w:r>
      <w:r>
        <w:rPr>
          <w:rFonts w:ascii="Times New Roman" w:hAnsi="Times New Roman" w:cs="Times New Roman" w:eastAsia="Times New Roman" w:hint="default"/>
        </w:rPr>
        <w:t>3</w:t>
      </w:r>
      <w:r>
        <w:rPr/>
        <w:t>年的使用年限计提存货跌价准备。</w:t>
      </w:r>
    </w:p>
    <w:p>
      <w:pPr>
        <w:pStyle w:val="BodyText"/>
        <w:spacing w:line="240" w:lineRule="auto" w:before="63"/>
        <w:ind w:left="514" w:right="1134"/>
        <w:jc w:val="left"/>
      </w:pPr>
      <w:r>
        <w:rPr/>
        <w:t>（</w:t>
      </w:r>
      <w:r>
        <w:rPr>
          <w:rFonts w:ascii="Times New Roman" w:hAnsi="Times New Roman" w:cs="Times New Roman" w:eastAsia="Times New Roman" w:hint="default"/>
        </w:rPr>
        <w:t>2</w:t>
      </w:r>
      <w:r>
        <w:rPr/>
        <w:t>）对于期末确认不能收回的借货，以其账面价值按视同销售的方式计入当期损益。</w:t>
      </w:r>
    </w:p>
    <w:p>
      <w:pPr>
        <w:pStyle w:val="BodyText"/>
        <w:spacing w:line="309" w:lineRule="auto" w:before="63"/>
        <w:ind w:left="514" w:right="7737"/>
        <w:jc w:val="left"/>
      </w:pPr>
      <w:r>
        <w:rPr>
          <w:rFonts w:ascii="Times New Roman" w:hAnsi="Times New Roman" w:cs="Times New Roman" w:eastAsia="Times New Roman" w:hint="default"/>
        </w:rPr>
        <w:t>4.</w:t>
      </w:r>
      <w:r>
        <w:rPr/>
        <w:t>存货的盘存制度 采用永续盘存制。 </w:t>
      </w:r>
      <w:r>
        <w:rPr>
          <w:rFonts w:ascii="Times New Roman" w:hAnsi="Times New Roman" w:cs="Times New Roman" w:eastAsia="Times New Roman" w:hint="default"/>
        </w:rPr>
        <w:t>5.</w:t>
      </w:r>
      <w:r>
        <w:rPr/>
        <w:t>低值易耗品和包装物的摊销方法</w:t>
      </w:r>
    </w:p>
    <w:p>
      <w:pPr>
        <w:pStyle w:val="BodyText"/>
        <w:spacing w:line="240" w:lineRule="auto" w:before="5"/>
        <w:ind w:left="514" w:right="1134"/>
        <w:jc w:val="left"/>
      </w:pPr>
      <w:r>
        <w:rPr/>
        <w:t>（</w:t>
      </w:r>
      <w:r>
        <w:rPr>
          <w:rFonts w:ascii="Times New Roman" w:hAnsi="Times New Roman" w:cs="Times New Roman" w:eastAsia="Times New Roman" w:hint="default"/>
        </w:rPr>
        <w:t>1</w:t>
      </w:r>
      <w:r>
        <w:rPr/>
        <w:t>）低值易耗品采用一次转销法；</w:t>
      </w:r>
    </w:p>
    <w:p>
      <w:pPr>
        <w:pStyle w:val="BodyText"/>
        <w:spacing w:line="240" w:lineRule="auto" w:before="63"/>
        <w:ind w:left="514" w:right="1134"/>
        <w:jc w:val="left"/>
      </w:pPr>
      <w:r>
        <w:rPr/>
        <w:t>（</w:t>
      </w:r>
      <w:r>
        <w:rPr>
          <w:rFonts w:ascii="Times New Roman" w:hAnsi="Times New Roman" w:cs="Times New Roman" w:eastAsia="Times New Roman" w:hint="default"/>
        </w:rPr>
        <w:t>2</w:t>
      </w:r>
      <w:r>
        <w:rPr/>
        <w:t>）包装物采用一次转销法。</w:t>
      </w:r>
    </w:p>
    <w:p>
      <w:pPr>
        <w:spacing w:line="240" w:lineRule="auto" w:before="11"/>
        <w:rPr>
          <w:rFonts w:ascii="宋体" w:hAnsi="宋体" w:cs="宋体" w:eastAsia="宋体" w:hint="default"/>
          <w:sz w:val="25"/>
          <w:szCs w:val="25"/>
        </w:rPr>
      </w:pPr>
    </w:p>
    <w:p>
      <w:pPr>
        <w:pStyle w:val="Heading3"/>
        <w:spacing w:line="240" w:lineRule="auto"/>
        <w:ind w:right="1134"/>
        <w:jc w:val="left"/>
        <w:rPr>
          <w:b w:val="0"/>
          <w:bCs w:val="0"/>
        </w:rPr>
      </w:pPr>
      <w:bookmarkStart w:name="13、持有待售资产" w:id="182"/>
      <w:bookmarkEnd w:id="182"/>
      <w:r>
        <w:rPr>
          <w:b w:val="0"/>
          <w:bCs w:val="0"/>
        </w:rPr>
      </w:r>
      <w:r>
        <w:rPr>
          <w:rFonts w:ascii="Times New Roman" w:hAnsi="Times New Roman" w:cs="Times New Roman" w:eastAsia="Times New Roman" w:hint="default"/>
        </w:rPr>
        <w:t>13</w:t>
      </w:r>
      <w:r>
        <w:rPr/>
        <w:t>、持有待售资产</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left="371" w:right="4415"/>
        <w:jc w:val="left"/>
      </w:pPr>
      <w:r>
        <w:rPr>
          <w:rFonts w:ascii="Times New Roman" w:hAnsi="Times New Roman" w:cs="Times New Roman" w:eastAsia="Times New Roman" w:hint="default"/>
        </w:rPr>
        <w:t>1.</w:t>
      </w:r>
      <w:r>
        <w:rPr/>
        <w:t>划分为持有待售确认标准 本公司将同时满足下列条件的非流动资产或处置组确认为持有待售组成部分：</w:t>
      </w:r>
    </w:p>
    <w:p>
      <w:pPr>
        <w:pStyle w:val="BodyText"/>
        <w:spacing w:line="240" w:lineRule="auto" w:before="31"/>
        <w:ind w:left="299" w:right="1134"/>
        <w:jc w:val="left"/>
      </w:pPr>
      <w:r>
        <w:rPr/>
        <w:t>（</w:t>
      </w:r>
      <w:r>
        <w:rPr>
          <w:rFonts w:ascii="Times New Roman" w:hAnsi="Times New Roman" w:cs="Times New Roman" w:eastAsia="Times New Roman" w:hint="default"/>
        </w:rPr>
        <w:t>1</w:t>
      </w:r>
      <w:r>
        <w:rPr/>
        <w:t>）根据类似交易中出售此类资产或处置组的惯例，在当前状况下即可立即出售；</w:t>
      </w:r>
    </w:p>
    <w:p>
      <w:pPr>
        <w:pStyle w:val="BodyText"/>
        <w:spacing w:line="300" w:lineRule="auto" w:before="63"/>
        <w:ind w:right="1157" w:firstLine="145"/>
        <w:jc w:val="left"/>
      </w:pPr>
      <w:r>
        <w:rPr/>
        <w:t>（</w:t>
      </w:r>
      <w:r>
        <w:rPr>
          <w:rFonts w:ascii="Times New Roman" w:hAnsi="Times New Roman" w:cs="Times New Roman" w:eastAsia="Times New Roman" w:hint="default"/>
        </w:rPr>
        <w:t>2</w:t>
      </w:r>
      <w:r>
        <w:rPr/>
        <w:t>）出售极可能发生，即本公司已经就一项出售计划作出决议，并已获得监管部门批准（如适用），且获得确定的购买 承诺，预计出售将在一年内完成。</w:t>
      </w:r>
    </w:p>
    <w:p>
      <w:pPr>
        <w:pStyle w:val="BodyText"/>
        <w:spacing w:line="316" w:lineRule="auto" w:before="31"/>
        <w:ind w:right="0" w:firstLine="360"/>
        <w:jc w:val="left"/>
      </w:pPr>
      <w:r>
        <w:rPr>
          <w:spacing w:val="-2"/>
        </w:rPr>
        <w:t>确定的购买承诺，是指本公司与其他方签订的具有法律约束力的购买协议，该协议包含交易价格、时间和足够严厉的违</w:t>
      </w:r>
      <w:r>
        <w:rPr/>
        <w:t> 约惩罚等重要条款，使协议出现重大调整或者撤销的可能性极小。</w:t>
      </w:r>
    </w:p>
    <w:p>
      <w:pPr>
        <w:pStyle w:val="BodyText"/>
        <w:spacing w:line="300" w:lineRule="auto" w:before="19"/>
        <w:ind w:left="454" w:right="0" w:hanging="83"/>
        <w:jc w:val="left"/>
      </w:pPr>
      <w:r>
        <w:rPr>
          <w:rFonts w:ascii="Times New Roman" w:hAnsi="Times New Roman" w:cs="Times New Roman" w:eastAsia="Times New Roman" w:hint="default"/>
        </w:rPr>
        <w:t>2.</w:t>
      </w:r>
      <w:r>
        <w:rPr/>
        <w:t>持有待售核算方法 </w:t>
      </w:r>
      <w:r>
        <w:rPr>
          <w:spacing w:val="-1"/>
        </w:rPr>
        <w:t>本公司对于持有待售的非流动资产或处置组不计提折旧或摊销，其账面价值高于公允价值减去出售费用后的净额的，应</w:t>
      </w:r>
    </w:p>
    <w:p>
      <w:pPr>
        <w:pStyle w:val="BodyText"/>
        <w:spacing w:line="316" w:lineRule="auto" w:before="32"/>
        <w:ind w:right="0"/>
        <w:jc w:val="left"/>
      </w:pPr>
      <w:r>
        <w:rPr>
          <w:spacing w:val="-2"/>
        </w:rPr>
        <w:t>当将账面价值减记至公允价值减去出售费用后的净额，减记的金额确认为资产减值损失，计入当期损益，同时计提持有待售</w:t>
      </w:r>
      <w:r>
        <w:rPr>
          <w:spacing w:val="-66"/>
        </w:rPr>
        <w:t> </w:t>
      </w:r>
      <w:r>
        <w:rPr>
          <w:spacing w:val="-66"/>
        </w:rPr>
      </w:r>
      <w:r>
        <w:rPr/>
        <w:t>资产减值准备。</w:t>
      </w:r>
    </w:p>
    <w:p>
      <w:pPr>
        <w:pStyle w:val="BodyText"/>
        <w:spacing w:line="316" w:lineRule="auto" w:before="19"/>
        <w:ind w:right="0" w:firstLine="300"/>
        <w:jc w:val="left"/>
      </w:pPr>
      <w:r>
        <w:rPr>
          <w:spacing w:val="-1"/>
        </w:rPr>
        <w:t>对于取得日划分为持有待售类别的非流动资产或处置组，在初始计量时比较假定其不划分为持有待售类别情况下的初始</w:t>
      </w:r>
      <w:r>
        <w:rPr/>
        <w:t> 计量金额和公允价值减去出售费用后的净额，以两者孰低计量。</w:t>
      </w:r>
    </w:p>
    <w:p>
      <w:pPr>
        <w:spacing w:after="0" w:line="316"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right="1131" w:firstLine="300"/>
        <w:jc w:val="both"/>
      </w:pPr>
      <w:r>
        <w:rPr>
          <w:spacing w:val="-1"/>
        </w:rPr>
        <w:t>上述原则适用于所有非流动资产，但不包括采用公允价值模式进行后续计量的投资性房地产、采用公允价值减去出售费</w:t>
      </w:r>
      <w:r>
        <w:rPr/>
        <w:t> </w:t>
      </w:r>
      <w:r>
        <w:rPr>
          <w:spacing w:val="-2"/>
        </w:rPr>
        <w:t>用后的净额计量的生物资产、职工薪酬形成的资产、递延所得税资产、由金融工具相关会计准则规范的金融资产、由保险合</w:t>
      </w:r>
      <w:r>
        <w:rPr>
          <w:spacing w:val="-66"/>
        </w:rPr>
        <w:t> </w:t>
      </w:r>
      <w:r>
        <w:rPr>
          <w:spacing w:val="-66"/>
        </w:rPr>
      </w:r>
      <w:r>
        <w:rPr/>
        <w:t>同相关会计准则规范的保险合同所产生的权利。</w:t>
      </w:r>
    </w:p>
    <w:p>
      <w:pPr>
        <w:spacing w:line="240" w:lineRule="auto" w:before="7"/>
        <w:rPr>
          <w:rFonts w:ascii="宋体" w:hAnsi="宋体" w:cs="宋体" w:eastAsia="宋体" w:hint="default"/>
          <w:sz w:val="22"/>
          <w:szCs w:val="22"/>
        </w:rPr>
      </w:pPr>
    </w:p>
    <w:p>
      <w:pPr>
        <w:pStyle w:val="Heading3"/>
        <w:spacing w:line="240" w:lineRule="auto"/>
        <w:ind w:right="1134"/>
        <w:jc w:val="left"/>
        <w:rPr>
          <w:b w:val="0"/>
          <w:bCs w:val="0"/>
        </w:rPr>
      </w:pPr>
      <w:bookmarkStart w:name="14、长期股权投资" w:id="183"/>
      <w:bookmarkEnd w:id="183"/>
      <w:r>
        <w:rPr>
          <w:b w:val="0"/>
          <w:bCs w:val="0"/>
        </w:rPr>
      </w:r>
      <w:r>
        <w:rPr>
          <w:rFonts w:ascii="Times New Roman" w:hAnsi="Times New Roman" w:cs="Times New Roman" w:eastAsia="Times New Roman" w:hint="default"/>
        </w:rPr>
        <w:t>14</w:t>
      </w:r>
      <w:r>
        <w:rPr/>
        <w:t>、长期股权投资</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left="444" w:right="1134"/>
        <w:jc w:val="left"/>
      </w:pPr>
      <w:r>
        <w:rPr>
          <w:rFonts w:ascii="Times New Roman" w:hAnsi="Times New Roman" w:cs="Times New Roman" w:eastAsia="Times New Roman" w:hint="default"/>
        </w:rPr>
        <w:t>1.</w:t>
      </w:r>
      <w:r>
        <w:rPr/>
        <w:t>初始投资成本的确定</w:t>
      </w:r>
    </w:p>
    <w:p>
      <w:pPr>
        <w:pStyle w:val="BodyText"/>
        <w:spacing w:line="300" w:lineRule="auto" w:before="63"/>
        <w:ind w:right="1192" w:firstLine="290"/>
        <w:jc w:val="left"/>
      </w:pPr>
      <w:r>
        <w:rPr/>
        <w:t>（</w:t>
      </w:r>
      <w:r>
        <w:rPr>
          <w:rFonts w:ascii="Times New Roman" w:hAnsi="Times New Roman" w:cs="Times New Roman" w:eastAsia="Times New Roman" w:hint="default"/>
        </w:rPr>
        <w:t>1</w:t>
      </w:r>
      <w:r>
        <w:rPr/>
        <w:t>）企业合并形成的长期股权投资，具体会计政策详见本附注四、（四）同一控制下和非同一控制下企业合并的会计 处理方法。</w:t>
      </w:r>
    </w:p>
    <w:p>
      <w:pPr>
        <w:pStyle w:val="BodyText"/>
        <w:spacing w:line="300" w:lineRule="auto" w:before="31"/>
        <w:ind w:left="514" w:right="0"/>
        <w:jc w:val="left"/>
      </w:pPr>
      <w:r>
        <w:rPr/>
        <w:t>（</w:t>
      </w:r>
      <w:r>
        <w:rPr>
          <w:rFonts w:ascii="Times New Roman" w:hAnsi="Times New Roman" w:cs="Times New Roman" w:eastAsia="Times New Roman" w:hint="default"/>
        </w:rPr>
        <w:t>2</w:t>
      </w:r>
      <w:r>
        <w:rPr/>
        <w:t>）其他方式取得的长期股权投资 </w:t>
      </w:r>
      <w:r>
        <w:rPr>
          <w:spacing w:val="-2"/>
        </w:rPr>
        <w:t>以支付现金方式取得的长期股权投资，按照实际支付的购买价款作为初始投资成本。初始投资成本包括与取得长期股权</w:t>
      </w:r>
    </w:p>
    <w:p>
      <w:pPr>
        <w:pStyle w:val="BodyText"/>
        <w:spacing w:line="316" w:lineRule="auto" w:before="31"/>
        <w:ind w:left="514" w:right="0" w:hanging="360"/>
        <w:jc w:val="left"/>
      </w:pPr>
      <w:r>
        <w:rPr/>
        <w:t>投资直接相关的费用、税金及其他必要支出。 </w:t>
      </w:r>
      <w:r>
        <w:rPr>
          <w:spacing w:val="-2"/>
        </w:rPr>
        <w:t>以发行权益性证券取得的长期股权投资，按照发行权益性证券的公允价值作为初始投资成本；发行或取得自身权益工具</w:t>
      </w:r>
    </w:p>
    <w:p>
      <w:pPr>
        <w:pStyle w:val="BodyText"/>
        <w:spacing w:line="316" w:lineRule="auto" w:before="19"/>
        <w:ind w:left="514" w:right="0" w:hanging="360"/>
        <w:jc w:val="left"/>
      </w:pPr>
      <w:r>
        <w:rPr/>
        <w:t>时发生的交易费用，可直接归属于权益性交易的从权益中扣减。 </w:t>
      </w:r>
      <w:r>
        <w:rPr>
          <w:spacing w:val="-2"/>
        </w:rPr>
        <w:t>在非货币性资产交换具备商业实质和换入资产或换出资产的公允价值能够可靠计量的前提下，非货币性资产交换换入的</w:t>
      </w:r>
    </w:p>
    <w:p>
      <w:pPr>
        <w:pStyle w:val="BodyText"/>
        <w:spacing w:line="316" w:lineRule="auto" w:before="19"/>
        <w:ind w:right="0"/>
        <w:jc w:val="left"/>
      </w:pPr>
      <w:r>
        <w:rPr>
          <w:spacing w:val="-2"/>
        </w:rPr>
        <w:t>长期股权投资以换出资产的公允价值为基础确定其初始投资成本，除非有确凿证据表明换入资产的公允价值更加可靠；不满</w:t>
      </w:r>
      <w:r>
        <w:rPr>
          <w:spacing w:val="-63"/>
        </w:rPr>
        <w:t> </w:t>
      </w:r>
      <w:r>
        <w:rPr>
          <w:spacing w:val="-63"/>
        </w:rPr>
      </w:r>
      <w:r>
        <w:rPr/>
        <w:t>足上述前提的非货币性资产交换，以换出资产的账面价值和应支付的相关税费作为换入长期股权投资的初始投资成本。</w:t>
      </w:r>
    </w:p>
    <w:p>
      <w:pPr>
        <w:pStyle w:val="BodyText"/>
        <w:spacing w:line="240" w:lineRule="auto" w:before="19"/>
        <w:ind w:left="514" w:right="1134"/>
        <w:jc w:val="left"/>
      </w:pPr>
      <w:r>
        <w:rPr/>
        <w:t>通过债务重组取得的长期股权投资，其初始投资成本按照公允价值为基础确定。</w:t>
      </w:r>
    </w:p>
    <w:p>
      <w:pPr>
        <w:pStyle w:val="BodyText"/>
        <w:spacing w:line="240" w:lineRule="auto" w:before="76"/>
        <w:ind w:left="444" w:right="1134"/>
        <w:jc w:val="left"/>
      </w:pPr>
      <w:r>
        <w:rPr>
          <w:rFonts w:ascii="Times New Roman" w:hAnsi="Times New Roman" w:cs="Times New Roman" w:eastAsia="Times New Roman" w:hint="default"/>
        </w:rPr>
        <w:t>2.</w:t>
      </w:r>
      <w:r>
        <w:rPr/>
        <w:t>后续计量及损益确认</w:t>
      </w:r>
    </w:p>
    <w:p>
      <w:pPr>
        <w:pStyle w:val="BodyText"/>
        <w:spacing w:line="300" w:lineRule="auto" w:before="63"/>
        <w:ind w:left="514" w:right="1118"/>
        <w:jc w:val="left"/>
      </w:pPr>
      <w:r>
        <w:rPr/>
        <w:t>（</w:t>
      </w:r>
      <w:r>
        <w:rPr>
          <w:rFonts w:ascii="Times New Roman" w:hAnsi="Times New Roman" w:cs="Times New Roman" w:eastAsia="Times New Roman" w:hint="default"/>
        </w:rPr>
        <w:t>1</w:t>
      </w:r>
      <w:r>
        <w:rPr/>
        <w:t>）成本法 </w:t>
      </w:r>
      <w:r>
        <w:rPr>
          <w:spacing w:val="-2"/>
        </w:rPr>
        <w:t>本公司能够对被投资单位实施控制的长期股权投资采用成本法核算，并按照初始投资成本计价，追加或收回投资调整长</w:t>
      </w:r>
    </w:p>
    <w:p>
      <w:pPr>
        <w:pStyle w:val="BodyText"/>
        <w:spacing w:line="319" w:lineRule="auto" w:before="31"/>
        <w:ind w:left="514" w:right="0" w:hanging="360"/>
        <w:jc w:val="left"/>
      </w:pPr>
      <w:r>
        <w:rPr/>
        <w:t>期股权投资的成本。 </w:t>
      </w:r>
      <w:r>
        <w:rPr>
          <w:spacing w:val="-2"/>
        </w:rPr>
        <w:t>除取得投资时实际支付的价款或对价中包含的已宣告但尚未发放的现金股利或利润外，本公司按照享有被投资单位宣告</w:t>
      </w:r>
    </w:p>
    <w:p>
      <w:pPr>
        <w:pStyle w:val="BodyText"/>
        <w:spacing w:line="240" w:lineRule="auto" w:before="17"/>
        <w:ind w:right="1134"/>
        <w:jc w:val="left"/>
      </w:pPr>
      <w:r>
        <w:rPr/>
        <w:t>分派的现金股利或利润确认为当期投资收益。</w:t>
      </w:r>
    </w:p>
    <w:p>
      <w:pPr>
        <w:pStyle w:val="BodyText"/>
        <w:spacing w:line="300" w:lineRule="auto" w:before="76"/>
        <w:ind w:left="514" w:right="1118"/>
        <w:jc w:val="left"/>
      </w:pPr>
      <w:r>
        <w:rPr/>
        <w:t>（</w:t>
      </w:r>
      <w:r>
        <w:rPr>
          <w:rFonts w:ascii="Times New Roman" w:hAnsi="Times New Roman" w:cs="Times New Roman" w:eastAsia="Times New Roman" w:hint="default"/>
        </w:rPr>
        <w:t>2</w:t>
      </w:r>
      <w:r>
        <w:rPr/>
        <w:t>）权益法 </w:t>
      </w:r>
      <w:r>
        <w:rPr>
          <w:spacing w:val="-2"/>
        </w:rPr>
        <w:t>本公司对联营企业和合营企业的长期股权投资采用权益法核算；对于其中一部分通过风险投资机构、共同基金、信托公</w:t>
      </w:r>
    </w:p>
    <w:p>
      <w:pPr>
        <w:pStyle w:val="BodyText"/>
        <w:spacing w:line="316" w:lineRule="auto" w:before="31"/>
        <w:ind w:left="514" w:right="0" w:hanging="360"/>
        <w:jc w:val="left"/>
      </w:pPr>
      <w:r>
        <w:rPr/>
        <w:t>司或包括投连险基金在内的类似主体间接持有的联营企业的权益性投资，采用公允价值计量且其变动计入损益。 </w:t>
      </w:r>
      <w:r>
        <w:rPr>
          <w:spacing w:val="-2"/>
        </w:rPr>
        <w:t>长期股权投资的初始投资成本大于投资时应享有被投资单位可辨认净资产公允价值份额的差额，不调整长期股权投资的</w:t>
      </w:r>
    </w:p>
    <w:p>
      <w:pPr>
        <w:pStyle w:val="BodyText"/>
        <w:spacing w:line="316" w:lineRule="auto" w:before="19"/>
        <w:ind w:left="514" w:right="0" w:hanging="360"/>
        <w:jc w:val="left"/>
      </w:pPr>
      <w:r>
        <w:rPr/>
        <w:t>初始投资成本；初始投资成本小于投资时应享有被投资单位可辨认净资产公允价值份额的差额，计入当期损益。 </w:t>
      </w:r>
      <w:r>
        <w:rPr>
          <w:spacing w:val="-2"/>
        </w:rPr>
        <w:t>本公司取得长期股权投资后，按照应享有或应分担的被投资单位实现的净损益和其他综合收益的份额，分别确认投资收</w:t>
      </w:r>
    </w:p>
    <w:p>
      <w:pPr>
        <w:pStyle w:val="BodyText"/>
        <w:spacing w:line="316" w:lineRule="auto" w:before="19"/>
        <w:ind w:right="1032"/>
        <w:jc w:val="left"/>
      </w:pPr>
      <w:r>
        <w:rPr/>
        <w:t>益和其他综合收益，同时调整长期股权投资的账面价值；并按照被投资单位宣告分派的利润或现金股利计算应享有的部分， </w:t>
      </w:r>
      <w:r>
        <w:rPr>
          <w:spacing w:val="-2"/>
        </w:rPr>
        <w:t>相应减少长期股权投资的账面价值；对于被投资单位除净损益、其他综合收益和利润分配以外所有者权益的其他变动，调整</w:t>
      </w:r>
      <w:r>
        <w:rPr>
          <w:spacing w:val="-66"/>
        </w:rPr>
        <w:t> </w:t>
      </w:r>
      <w:r>
        <w:rPr>
          <w:spacing w:val="-66"/>
        </w:rPr>
      </w:r>
      <w:r>
        <w:rPr/>
        <w:t>长期股权投资的账面价值并计入所有者权益。</w:t>
      </w:r>
    </w:p>
    <w:p>
      <w:pPr>
        <w:pStyle w:val="BodyText"/>
        <w:spacing w:line="316" w:lineRule="auto" w:before="19"/>
        <w:ind w:right="1132" w:firstLine="360"/>
        <w:jc w:val="both"/>
      </w:pPr>
      <w:r>
        <w:rPr>
          <w:spacing w:val="-2"/>
        </w:rPr>
        <w:t>本公司在确认应享有被投资单位净损益的份额时，以取得投资时被投资单位各项可辨认资产等的公允价值为基础，对被</w:t>
      </w:r>
      <w:r>
        <w:rPr/>
        <w:t> </w:t>
      </w:r>
      <w:r>
        <w:rPr>
          <w:spacing w:val="-2"/>
        </w:rPr>
        <w:t>投资单位的净利润进行调整后确认。本公司与联营企业、合营企业之间发生的未实现内部交易损益按照应享有的比例计算归</w:t>
      </w:r>
      <w:r>
        <w:rPr>
          <w:spacing w:val="-64"/>
        </w:rPr>
        <w:t> </w:t>
      </w:r>
      <w:r>
        <w:rPr>
          <w:spacing w:val="-64"/>
        </w:rPr>
      </w:r>
      <w:r>
        <w:rPr/>
        <w:t>属于本公司的部分予以抵销，在此基础上确认投资损益。</w:t>
      </w:r>
    </w:p>
    <w:p>
      <w:pPr>
        <w:pStyle w:val="BodyText"/>
        <w:spacing w:line="316" w:lineRule="auto" w:before="19"/>
        <w:ind w:right="1032" w:firstLine="360"/>
        <w:jc w:val="left"/>
      </w:pPr>
      <w:r>
        <w:rPr>
          <w:spacing w:val="-2"/>
        </w:rPr>
        <w:t>本公司确认应分担被投资单位发生的亏损时，按照以下顺序进行处理：首先，冲减长期股权投资的账面价值。其次，长</w:t>
      </w:r>
      <w:r>
        <w:rPr/>
        <w:t> 期股权投资的账面价值不足以冲减的，以其他实质上构成对被投资单位净投资的长期权益账面价值为限继续确认投资损失， </w:t>
      </w:r>
      <w:r>
        <w:rPr>
          <w:spacing w:val="-2"/>
        </w:rPr>
        <w:t>冲减长期应收项目等的账面价值。最后，经过上述处理，按照投资合同或协议约定企业仍承担额外义务的，按预计承担的义</w:t>
      </w:r>
      <w:r>
        <w:rPr>
          <w:spacing w:val="-66"/>
        </w:rPr>
        <w:t> </w:t>
      </w:r>
      <w:r>
        <w:rPr>
          <w:spacing w:val="-66"/>
        </w:rPr>
      </w:r>
      <w:r>
        <w:rPr/>
        <w:t>务确认预计负债，计入当期投资损失。</w:t>
      </w:r>
    </w:p>
    <w:p>
      <w:pPr>
        <w:pStyle w:val="BodyText"/>
        <w:spacing w:line="316" w:lineRule="auto" w:before="19"/>
        <w:ind w:right="0" w:firstLine="360"/>
        <w:jc w:val="left"/>
      </w:pPr>
      <w:r>
        <w:rPr>
          <w:spacing w:val="-2"/>
        </w:rPr>
        <w:t>被投资单位以后期间实现盈利的，公司在扣除未确认的亏损分担额后，按与上述相反的顺序处理，减记已确认预计负债</w:t>
      </w:r>
      <w:r>
        <w:rPr/>
        <w:t> 的账面余额、恢复其他实质上构成对被投资单位净投资的长期权益及长期股权投资的账面价值后，恢复确认投资收益。</w:t>
      </w:r>
    </w:p>
    <w:p>
      <w:pPr>
        <w:pStyle w:val="BodyText"/>
        <w:spacing w:line="240" w:lineRule="auto" w:before="19"/>
        <w:ind w:left="514" w:right="1134"/>
        <w:jc w:val="left"/>
      </w:pPr>
      <w:r>
        <w:rPr>
          <w:rFonts w:ascii="Times New Roman" w:hAnsi="Times New Roman" w:cs="Times New Roman" w:eastAsia="Times New Roman" w:hint="default"/>
        </w:rPr>
        <w:t>3.</w:t>
      </w:r>
      <w:r>
        <w:rPr/>
        <w:t>长期股权投资核算方法的转换</w:t>
      </w:r>
    </w:p>
    <w:p>
      <w:pPr>
        <w:pStyle w:val="BodyText"/>
        <w:spacing w:line="240" w:lineRule="auto" w:before="63"/>
        <w:ind w:left="514" w:right="1134"/>
        <w:jc w:val="left"/>
      </w:pPr>
      <w:r>
        <w:rPr/>
        <w:t>（</w:t>
      </w:r>
      <w:r>
        <w:rPr>
          <w:rFonts w:ascii="Times New Roman" w:hAnsi="Times New Roman" w:cs="Times New Roman" w:eastAsia="Times New Roman" w:hint="default"/>
        </w:rPr>
        <w:t>1</w:t>
      </w:r>
      <w:r>
        <w:rPr/>
        <w:t>）公允价值计量转权益法核算</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9" w:lineRule="auto" w:before="44"/>
        <w:ind w:right="1131" w:firstLine="360"/>
        <w:jc w:val="both"/>
      </w:pPr>
      <w:r>
        <w:rPr>
          <w:spacing w:val="-2"/>
        </w:rPr>
        <w:t>本公司原持有的对被投资单位不具有控制、共同控制或重大影响的按金融工具确认和计量准则进行会计处理的权益性投</w:t>
      </w:r>
      <w:r>
        <w:rPr/>
        <w:t> </w:t>
      </w:r>
      <w:r>
        <w:rPr>
          <w:spacing w:val="-2"/>
        </w:rPr>
        <w:t>资，因追加投资等原因能够对被投资单位施加重大影响或实施共同控制但不构成控制的，按照《企业会计准则第</w:t>
      </w:r>
      <w:r>
        <w:rPr>
          <w:rFonts w:ascii="Times New Roman" w:hAnsi="Times New Roman" w:cs="Times New Roman" w:eastAsia="Times New Roman" w:hint="default"/>
          <w:spacing w:val="-2"/>
        </w:rPr>
        <w:t>22</w:t>
      </w:r>
      <w:r>
        <w:rPr>
          <w:spacing w:val="-2"/>
        </w:rPr>
        <w:t>号</w:t>
      </w:r>
      <w:r>
        <w:rPr>
          <w:rFonts w:ascii="Times New Roman" w:hAnsi="Times New Roman" w:cs="Times New Roman" w:eastAsia="Times New Roman" w:hint="default"/>
          <w:spacing w:val="-2"/>
        </w:rPr>
        <w:t>——</w:t>
      </w:r>
      <w:r>
        <w:rPr>
          <w:spacing w:val="-2"/>
        </w:rPr>
        <w:t>金</w:t>
      </w:r>
      <w:r>
        <w:rPr>
          <w:spacing w:val="-63"/>
        </w:rPr>
        <w:t> </w:t>
      </w:r>
      <w:r>
        <w:rPr/>
        <w:t>融工具确认和计量》确定的原持有的股权投资的公允价值加上新增投资成本之和，作为改按权益法核算的初始投资成本。</w:t>
      </w:r>
    </w:p>
    <w:p>
      <w:pPr>
        <w:pStyle w:val="BodyText"/>
        <w:spacing w:line="319" w:lineRule="auto" w:before="24"/>
        <w:ind w:right="1131" w:firstLine="360"/>
        <w:jc w:val="both"/>
      </w:pPr>
      <w:r>
        <w:rPr>
          <w:spacing w:val="-2"/>
        </w:rPr>
        <w:t>原持有的股权投资分类为可供出售金融资产的，其公允价值与账面价值之间的差额，以及原计入其他综合收益的累计公</w:t>
      </w:r>
      <w:r>
        <w:rPr/>
        <w:t> 允价值变动转入改按权益法核算的当期损益。</w:t>
      </w:r>
    </w:p>
    <w:p>
      <w:pPr>
        <w:pStyle w:val="BodyText"/>
        <w:spacing w:line="316" w:lineRule="auto" w:before="17"/>
        <w:ind w:right="1230" w:firstLine="360"/>
        <w:jc w:val="both"/>
      </w:pPr>
      <w:r>
        <w:rPr/>
        <w:t>按权益法核算的初始投资成本小于按照追加投资后全新的持股比例计算确定的应享有被投资单位在追加投资日可辨认 净资产公允价值份额之间的差额，调整长期股权投资的账面价值，并计入当期营业外收入。</w:t>
      </w:r>
    </w:p>
    <w:p>
      <w:pPr>
        <w:pStyle w:val="BodyText"/>
        <w:spacing w:line="300" w:lineRule="auto" w:before="19"/>
        <w:ind w:left="514" w:right="0"/>
        <w:jc w:val="left"/>
      </w:pPr>
      <w:r>
        <w:rPr/>
        <w:t>（</w:t>
      </w:r>
      <w:r>
        <w:rPr>
          <w:rFonts w:ascii="Times New Roman" w:hAnsi="Times New Roman" w:cs="Times New Roman" w:eastAsia="Times New Roman" w:hint="default"/>
        </w:rPr>
        <w:t>2</w:t>
      </w:r>
      <w:r>
        <w:rPr/>
        <w:t>）公允价值计量或权益法核算转成本法核算 </w:t>
      </w:r>
      <w:r>
        <w:rPr>
          <w:spacing w:val="-2"/>
        </w:rPr>
        <w:t>本公司原持有的对被投资单位不具有控制、共同控制或重大影响的按金融工具确认和计量准则进行会计处理的权益性投</w:t>
      </w:r>
    </w:p>
    <w:p>
      <w:pPr>
        <w:pStyle w:val="BodyText"/>
        <w:spacing w:line="316" w:lineRule="auto" w:before="31"/>
        <w:ind w:right="0"/>
        <w:jc w:val="left"/>
      </w:pPr>
      <w:r>
        <w:rPr>
          <w:spacing w:val="-2"/>
        </w:rPr>
        <w:t>资，或原持有对联营企业、合营企业的长期股权投资，因追加投资等原因能够对非同一控制下的被投资单位实施控制的，在</w:t>
      </w:r>
      <w:r>
        <w:rPr>
          <w:spacing w:val="-66"/>
        </w:rPr>
        <w:t> </w:t>
      </w:r>
      <w:r>
        <w:rPr>
          <w:spacing w:val="-66"/>
        </w:rPr>
      </w:r>
      <w:r>
        <w:rPr/>
        <w:t>编制个别财务报表时，按照原持有的股权投资账面价值加上新增投资成本之和，作为改按成本法核算的初始投资成本。</w:t>
      </w:r>
    </w:p>
    <w:p>
      <w:pPr>
        <w:pStyle w:val="BodyText"/>
        <w:spacing w:line="316" w:lineRule="auto" w:before="19"/>
        <w:ind w:right="1131" w:firstLine="360"/>
        <w:jc w:val="both"/>
      </w:pPr>
      <w:r>
        <w:rPr>
          <w:spacing w:val="-2"/>
        </w:rPr>
        <w:t>购买日之前持有的股权投资因采用权益法核算而确认的其他综合收益，在处置该项投资时采用与被投资单位直接处置相</w:t>
      </w:r>
      <w:r>
        <w:rPr/>
        <w:t> 关资产或负债相同的基础进行会计处理。</w:t>
      </w:r>
    </w:p>
    <w:p>
      <w:pPr>
        <w:pStyle w:val="BodyText"/>
        <w:spacing w:line="300" w:lineRule="auto" w:before="19"/>
        <w:ind w:right="1132" w:firstLine="360"/>
        <w:jc w:val="both"/>
      </w:pPr>
      <w:r>
        <w:rPr>
          <w:spacing w:val="-2"/>
        </w:rPr>
        <w:t>购买日之前持有的股权投资按照《企业会计准则第</w:t>
      </w:r>
      <w:r>
        <w:rPr>
          <w:rFonts w:ascii="Times New Roman" w:hAnsi="Times New Roman" w:cs="Times New Roman" w:eastAsia="Times New Roman" w:hint="default"/>
          <w:spacing w:val="-2"/>
        </w:rPr>
        <w:t>22</w:t>
      </w:r>
      <w:r>
        <w:rPr>
          <w:spacing w:val="-2"/>
        </w:rPr>
        <w:t>号</w:t>
      </w:r>
      <w:r>
        <w:rPr>
          <w:rFonts w:ascii="Times New Roman" w:hAnsi="Times New Roman" w:cs="Times New Roman" w:eastAsia="Times New Roman" w:hint="default"/>
          <w:spacing w:val="-2"/>
        </w:rPr>
        <w:t>——</w:t>
      </w:r>
      <w:r>
        <w:rPr>
          <w:spacing w:val="-2"/>
        </w:rPr>
        <w:t>金融工具确认和计量》的有关规定进行会计处理的，原计入</w:t>
      </w:r>
      <w:r>
        <w:rPr/>
        <w:t> 其他综合收益的累计公允价值变动在改按成本法核算时转入当期损益。</w:t>
      </w:r>
    </w:p>
    <w:p>
      <w:pPr>
        <w:pStyle w:val="BodyText"/>
        <w:spacing w:line="300" w:lineRule="auto" w:before="31"/>
        <w:ind w:left="514" w:right="0"/>
        <w:jc w:val="left"/>
      </w:pPr>
      <w:r>
        <w:rPr/>
        <w:t>（</w:t>
      </w:r>
      <w:r>
        <w:rPr>
          <w:rFonts w:ascii="Times New Roman" w:hAnsi="Times New Roman" w:cs="Times New Roman" w:eastAsia="Times New Roman" w:hint="default"/>
        </w:rPr>
        <w:t>3</w:t>
      </w:r>
      <w:r>
        <w:rPr/>
        <w:t>）权益法核算转公允价值计量 </w:t>
      </w:r>
      <w:r>
        <w:rPr>
          <w:spacing w:val="-2"/>
        </w:rPr>
        <w:t>本公司因处置部分股权投资等原因丧失了对被投资单位的共同控制或重大影响的，处置后的剩余股权改按《企业会计准</w:t>
      </w:r>
    </w:p>
    <w:p>
      <w:pPr>
        <w:pStyle w:val="BodyText"/>
        <w:spacing w:line="300" w:lineRule="auto" w:before="31"/>
        <w:ind w:right="1118"/>
        <w:jc w:val="left"/>
      </w:pPr>
      <w:r>
        <w:rPr>
          <w:spacing w:val="-2"/>
        </w:rPr>
        <w:t>则第</w:t>
      </w:r>
      <w:r>
        <w:rPr>
          <w:rFonts w:ascii="Times New Roman" w:hAnsi="Times New Roman" w:cs="Times New Roman" w:eastAsia="Times New Roman" w:hint="default"/>
          <w:spacing w:val="-2"/>
        </w:rPr>
        <w:t>22</w:t>
      </w:r>
      <w:r>
        <w:rPr>
          <w:spacing w:val="-2"/>
        </w:rPr>
        <w:t>号</w:t>
      </w:r>
      <w:r>
        <w:rPr>
          <w:rFonts w:ascii="Times New Roman" w:hAnsi="Times New Roman" w:cs="Times New Roman" w:eastAsia="Times New Roman" w:hint="default"/>
          <w:spacing w:val="-2"/>
        </w:rPr>
        <w:t>——</w:t>
      </w:r>
      <w:r>
        <w:rPr>
          <w:spacing w:val="-2"/>
        </w:rPr>
        <w:t>金融工具确认和计量》核算，其在丧失共同控制或重大影响之日的公允价值与账面价值之间的差额计入当期损</w:t>
      </w:r>
      <w:r>
        <w:rPr>
          <w:spacing w:val="-62"/>
        </w:rPr>
        <w:t> </w:t>
      </w:r>
      <w:r>
        <w:rPr>
          <w:spacing w:val="-62"/>
        </w:rPr>
      </w:r>
      <w:r>
        <w:rPr/>
        <w:t>益。</w:t>
      </w:r>
    </w:p>
    <w:p>
      <w:pPr>
        <w:pStyle w:val="BodyText"/>
        <w:spacing w:line="316" w:lineRule="auto" w:before="31"/>
        <w:ind w:right="1131" w:firstLine="360"/>
        <w:jc w:val="both"/>
      </w:pPr>
      <w:r>
        <w:rPr>
          <w:spacing w:val="-2"/>
        </w:rPr>
        <w:t>原股权投资因采用权益法核算而确认的其他综合收益，在终止采用权益法核算时采用与被投资单位直接处置相关资产或</w:t>
      </w:r>
      <w:r>
        <w:rPr/>
        <w:t> 负债相同的基础进行会计处理。</w:t>
      </w:r>
    </w:p>
    <w:p>
      <w:pPr>
        <w:pStyle w:val="BodyText"/>
        <w:spacing w:line="300" w:lineRule="auto" w:before="19"/>
        <w:ind w:left="514" w:right="0"/>
        <w:jc w:val="left"/>
      </w:pPr>
      <w:r>
        <w:rPr/>
        <w:t>（</w:t>
      </w:r>
      <w:r>
        <w:rPr>
          <w:rFonts w:ascii="Times New Roman" w:hAnsi="Times New Roman" w:cs="Times New Roman" w:eastAsia="Times New Roman" w:hint="default"/>
        </w:rPr>
        <w:t>4</w:t>
      </w:r>
      <w:r>
        <w:rPr/>
        <w:t>）成本法转权益法 </w:t>
      </w:r>
      <w:r>
        <w:rPr>
          <w:spacing w:val="-2"/>
        </w:rPr>
        <w:t>本公司因处置部分权益性投资等原因丧失了对被投资单位的控制的，在编制个别财务报表时，处置后的剩余股权能够对</w:t>
      </w:r>
    </w:p>
    <w:p>
      <w:pPr>
        <w:pStyle w:val="BodyText"/>
        <w:spacing w:line="240" w:lineRule="auto" w:before="31"/>
        <w:ind w:right="0"/>
        <w:jc w:val="left"/>
      </w:pPr>
      <w:r>
        <w:rPr/>
        <w:t>被投资单位实施共同控制或施加重大影响的，改按权益法核算，并对该剩余股权视同自取得时即采用权益法核算进行调整。</w:t>
      </w:r>
    </w:p>
    <w:p>
      <w:pPr>
        <w:pStyle w:val="BodyText"/>
        <w:spacing w:line="300" w:lineRule="auto" w:before="76"/>
        <w:ind w:left="514" w:right="0"/>
        <w:jc w:val="left"/>
      </w:pPr>
      <w:r>
        <w:rPr/>
        <w:t>（</w:t>
      </w:r>
      <w:r>
        <w:rPr>
          <w:rFonts w:ascii="Times New Roman" w:hAnsi="Times New Roman" w:cs="Times New Roman" w:eastAsia="Times New Roman" w:hint="default"/>
        </w:rPr>
        <w:t>5</w:t>
      </w:r>
      <w:r>
        <w:rPr/>
        <w:t>）成本法转公允价值计量 </w:t>
      </w:r>
      <w:r>
        <w:rPr>
          <w:spacing w:val="-2"/>
        </w:rPr>
        <w:t>本公司因处置部分权益性投资等原因丧失了对被投资单位的控制的，在编制个别财务报表时，处置后的剩余股权不能对</w:t>
      </w:r>
    </w:p>
    <w:p>
      <w:pPr>
        <w:pStyle w:val="BodyText"/>
        <w:spacing w:line="300" w:lineRule="auto" w:before="31"/>
        <w:ind w:right="0"/>
        <w:jc w:val="left"/>
      </w:pPr>
      <w:r>
        <w:rPr>
          <w:spacing w:val="-2"/>
        </w:rPr>
        <w:t>被投资单位实施共同控制或施加重大影响的，改按《企业会计准则第</w:t>
      </w:r>
      <w:r>
        <w:rPr>
          <w:rFonts w:ascii="Times New Roman" w:hAnsi="Times New Roman" w:cs="Times New Roman" w:eastAsia="Times New Roman" w:hint="default"/>
          <w:spacing w:val="-2"/>
        </w:rPr>
        <w:t>22</w:t>
      </w:r>
      <w:r>
        <w:rPr>
          <w:spacing w:val="-2"/>
        </w:rPr>
        <w:t>号</w:t>
      </w:r>
      <w:r>
        <w:rPr>
          <w:rFonts w:ascii="Times New Roman" w:hAnsi="Times New Roman" w:cs="Times New Roman" w:eastAsia="Times New Roman" w:hint="default"/>
          <w:spacing w:val="-2"/>
        </w:rPr>
        <w:t>——</w:t>
      </w:r>
      <w:r>
        <w:rPr>
          <w:spacing w:val="-2"/>
        </w:rPr>
        <w:t>金融工具确认和计量》的有关规定进行会计处</w:t>
      </w:r>
      <w:r>
        <w:rPr>
          <w:spacing w:val="-64"/>
        </w:rPr>
        <w:t> </w:t>
      </w:r>
      <w:r>
        <w:rPr>
          <w:spacing w:val="-64"/>
        </w:rPr>
      </w:r>
      <w:r>
        <w:rPr/>
        <w:t>理，其在丧失控制之日的公允价值与账面价值间的差额计入当期损益。</w:t>
      </w:r>
    </w:p>
    <w:p>
      <w:pPr>
        <w:pStyle w:val="BodyText"/>
        <w:spacing w:line="300" w:lineRule="auto" w:before="31"/>
        <w:ind w:left="514" w:right="0" w:hanging="70"/>
        <w:jc w:val="left"/>
      </w:pPr>
      <w:r>
        <w:rPr>
          <w:rFonts w:ascii="Times New Roman" w:hAnsi="Times New Roman" w:cs="Times New Roman" w:eastAsia="Times New Roman" w:hint="default"/>
        </w:rPr>
        <w:t>4.</w:t>
      </w:r>
      <w:r>
        <w:rPr/>
        <w:t>长期股权投资的处置 </w:t>
      </w:r>
      <w:r>
        <w:rPr>
          <w:spacing w:val="-2"/>
        </w:rPr>
        <w:t>处置长期股权投资，其账面价值与实际取得价款之间的差额，应当计入当期损益。采用权益法核算的长期股权投资，在</w:t>
      </w:r>
    </w:p>
    <w:p>
      <w:pPr>
        <w:pStyle w:val="BodyText"/>
        <w:spacing w:line="316" w:lineRule="auto" w:before="31"/>
        <w:ind w:right="1118"/>
        <w:jc w:val="left"/>
      </w:pPr>
      <w:r>
        <w:rPr>
          <w:spacing w:val="-2"/>
        </w:rPr>
        <w:t>处置该项投资时，采用与被投资单位直接处置相关资产或负债相同的基础，按相应比例对原计入其他综合收益的部分进行会</w:t>
      </w:r>
      <w:r>
        <w:rPr>
          <w:spacing w:val="-64"/>
        </w:rPr>
        <w:t> </w:t>
      </w:r>
      <w:r>
        <w:rPr>
          <w:spacing w:val="-64"/>
        </w:rPr>
      </w:r>
      <w:r>
        <w:rPr/>
        <w:t>计处理。</w:t>
      </w:r>
    </w:p>
    <w:p>
      <w:pPr>
        <w:pStyle w:val="BodyText"/>
        <w:spacing w:line="316" w:lineRule="auto" w:before="19"/>
        <w:ind w:right="1132" w:firstLine="360"/>
        <w:jc w:val="both"/>
      </w:pPr>
      <w:r>
        <w:rPr>
          <w:spacing w:val="-2"/>
        </w:rPr>
        <w:t>处置对子公司股权投资的各项交易的条款、条件以及经济影响符合以下一种或多种情况，将多次交易事项作为一揽子交</w:t>
      </w:r>
      <w:r>
        <w:rPr/>
        <w:t> 易进行会计处理：</w:t>
      </w:r>
    </w:p>
    <w:p>
      <w:pPr>
        <w:pStyle w:val="BodyText"/>
        <w:spacing w:line="240" w:lineRule="auto" w:before="19"/>
        <w:ind w:left="514" w:right="1134"/>
        <w:jc w:val="left"/>
      </w:pPr>
      <w:r>
        <w:rPr/>
        <w:t>（</w:t>
      </w:r>
      <w:r>
        <w:rPr>
          <w:rFonts w:ascii="Times New Roman" w:hAnsi="Times New Roman" w:cs="Times New Roman" w:eastAsia="Times New Roman" w:hint="default"/>
        </w:rPr>
        <w:t>1</w:t>
      </w:r>
      <w:r>
        <w:rPr/>
        <w:t>）这些交易是同时或者在考虑了彼此影响的情况下订立的；</w:t>
      </w:r>
    </w:p>
    <w:p>
      <w:pPr>
        <w:pStyle w:val="BodyText"/>
        <w:spacing w:line="240" w:lineRule="auto" w:before="63"/>
        <w:ind w:left="514" w:right="1134"/>
        <w:jc w:val="left"/>
      </w:pPr>
      <w:r>
        <w:rPr/>
        <w:t>（</w:t>
      </w:r>
      <w:r>
        <w:rPr>
          <w:rFonts w:ascii="Times New Roman" w:hAnsi="Times New Roman" w:cs="Times New Roman" w:eastAsia="Times New Roman" w:hint="default"/>
        </w:rPr>
        <w:t>2</w:t>
      </w:r>
      <w:r>
        <w:rPr/>
        <w:t>）这些交易整体才能达成一项完整的商业结果；</w:t>
      </w:r>
    </w:p>
    <w:p>
      <w:pPr>
        <w:pStyle w:val="BodyText"/>
        <w:spacing w:line="240" w:lineRule="auto" w:before="63"/>
        <w:ind w:left="514" w:right="1134"/>
        <w:jc w:val="left"/>
      </w:pPr>
      <w:r>
        <w:rPr/>
        <w:t>（</w:t>
      </w:r>
      <w:r>
        <w:rPr>
          <w:rFonts w:ascii="Times New Roman" w:hAnsi="Times New Roman" w:cs="Times New Roman" w:eastAsia="Times New Roman" w:hint="default"/>
        </w:rPr>
        <w:t>3</w:t>
      </w:r>
      <w:r>
        <w:rPr/>
        <w:t>）一项交易的发生取决于其他至少一项交易的发生；</w:t>
      </w:r>
    </w:p>
    <w:p>
      <w:pPr>
        <w:pStyle w:val="BodyText"/>
        <w:spacing w:line="300" w:lineRule="auto" w:before="63"/>
        <w:ind w:left="514" w:right="0"/>
        <w:jc w:val="left"/>
      </w:pPr>
      <w:r>
        <w:rPr/>
        <w:t>（</w:t>
      </w:r>
      <w:r>
        <w:rPr>
          <w:rFonts w:ascii="Times New Roman" w:hAnsi="Times New Roman" w:cs="Times New Roman" w:eastAsia="Times New Roman" w:hint="default"/>
        </w:rPr>
        <w:t>4</w:t>
      </w:r>
      <w:r>
        <w:rPr/>
        <w:t>）一项交易单独看是不经济的，但是和其他交易一并考虑时是经济的。 </w:t>
      </w:r>
      <w:r>
        <w:rPr>
          <w:spacing w:val="-2"/>
        </w:rPr>
        <w:t>因处置部分股权投资或其他原因丧失了对原有子公司控制权的，不属于一揽子交易的，区分个别财务报表和合并财务报</w:t>
      </w:r>
    </w:p>
    <w:p>
      <w:pPr>
        <w:pStyle w:val="BodyText"/>
        <w:spacing w:line="240" w:lineRule="auto" w:before="31"/>
        <w:ind w:right="1134"/>
        <w:jc w:val="left"/>
      </w:pPr>
      <w:r>
        <w:rPr/>
        <w:t>表进行相关会计处理：</w:t>
      </w:r>
    </w:p>
    <w:p>
      <w:pPr>
        <w:pStyle w:val="BodyText"/>
        <w:spacing w:line="307" w:lineRule="auto" w:before="77"/>
        <w:ind w:right="1132" w:firstLine="360"/>
        <w:jc w:val="both"/>
      </w:pPr>
      <w:r>
        <w:rPr/>
        <w:t>（</w:t>
      </w:r>
      <w:r>
        <w:rPr>
          <w:rFonts w:ascii="Times New Roman" w:hAnsi="Times New Roman" w:cs="Times New Roman" w:eastAsia="Times New Roman" w:hint="default"/>
        </w:rPr>
        <w:t>1</w:t>
      </w:r>
      <w:r>
        <w:rPr/>
        <w:t>）在个别财务报表中，对于处置的股权，其账面价值与实际取得价款之间的差额计入当期损益。处置后的剩余股权 </w:t>
      </w:r>
      <w:r>
        <w:rPr>
          <w:spacing w:val="-2"/>
        </w:rPr>
        <w:t>能够对被投资单位实施共同控制或施加重大影响的，改按权益法核算，并对该剩余股权视同自取得时即采用权益法核算进行</w:t>
      </w:r>
      <w:r>
        <w:rPr>
          <w:spacing w:val="-64"/>
        </w:rPr>
        <w:t> </w:t>
      </w:r>
      <w:r>
        <w:rPr>
          <w:spacing w:val="-64"/>
        </w:rPr>
      </w:r>
      <w:r>
        <w:rPr>
          <w:spacing w:val="-2"/>
        </w:rPr>
        <w:t>调整；处置后的剩余股权不能对被投资单位实施共同控制或施加重大影响的，改按《企业会计准则第</w:t>
      </w:r>
      <w:r>
        <w:rPr>
          <w:rFonts w:ascii="Times New Roman" w:hAnsi="Times New Roman" w:cs="Times New Roman" w:eastAsia="Times New Roman" w:hint="default"/>
          <w:spacing w:val="-2"/>
        </w:rPr>
        <w:t>22</w:t>
      </w:r>
      <w:r>
        <w:rPr>
          <w:spacing w:val="-2"/>
        </w:rPr>
        <w:t>号</w:t>
      </w:r>
      <w:r>
        <w:rPr>
          <w:rFonts w:ascii="Times New Roman" w:hAnsi="Times New Roman" w:cs="Times New Roman" w:eastAsia="Times New Roman" w:hint="default"/>
          <w:spacing w:val="-2"/>
        </w:rPr>
        <w:t>——</w:t>
      </w:r>
      <w:r>
        <w:rPr>
          <w:spacing w:val="-2"/>
        </w:rPr>
        <w:t>金融工具确认</w:t>
      </w:r>
      <w:r>
        <w:rPr>
          <w:spacing w:val="-63"/>
        </w:rPr>
        <w:t> </w:t>
      </w:r>
      <w:r>
        <w:rPr/>
        <w:t>和计量》的有关规定进行会计处理，其在丧失控制之日的公允价值与账面价值间的差额计入当期损益。</w:t>
      </w:r>
    </w:p>
    <w:p>
      <w:pPr>
        <w:spacing w:after="0" w:line="307"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4" w:lineRule="auto" w:before="44"/>
        <w:ind w:right="1131" w:firstLine="360"/>
        <w:jc w:val="both"/>
      </w:pPr>
      <w:r>
        <w:rPr/>
        <w:t>（</w:t>
      </w:r>
      <w:r>
        <w:rPr>
          <w:rFonts w:ascii="Times New Roman" w:hAnsi="Times New Roman" w:cs="Times New Roman" w:eastAsia="Times New Roman" w:hint="default"/>
        </w:rPr>
        <w:t>2</w:t>
      </w:r>
      <w:r>
        <w:rPr/>
        <w:t>）在合并财务报表中，对于在丧失对子公司控制权以前的各项交易，处置价款与处置长期股权投资相应对享有子公 </w:t>
      </w:r>
      <w:r>
        <w:rPr>
          <w:spacing w:val="-2"/>
        </w:rPr>
        <w:t>司自购买日或合并日开始持续计算的净资产份额之间的差额，调整资本公积（股本溢价），资本公积不足冲减的，调整留存</w:t>
      </w:r>
      <w:r>
        <w:rPr>
          <w:spacing w:val="-66"/>
        </w:rPr>
        <w:t> </w:t>
      </w:r>
      <w:r>
        <w:rPr>
          <w:spacing w:val="-66"/>
        </w:rPr>
      </w:r>
      <w:r>
        <w:rPr>
          <w:spacing w:val="-2"/>
        </w:rPr>
        <w:t>收益；在丧失对子公司控制权时，对于剩余股权，按照其在丧失控制权日的公允价值进行重新计量。处置股权取得的对价与</w:t>
      </w:r>
      <w:r>
        <w:rPr>
          <w:spacing w:val="-66"/>
        </w:rPr>
        <w:t> </w:t>
      </w:r>
      <w:r>
        <w:rPr>
          <w:spacing w:val="-66"/>
        </w:rPr>
      </w:r>
      <w:r>
        <w:rPr>
          <w:spacing w:val="-2"/>
        </w:rPr>
        <w:t>剩余股权公允价值之和，减去按原持股比例计算应享有原有子公司自购买日开始持续计算的净资产的份额之间的差额，计入</w:t>
      </w:r>
      <w:r>
        <w:rPr>
          <w:spacing w:val="-64"/>
        </w:rPr>
        <w:t> </w:t>
      </w:r>
      <w:r>
        <w:rPr>
          <w:spacing w:val="-64"/>
        </w:rPr>
      </w:r>
      <w:r>
        <w:rPr>
          <w:spacing w:val="-2"/>
        </w:rPr>
        <w:t>丧失控制权当期的投资收益，同时冲减商誉。与原有子公司股权投资相关的其他综合收益等，在丧失控制权时转为当期投资</w:t>
      </w:r>
      <w:r>
        <w:rPr>
          <w:spacing w:val="-66"/>
        </w:rPr>
        <w:t> </w:t>
      </w:r>
      <w:r>
        <w:rPr>
          <w:spacing w:val="-66"/>
        </w:rPr>
      </w:r>
      <w:r>
        <w:rPr/>
        <w:t>收益。</w:t>
      </w:r>
    </w:p>
    <w:p>
      <w:pPr>
        <w:pStyle w:val="BodyText"/>
        <w:spacing w:line="316" w:lineRule="auto" w:before="20"/>
        <w:ind w:right="0" w:firstLine="360"/>
        <w:jc w:val="left"/>
      </w:pPr>
      <w:r>
        <w:rPr>
          <w:spacing w:val="-2"/>
        </w:rPr>
        <w:t>处置对子公司股权投资直至丧失控制权的各项交易属于一揽子交易的，将各项交易作为一项处置子公司股权投资并丧失</w:t>
      </w:r>
      <w:r>
        <w:rPr/>
        <w:t> 控制权的交易进行会计处理，区分个别财务报表和合并财务报表进行相关会计处理：</w:t>
      </w:r>
    </w:p>
    <w:p>
      <w:pPr>
        <w:pStyle w:val="BodyText"/>
        <w:spacing w:line="300" w:lineRule="auto" w:before="19"/>
        <w:ind w:right="1122" w:firstLine="360"/>
        <w:jc w:val="left"/>
      </w:pPr>
      <w:r>
        <w:rPr/>
        <w:t>（</w:t>
      </w:r>
      <w:r>
        <w:rPr>
          <w:rFonts w:ascii="Times New Roman" w:hAnsi="Times New Roman" w:cs="Times New Roman" w:eastAsia="Times New Roman" w:hint="default"/>
        </w:rPr>
        <w:t>1</w:t>
      </w:r>
      <w:r>
        <w:rPr/>
        <w:t>）在个别财务报表中，在丧失控制权之前每一次处置价款与处置的股权对应的长期股权投资账面价值之间的差额， 确认为其他综合收益，在丧失控制权时一并转入丧失控制权当期的损益。</w:t>
      </w:r>
    </w:p>
    <w:p>
      <w:pPr>
        <w:pStyle w:val="BodyText"/>
        <w:spacing w:line="300" w:lineRule="auto" w:before="31"/>
        <w:ind w:right="1122" w:firstLine="360"/>
        <w:jc w:val="left"/>
      </w:pPr>
      <w:r>
        <w:rPr/>
        <w:t>（</w:t>
      </w:r>
      <w:r>
        <w:rPr>
          <w:rFonts w:ascii="Times New Roman" w:hAnsi="Times New Roman" w:cs="Times New Roman" w:eastAsia="Times New Roman" w:hint="default"/>
        </w:rPr>
        <w:t>2</w:t>
      </w:r>
      <w:r>
        <w:rPr/>
        <w:t>）在合并财务报表中，在丧失控制权之前每一次处置价款与处置投资对应的享有该子公司净资产份额的差额，确认 为其他综合收益，在丧失控制权时一并转入丧失控制权当期的损益。</w:t>
      </w:r>
    </w:p>
    <w:p>
      <w:pPr>
        <w:pStyle w:val="BodyText"/>
        <w:spacing w:line="300" w:lineRule="auto" w:before="31"/>
        <w:ind w:left="514" w:right="0"/>
        <w:jc w:val="left"/>
      </w:pPr>
      <w:r>
        <w:rPr>
          <w:rFonts w:ascii="Times New Roman" w:hAnsi="Times New Roman" w:cs="Times New Roman" w:eastAsia="Times New Roman" w:hint="default"/>
        </w:rPr>
        <w:t>5.</w:t>
      </w:r>
      <w:r>
        <w:rPr/>
        <w:t>共同控制、重大影响的判断标准 </w:t>
      </w:r>
      <w:r>
        <w:rPr>
          <w:spacing w:val="-2"/>
        </w:rPr>
        <w:t>如果本公司按照相关约定与其他参与方集体控制某项安排，并且对该安排回报具有重大影响的活动决策，需要经过分享</w:t>
      </w:r>
    </w:p>
    <w:p>
      <w:pPr>
        <w:pStyle w:val="BodyText"/>
        <w:spacing w:line="316" w:lineRule="auto" w:before="31"/>
        <w:ind w:left="514" w:right="0" w:hanging="360"/>
        <w:jc w:val="left"/>
      </w:pPr>
      <w:r>
        <w:rPr/>
        <w:t>控制权的参与方一致同意时才存在，则视为本公司与其他参与方共同控制某项安排，该安排即属于合营安排。 </w:t>
      </w:r>
      <w:r>
        <w:rPr>
          <w:spacing w:val="-2"/>
        </w:rPr>
        <w:t>合营安排通过单独主体达成的，根据相关约定判断本公司对该单独主体的净资产享有权利时，将该单独主体作为合营企</w:t>
      </w:r>
    </w:p>
    <w:p>
      <w:pPr>
        <w:pStyle w:val="BodyText"/>
        <w:spacing w:line="316" w:lineRule="auto" w:before="19"/>
        <w:ind w:right="0"/>
        <w:jc w:val="left"/>
      </w:pPr>
      <w:r>
        <w:rPr>
          <w:spacing w:val="-2"/>
        </w:rPr>
        <w:t>业，采用权益法核算。若根据相关约定判断本公司并非对该单独主体的净资产享有权利时，该单独主体作为共同经营，本公</w:t>
      </w:r>
      <w:r>
        <w:rPr>
          <w:spacing w:val="-66"/>
        </w:rPr>
        <w:t> </w:t>
      </w:r>
      <w:r>
        <w:rPr>
          <w:spacing w:val="-66"/>
        </w:rPr>
      </w:r>
      <w:r>
        <w:rPr/>
        <w:t>司确认与共同经营利益份额相关的项目，并按照相关企业会计准则的规定进行会计处理。</w:t>
      </w:r>
    </w:p>
    <w:p>
      <w:pPr>
        <w:pStyle w:val="BodyText"/>
        <w:spacing w:line="307" w:lineRule="auto" w:before="19"/>
        <w:ind w:right="0" w:firstLine="360"/>
        <w:jc w:val="left"/>
      </w:pPr>
      <w:r>
        <w:rPr>
          <w:spacing w:val="-2"/>
        </w:rPr>
        <w:t>重大影响，是指投资方对被投资单位的财务和经营政策有参与决策的权力，但并不能够控制或者与其他方一起共同控制</w:t>
      </w:r>
      <w:r>
        <w:rPr/>
        <w:t> </w:t>
      </w:r>
      <w:r>
        <w:rPr>
          <w:spacing w:val="-2"/>
        </w:rPr>
        <w:t>这些政策的制定。本公司通过以下一种或多种情形，并综合考虑所有事实和情况后，判断对被投资单位具有重大影响。（</w:t>
      </w:r>
      <w:r>
        <w:rPr>
          <w:rFonts w:ascii="Times New Roman" w:hAnsi="Times New Roman" w:cs="Times New Roman" w:eastAsia="Times New Roman" w:hint="default"/>
          <w:spacing w:val="-2"/>
        </w:rPr>
        <w:t>1</w:t>
      </w:r>
      <w:r>
        <w:rPr>
          <w:spacing w:val="-2"/>
        </w:rPr>
        <w:t>）</w:t>
      </w:r>
      <w:r>
        <w:rPr>
          <w:spacing w:val="-64"/>
        </w:rPr>
        <w:t> </w:t>
      </w:r>
      <w:r>
        <w:rPr>
          <w:spacing w:val="-2"/>
        </w:rPr>
        <w:t>在被投资单位的董事会或类似权力机构中派有代表；（</w:t>
      </w:r>
      <w:r>
        <w:rPr>
          <w:rFonts w:ascii="Times New Roman" w:hAnsi="Times New Roman" w:cs="Times New Roman" w:eastAsia="Times New Roman" w:hint="default"/>
          <w:spacing w:val="-2"/>
        </w:rPr>
        <w:t>2</w:t>
      </w:r>
      <w:r>
        <w:rPr>
          <w:spacing w:val="-2"/>
        </w:rPr>
        <w:t>）参与被投资单位财务和经营政策制定过程；（</w:t>
      </w:r>
      <w:r>
        <w:rPr>
          <w:rFonts w:ascii="Times New Roman" w:hAnsi="Times New Roman" w:cs="Times New Roman" w:eastAsia="Times New Roman" w:hint="default"/>
          <w:spacing w:val="-2"/>
        </w:rPr>
        <w:t>3</w:t>
      </w:r>
      <w:r>
        <w:rPr>
          <w:spacing w:val="-2"/>
        </w:rPr>
        <w:t>）与被投资单位之</w:t>
      </w:r>
      <w:r>
        <w:rPr>
          <w:spacing w:val="-66"/>
        </w:rPr>
        <w:t> </w:t>
      </w:r>
      <w:r>
        <w:rPr>
          <w:spacing w:val="-66"/>
        </w:rPr>
      </w:r>
      <w:r>
        <w:rPr/>
        <w:t>间发生重要交易；（</w:t>
      </w:r>
      <w:r>
        <w:rPr>
          <w:rFonts w:ascii="Times New Roman" w:hAnsi="Times New Roman" w:cs="Times New Roman" w:eastAsia="Times New Roman" w:hint="default"/>
        </w:rPr>
        <w:t>4</w:t>
      </w:r>
      <w:r>
        <w:rPr/>
        <w:t>）向被投资单位派出管理人员；（</w:t>
      </w:r>
      <w:r>
        <w:rPr>
          <w:rFonts w:ascii="Times New Roman" w:hAnsi="Times New Roman" w:cs="Times New Roman" w:eastAsia="Times New Roman" w:hint="default"/>
        </w:rPr>
        <w:t>5</w:t>
      </w:r>
      <w:r>
        <w:rPr/>
        <w:t>）向被投资单位提供关键技术资料。</w:t>
      </w:r>
    </w:p>
    <w:p>
      <w:pPr>
        <w:spacing w:line="240" w:lineRule="auto" w:before="8"/>
        <w:rPr>
          <w:rFonts w:ascii="宋体" w:hAnsi="宋体" w:cs="宋体" w:eastAsia="宋体" w:hint="default"/>
          <w:sz w:val="21"/>
          <w:szCs w:val="21"/>
        </w:rPr>
      </w:pPr>
    </w:p>
    <w:p>
      <w:pPr>
        <w:pStyle w:val="Heading3"/>
        <w:spacing w:line="240" w:lineRule="auto"/>
        <w:ind w:right="1134"/>
        <w:jc w:val="left"/>
        <w:rPr>
          <w:b w:val="0"/>
          <w:bCs w:val="0"/>
        </w:rPr>
      </w:pPr>
      <w:bookmarkStart w:name="15、固定资产" w:id="184"/>
      <w:bookmarkEnd w:id="184"/>
      <w:r>
        <w:rPr>
          <w:b w:val="0"/>
          <w:bCs w:val="0"/>
        </w:rPr>
      </w:r>
      <w:r>
        <w:rPr>
          <w:rFonts w:ascii="Times New Roman" w:hAnsi="Times New Roman" w:cs="Times New Roman" w:eastAsia="Times New Roman" w:hint="default"/>
        </w:rPr>
        <w:t>15</w:t>
      </w:r>
      <w:r>
        <w:rPr/>
        <w:t>、固定资产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确认条件" w:id="185"/>
      <w:bookmarkEnd w:id="185"/>
      <w:r>
        <w:rPr>
          <w:b w:val="0"/>
          <w:bCs w:val="0"/>
        </w:rPr>
      </w:r>
      <w:r>
        <w:rPr/>
        <w:t>（</w:t>
      </w:r>
      <w:r>
        <w:rPr>
          <w:rFonts w:ascii="Times New Roman" w:hAnsi="Times New Roman" w:cs="Times New Roman" w:eastAsia="Times New Roman" w:hint="default"/>
        </w:rPr>
        <w:t>1</w:t>
      </w:r>
      <w:r>
        <w:rPr/>
        <w:t>）确认条件</w:t>
      </w:r>
      <w:r>
        <w:rPr>
          <w:b w:val="0"/>
          <w:bCs w:val="0"/>
        </w:rPr>
      </w:r>
    </w:p>
    <w:p>
      <w:pPr>
        <w:spacing w:line="240" w:lineRule="auto" w:before="7"/>
        <w:rPr>
          <w:rFonts w:ascii="宋体" w:hAnsi="宋体" w:cs="宋体" w:eastAsia="宋体" w:hint="default"/>
          <w:b/>
          <w:bCs/>
          <w:sz w:val="26"/>
          <w:szCs w:val="26"/>
        </w:rPr>
      </w:pPr>
    </w:p>
    <w:p>
      <w:pPr>
        <w:pStyle w:val="BodyText"/>
        <w:spacing w:line="319" w:lineRule="auto"/>
        <w:ind w:right="0" w:firstLine="360"/>
        <w:jc w:val="left"/>
      </w:pPr>
      <w:r>
        <w:rPr>
          <w:spacing w:val="-2"/>
        </w:rPr>
        <w:t>固定资产指为生产商品、提供劳务、出租或经营管理而持有，并且使用寿命超过一个会计年度的有形资产。固定资产在</w:t>
      </w:r>
      <w:r>
        <w:rPr/>
        <w:t> </w:t>
      </w:r>
      <w:r>
        <w:rPr>
          <w:spacing w:val="-7"/>
        </w:rPr>
        <w:t>同时满足下列条件时予以确认：（</w:t>
      </w:r>
      <w:r>
        <w:rPr>
          <w:rFonts w:ascii="Times New Roman" w:hAnsi="Times New Roman" w:cs="Times New Roman" w:eastAsia="Times New Roman" w:hint="default"/>
          <w:spacing w:val="-7"/>
        </w:rPr>
        <w:t>1</w:t>
      </w:r>
      <w:r>
        <w:rPr>
          <w:spacing w:val="-7"/>
        </w:rPr>
        <w:t>）与该固定资产有关的经济利益很可能流入企业；（</w:t>
      </w:r>
      <w:r>
        <w:rPr>
          <w:rFonts w:ascii="Times New Roman" w:hAnsi="Times New Roman" w:cs="Times New Roman" w:eastAsia="Times New Roman" w:hint="default"/>
          <w:spacing w:val="-7"/>
        </w:rPr>
        <w:t>2</w:t>
      </w:r>
      <w:r>
        <w:rPr>
          <w:spacing w:val="-7"/>
        </w:rPr>
        <w:t>）该固定资产的成本能够可靠地计量。</w:t>
      </w:r>
    </w:p>
    <w:p>
      <w:pPr>
        <w:spacing w:line="240" w:lineRule="auto" w:before="9"/>
        <w:rPr>
          <w:rFonts w:ascii="宋体" w:hAnsi="宋体" w:cs="宋体" w:eastAsia="宋体" w:hint="default"/>
          <w:sz w:val="20"/>
          <w:szCs w:val="20"/>
        </w:rPr>
      </w:pPr>
    </w:p>
    <w:p>
      <w:pPr>
        <w:pStyle w:val="Heading3"/>
        <w:spacing w:line="240" w:lineRule="auto"/>
        <w:ind w:right="1134"/>
        <w:jc w:val="left"/>
        <w:rPr>
          <w:b w:val="0"/>
          <w:bCs w:val="0"/>
        </w:rPr>
      </w:pPr>
      <w:bookmarkStart w:name="（2）折旧方法" w:id="186"/>
      <w:bookmarkEnd w:id="186"/>
      <w:r>
        <w:rPr>
          <w:b w:val="0"/>
          <w:bCs w:val="0"/>
        </w:rPr>
      </w:r>
      <w:r>
        <w:rPr/>
        <w:t>（</w:t>
      </w:r>
      <w:r>
        <w:rPr>
          <w:rFonts w:ascii="Times New Roman" w:hAnsi="Times New Roman" w:cs="Times New Roman" w:eastAsia="Times New Roman" w:hint="default"/>
        </w:rPr>
        <w:t>2</w:t>
      </w:r>
      <w:r>
        <w:rPr/>
        <w:t>）折旧方法</w:t>
      </w:r>
      <w:r>
        <w:rPr>
          <w:b w:val="0"/>
          <w:bCs w:val="0"/>
        </w:rPr>
      </w:r>
    </w:p>
    <w:p>
      <w:pPr>
        <w:spacing w:line="240" w:lineRule="auto" w:before="11"/>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1"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出租</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POS</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机</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19</w:t>
            </w:r>
          </w:p>
        </w:tc>
      </w:tr>
    </w:tbl>
    <w:p>
      <w:pPr>
        <w:spacing w:line="240" w:lineRule="auto" w:before="3"/>
        <w:rPr>
          <w:rFonts w:ascii="宋体" w:hAnsi="宋体" w:cs="宋体" w:eastAsia="宋体" w:hint="default"/>
          <w:b/>
          <w:bCs/>
          <w:sz w:val="19"/>
          <w:szCs w:val="19"/>
        </w:rPr>
      </w:pPr>
    </w:p>
    <w:p>
      <w:pPr>
        <w:pStyle w:val="Heading3"/>
        <w:spacing w:line="240" w:lineRule="auto" w:before="35"/>
        <w:ind w:right="1134"/>
        <w:jc w:val="left"/>
        <w:rPr>
          <w:b w:val="0"/>
          <w:bCs w:val="0"/>
        </w:rPr>
      </w:pPr>
      <w:bookmarkStart w:name="16、在建工程" w:id="187"/>
      <w:bookmarkEnd w:id="187"/>
      <w:r>
        <w:rPr>
          <w:b w:val="0"/>
          <w:bCs w:val="0"/>
        </w:rPr>
      </w:r>
      <w:r>
        <w:rPr>
          <w:rFonts w:ascii="Times New Roman" w:hAnsi="Times New Roman" w:cs="Times New Roman" w:eastAsia="Times New Roman" w:hint="default"/>
        </w:rPr>
        <w:t>16</w:t>
      </w:r>
      <w:r>
        <w:rPr/>
        <w:t>、在建工程</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right="7692"/>
        <w:jc w:val="left"/>
      </w:pPr>
      <w:r>
        <w:rPr/>
        <w:t>公司是否需要遵守特殊行业的披露要求 否</w:t>
      </w:r>
    </w:p>
    <w:p>
      <w:pPr>
        <w:spacing w:after="0" w:line="357"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left="514" w:right="1032" w:hanging="70"/>
        <w:jc w:val="left"/>
      </w:pPr>
      <w:r>
        <w:rPr>
          <w:rFonts w:ascii="Times New Roman" w:hAnsi="Times New Roman" w:cs="Times New Roman" w:eastAsia="Times New Roman" w:hint="default"/>
        </w:rPr>
        <w:t>1.</w:t>
      </w:r>
      <w:r>
        <w:rPr/>
        <w:t>在建工程初始计量 本公司自行建造的在建工程按实际成本计价，实际成本由建造该项资产达到预定可使用状态前所发生的必要支出构成，</w:t>
      </w:r>
    </w:p>
    <w:p>
      <w:pPr>
        <w:pStyle w:val="BodyText"/>
        <w:spacing w:line="309" w:lineRule="auto" w:before="31"/>
        <w:ind w:left="514" w:right="0" w:hanging="360"/>
        <w:jc w:val="left"/>
      </w:pPr>
      <w:r>
        <w:rPr/>
        <w:t>包括工程用物资成本、人工成本、交纳的相关税费、应予资本化的借款费用以及应分摊的间接费用等。 </w:t>
      </w:r>
      <w:r>
        <w:rPr>
          <w:rFonts w:ascii="Times New Roman" w:hAnsi="Times New Roman" w:cs="Times New Roman" w:eastAsia="Times New Roman" w:hint="default"/>
        </w:rPr>
        <w:t>2.</w:t>
      </w:r>
      <w:r>
        <w:rPr/>
        <w:t>在建工程结转为固定资产的标准和时点 </w:t>
      </w:r>
      <w:r>
        <w:rPr>
          <w:spacing w:val="-2"/>
        </w:rPr>
        <w:t>在建工程项目按建造该项资产达到预定可使用状态前所发生的全部支出，作为固定资产的入账价值。所建造的在建工程</w:t>
      </w:r>
    </w:p>
    <w:p>
      <w:pPr>
        <w:pStyle w:val="BodyText"/>
        <w:spacing w:line="316" w:lineRule="auto" w:before="24"/>
        <w:ind w:right="0"/>
        <w:jc w:val="left"/>
      </w:pPr>
      <w:r>
        <w:rPr>
          <w:spacing w:val="-4"/>
        </w:rPr>
        <w:t>已达到预定可使用状态，但尚未办理竣工决算的，自达到预定可使用状态之日起，根据工程预算、造价或者工程实际成本等，</w:t>
      </w:r>
      <w:r>
        <w:rPr>
          <w:spacing w:val="-46"/>
        </w:rPr>
        <w:t> </w:t>
      </w:r>
      <w:r>
        <w:rPr>
          <w:spacing w:val="-46"/>
        </w:rPr>
      </w:r>
      <w:r>
        <w:rPr>
          <w:spacing w:val="-2"/>
        </w:rPr>
        <w:t>按估计的价值转入固定资产，并按本公司固定资产折旧政策计提固定资产的折旧，待办理竣工决算后，再按实际成本调整原</w:t>
      </w:r>
      <w:r>
        <w:rPr>
          <w:spacing w:val="-66"/>
        </w:rPr>
        <w:t> </w:t>
      </w:r>
      <w:r>
        <w:rPr>
          <w:spacing w:val="-66"/>
        </w:rPr>
      </w:r>
      <w:r>
        <w:rPr/>
        <w:t>来的暂估价值，但不调整原已计提的折旧额。</w:t>
      </w:r>
    </w:p>
    <w:p>
      <w:pPr>
        <w:spacing w:line="240" w:lineRule="auto" w:before="7"/>
        <w:rPr>
          <w:rFonts w:ascii="宋体" w:hAnsi="宋体" w:cs="宋体" w:eastAsia="宋体" w:hint="default"/>
          <w:sz w:val="22"/>
          <w:szCs w:val="22"/>
        </w:rPr>
      </w:pPr>
    </w:p>
    <w:p>
      <w:pPr>
        <w:pStyle w:val="Heading3"/>
        <w:spacing w:line="240" w:lineRule="auto"/>
        <w:ind w:right="1134"/>
        <w:jc w:val="left"/>
        <w:rPr>
          <w:b w:val="0"/>
          <w:bCs w:val="0"/>
        </w:rPr>
      </w:pPr>
      <w:bookmarkStart w:name="17、借款费用" w:id="188"/>
      <w:bookmarkEnd w:id="188"/>
      <w:r>
        <w:rPr>
          <w:b w:val="0"/>
          <w:bCs w:val="0"/>
        </w:rPr>
      </w:r>
      <w:r>
        <w:rPr>
          <w:rFonts w:ascii="Times New Roman" w:hAnsi="Times New Roman" w:cs="Times New Roman" w:eastAsia="Times New Roman" w:hint="default"/>
        </w:rPr>
        <w:t>17</w:t>
      </w:r>
      <w:r>
        <w:rPr/>
        <w:t>、借款费用</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left="514" w:right="0"/>
        <w:jc w:val="left"/>
      </w:pPr>
      <w:r>
        <w:rPr>
          <w:rFonts w:ascii="Times New Roman" w:hAnsi="Times New Roman" w:cs="Times New Roman" w:eastAsia="Times New Roman" w:hint="default"/>
        </w:rPr>
        <w:t>1.</w:t>
      </w:r>
      <w:r>
        <w:rPr/>
        <w:t>借款费用资本化的确认原则 </w:t>
      </w:r>
      <w:r>
        <w:rPr>
          <w:spacing w:val="-2"/>
        </w:rPr>
        <w:t>本公司发生的借款费用，可直接归属于符合资本化条件的资产的购建或者生产的，予以资本化，计入相关资产成本；其</w:t>
      </w:r>
    </w:p>
    <w:p>
      <w:pPr>
        <w:pStyle w:val="BodyText"/>
        <w:spacing w:line="357" w:lineRule="auto" w:before="4"/>
        <w:ind w:left="514" w:right="1212" w:hanging="360"/>
        <w:jc w:val="left"/>
      </w:pPr>
      <w:r>
        <w:rPr/>
        <w:t>他借款费用，在发生时根据其发生额确认为费用，计入当期损益。 符合资本化条件的资产，是指需要经过相当长时间的购建或者生产活动才能达到预定可使用或者可销售状态的固定资</w:t>
      </w:r>
    </w:p>
    <w:p>
      <w:pPr>
        <w:pStyle w:val="BodyText"/>
        <w:spacing w:line="357" w:lineRule="auto"/>
        <w:ind w:left="514" w:right="6972" w:hanging="360"/>
        <w:jc w:val="left"/>
      </w:pPr>
      <w:r>
        <w:rPr/>
        <w:t>产、投资性房地产和存货等资产。 借款费用同时满足下列条件时开始资本化：</w:t>
      </w:r>
    </w:p>
    <w:p>
      <w:pPr>
        <w:pStyle w:val="BodyText"/>
        <w:spacing w:line="302" w:lineRule="auto" w:before="26"/>
        <w:ind w:right="1122" w:firstLine="360"/>
        <w:jc w:val="left"/>
      </w:pPr>
      <w:r>
        <w:rPr/>
        <w:t>（</w:t>
      </w:r>
      <w:r>
        <w:rPr>
          <w:rFonts w:ascii="Times New Roman" w:hAnsi="Times New Roman" w:cs="Times New Roman" w:eastAsia="Times New Roman" w:hint="default"/>
        </w:rPr>
        <w:t>1</w:t>
      </w:r>
      <w:r>
        <w:rPr/>
        <w:t>）资产支出已经发生，资产支出包括为购建或者生产符合资本化条件的资产而以支付现金、转移非现金资产或者承 担带息债务形式发生的支出；</w:t>
      </w:r>
    </w:p>
    <w:p>
      <w:pPr>
        <w:pStyle w:val="BodyText"/>
        <w:spacing w:line="240" w:lineRule="auto" w:before="70"/>
        <w:ind w:left="514" w:right="1134"/>
        <w:jc w:val="left"/>
      </w:pPr>
      <w:r>
        <w:rPr/>
        <w:t>（</w:t>
      </w:r>
      <w:r>
        <w:rPr>
          <w:rFonts w:ascii="Times New Roman" w:hAnsi="Times New Roman" w:cs="Times New Roman" w:eastAsia="Times New Roman" w:hint="default"/>
        </w:rPr>
        <w:t>2</w:t>
      </w:r>
      <w:r>
        <w:rPr/>
        <w:t>）借款费用已经发生；</w:t>
      </w:r>
    </w:p>
    <w:p>
      <w:pPr>
        <w:pStyle w:val="BodyText"/>
        <w:spacing w:line="240" w:lineRule="auto" w:before="102"/>
        <w:ind w:left="514" w:right="1134"/>
        <w:jc w:val="left"/>
      </w:pPr>
      <w:r>
        <w:rPr/>
        <w:t>（</w:t>
      </w:r>
      <w:r>
        <w:rPr>
          <w:rFonts w:ascii="Times New Roman" w:hAnsi="Times New Roman" w:cs="Times New Roman" w:eastAsia="Times New Roman" w:hint="default"/>
        </w:rPr>
        <w:t>3</w:t>
      </w:r>
      <w:r>
        <w:rPr/>
        <w:t>）为使资产达到预定可使用或者可销售状态所必要的购建或者生产活动已经开始。</w:t>
      </w:r>
    </w:p>
    <w:p>
      <w:pPr>
        <w:pStyle w:val="BodyText"/>
        <w:spacing w:line="352" w:lineRule="auto" w:before="103"/>
        <w:ind w:left="514" w:right="0"/>
        <w:jc w:val="left"/>
      </w:pPr>
      <w:r>
        <w:rPr>
          <w:rFonts w:ascii="Times New Roman" w:hAnsi="Times New Roman" w:cs="Times New Roman" w:eastAsia="Times New Roman" w:hint="default"/>
        </w:rPr>
        <w:t>2.</w:t>
      </w:r>
      <w:r>
        <w:rPr/>
        <w:t>借款费用资本化期间 资本化期间，指从借款费用开始资本化时点到停止资本化时点的期间，借款费用暂停资本化的期间不包括在内。 当购建或者生产符合资本化条件的资产达到预定可使用或者可销售状态时，借款费用停止资本化。 当购建或者生产符合资本化条件的资产中部分项目分别完工且可单独使用时，该部分资产借款费用停止资本化。 </w:t>
      </w:r>
      <w:r>
        <w:rPr>
          <w:spacing w:val="-2"/>
        </w:rPr>
        <w:t>购建或者生产的资产的各部分分别完工，但必须等到整体完工后才可使用或可对外销售的，在该资产整体完工时停止借</w:t>
      </w:r>
    </w:p>
    <w:p>
      <w:pPr>
        <w:pStyle w:val="BodyText"/>
        <w:spacing w:line="229" w:lineRule="exact"/>
        <w:ind w:right="1134"/>
        <w:jc w:val="left"/>
      </w:pPr>
      <w:r>
        <w:rPr/>
        <w:t>款费用资本化。</w:t>
      </w:r>
    </w:p>
    <w:p>
      <w:pPr>
        <w:pStyle w:val="BodyText"/>
        <w:spacing w:line="338" w:lineRule="auto" w:before="116"/>
        <w:ind w:left="514" w:right="0"/>
        <w:jc w:val="left"/>
      </w:pPr>
      <w:r>
        <w:rPr>
          <w:rFonts w:ascii="Times New Roman" w:hAnsi="Times New Roman" w:cs="Times New Roman" w:eastAsia="Times New Roman" w:hint="default"/>
        </w:rPr>
        <w:t>3.</w:t>
      </w:r>
      <w:r>
        <w:rPr/>
        <w:t>暂停资本化期间 </w:t>
      </w:r>
      <w:r>
        <w:rPr>
          <w:spacing w:val="-2"/>
        </w:rPr>
        <w:t>符合资本化条件的资产在购建或生产过程中发生的非正常中断、且中断时间连续超过</w:t>
      </w:r>
      <w:r>
        <w:rPr>
          <w:rFonts w:ascii="Times New Roman" w:hAnsi="Times New Roman" w:cs="Times New Roman" w:eastAsia="Times New Roman" w:hint="default"/>
          <w:spacing w:val="-2"/>
        </w:rPr>
        <w:t>3</w:t>
      </w:r>
      <w:r>
        <w:rPr>
          <w:spacing w:val="-2"/>
        </w:rPr>
        <w:t>个月的，则借款费用暂停资本化；</w:t>
      </w:r>
    </w:p>
    <w:p>
      <w:pPr>
        <w:pStyle w:val="BodyText"/>
        <w:spacing w:line="217" w:lineRule="exact"/>
        <w:ind w:right="0"/>
        <w:jc w:val="left"/>
      </w:pPr>
      <w:r>
        <w:rPr/>
        <w:t>该项中断如是所购建或生产的符合资本化条件的资产达到预定可使用状态或者可销售状态必要的程序</w:t>
      </w:r>
      <w:r>
        <w:rPr>
          <w:spacing w:val="-82"/>
        </w:rPr>
        <w:t>，</w:t>
      </w:r>
      <w:r>
        <w:rPr/>
        <w:t>则借款费用继续资本</w:t>
      </w:r>
    </w:p>
    <w:p>
      <w:pPr>
        <w:pStyle w:val="BodyText"/>
        <w:spacing w:line="348" w:lineRule="auto" w:before="77"/>
        <w:ind w:left="514" w:right="0" w:hanging="360"/>
        <w:jc w:val="left"/>
      </w:pPr>
      <w:r>
        <w:rPr/>
        <w:t>化。在中断期间发生的借款费用确认为当期损益，直至资产的购建或者生产活动重新开始后借款费用继续资本化。 </w:t>
      </w:r>
      <w:r>
        <w:rPr>
          <w:rFonts w:ascii="Times New Roman" w:hAnsi="Times New Roman" w:cs="Times New Roman" w:eastAsia="Times New Roman" w:hint="default"/>
        </w:rPr>
        <w:t>4.</w:t>
      </w:r>
      <w:r>
        <w:rPr/>
        <w:t>借款费用资本化金额的计算方法 </w:t>
      </w:r>
      <w:r>
        <w:rPr>
          <w:spacing w:val="-2"/>
        </w:rPr>
        <w:t>专门借款的利息费用（扣除尚未动用的借款资金存入银行取得的利息收入或者进行暂时性投资取得的投资收益）及其辅</w:t>
      </w:r>
    </w:p>
    <w:p>
      <w:pPr>
        <w:pStyle w:val="BodyText"/>
        <w:spacing w:line="357" w:lineRule="auto"/>
        <w:ind w:left="514" w:right="0" w:hanging="360"/>
        <w:jc w:val="left"/>
      </w:pPr>
      <w:r>
        <w:rPr/>
        <w:t>助费用在所购建或者生产的符合资本化条件的资产达到预定可使用或者可销售状态前，予以资本化。 </w:t>
      </w:r>
      <w:r>
        <w:rPr>
          <w:spacing w:val="-2"/>
        </w:rPr>
        <w:t>根据累计资产支出超过专门借款部分的资产支出加权平均数乘以所占用一般借款的资本化率，计算确定一般借款应予资</w:t>
      </w:r>
    </w:p>
    <w:p>
      <w:pPr>
        <w:pStyle w:val="BodyText"/>
        <w:spacing w:line="360" w:lineRule="auto"/>
        <w:ind w:left="514" w:right="1572" w:hanging="360"/>
        <w:jc w:val="left"/>
      </w:pPr>
      <w:r>
        <w:rPr/>
        <w:t>本化的利息金额。资本化率根据一般借款加权平均利率计算确定。 借款存在折价或者溢价的，按照实际利率法确定每一会计期间应摊销的折价或者溢价金额，调整每期利息金额。</w:t>
      </w:r>
    </w:p>
    <w:p>
      <w:pPr>
        <w:spacing w:after="0" w:line="36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3"/>
        <w:spacing w:line="240" w:lineRule="auto" w:before="35"/>
        <w:ind w:right="1134"/>
        <w:jc w:val="left"/>
        <w:rPr>
          <w:b w:val="0"/>
          <w:bCs w:val="0"/>
        </w:rPr>
      </w:pPr>
      <w:bookmarkStart w:name="18、无形资产" w:id="189"/>
      <w:bookmarkEnd w:id="189"/>
      <w:r>
        <w:rPr>
          <w:b w:val="0"/>
          <w:bCs w:val="0"/>
        </w:rPr>
      </w:r>
      <w:r>
        <w:rPr>
          <w:rFonts w:ascii="Times New Roman" w:hAnsi="Times New Roman" w:cs="Times New Roman" w:eastAsia="Times New Roman" w:hint="default"/>
        </w:rPr>
        <w:t>18</w:t>
      </w:r>
      <w:r>
        <w:rPr/>
        <w:t>、无形资产</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1134"/>
        <w:jc w:val="left"/>
        <w:rPr>
          <w:b w:val="0"/>
          <w:bCs w:val="0"/>
        </w:rPr>
      </w:pPr>
      <w:bookmarkStart w:name="（1）计价方法、使用寿命、减值测试" w:id="190"/>
      <w:bookmarkEnd w:id="190"/>
      <w:r>
        <w:rPr>
          <w:b w:val="0"/>
          <w:bCs w:val="0"/>
        </w:rPr>
      </w:r>
      <w:r>
        <w:rPr/>
        <w:t>（</w:t>
      </w:r>
      <w:r>
        <w:rPr>
          <w:rFonts w:ascii="Times New Roman" w:hAnsi="Times New Roman" w:cs="Times New Roman" w:eastAsia="Times New Roman" w:hint="default"/>
        </w:rPr>
        <w:t>1</w:t>
      </w:r>
      <w:r>
        <w:rPr/>
        <w:t>）计价方法、使用寿命、减值测试</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7692"/>
        <w:jc w:val="left"/>
      </w:pPr>
      <w:r>
        <w:rPr/>
        <w:t>公司是否需要遵守特殊行业的披露要求 否</w:t>
      </w:r>
    </w:p>
    <w:p>
      <w:pPr>
        <w:pStyle w:val="BodyText"/>
        <w:spacing w:line="316" w:lineRule="auto" w:before="28"/>
        <w:ind w:left="514" w:right="1118"/>
        <w:jc w:val="left"/>
      </w:pPr>
      <w:r>
        <w:rPr/>
        <w:t>无形资产是指本公司拥有或者控制的没有实物形态的可辨认非货币性资产，包括软件、高尔夫会费等。 </w:t>
      </w:r>
      <w:r>
        <w:rPr>
          <w:rFonts w:ascii="宋体" w:hAnsi="宋体" w:cs="宋体" w:eastAsia="宋体" w:hint="default"/>
        </w:rPr>
        <w:t>1.</w:t>
      </w:r>
      <w:r>
        <w:rPr/>
        <w:t>无形资产的初始计量 </w:t>
      </w:r>
      <w:r>
        <w:rPr>
          <w:spacing w:val="-2"/>
        </w:rPr>
        <w:t>外购无形资产的成本，包括购买价款、相关税费以及直接归属于使该项资产达到预定用途所发生的其他支出。购买无形</w:t>
      </w:r>
    </w:p>
    <w:p>
      <w:pPr>
        <w:pStyle w:val="BodyText"/>
        <w:spacing w:line="316" w:lineRule="auto" w:before="19"/>
        <w:ind w:left="514" w:right="0" w:hanging="360"/>
        <w:jc w:val="left"/>
      </w:pPr>
      <w:r>
        <w:rPr/>
        <w:t>资产的价款超过正常信用条件延期支付，实质上具有融资性质的，无形资产的成本以购买价款的现值为基础确定。 </w:t>
      </w:r>
      <w:r>
        <w:rPr>
          <w:spacing w:val="-2"/>
        </w:rPr>
        <w:t>债务重组取得债务人用以抵债的无形资产，以该无形资产的公允价值为基础确定其入账价值，并将重组债务的账面价值</w:t>
      </w:r>
    </w:p>
    <w:p>
      <w:pPr>
        <w:pStyle w:val="BodyText"/>
        <w:spacing w:line="316" w:lineRule="auto" w:before="19"/>
        <w:ind w:left="514" w:right="0" w:hanging="360"/>
        <w:jc w:val="left"/>
      </w:pPr>
      <w:r>
        <w:rPr/>
        <w:t>与该用以抵债的无形资产公允价值之间的差额，计入当期损益。 </w:t>
      </w:r>
      <w:r>
        <w:rPr>
          <w:spacing w:val="-2"/>
        </w:rPr>
        <w:t>在非货币性资产交换具备商业实质且换入资产或换出资产的公允价值能够可靠计量的前提下，非货币性资产交换换入的</w:t>
      </w:r>
    </w:p>
    <w:p>
      <w:pPr>
        <w:pStyle w:val="BodyText"/>
        <w:spacing w:line="316" w:lineRule="auto" w:before="19"/>
        <w:ind w:right="0"/>
        <w:jc w:val="left"/>
      </w:pPr>
      <w:r>
        <w:rPr>
          <w:spacing w:val="-2"/>
        </w:rPr>
        <w:t>无形资产以换出资产的公允价值为基础确定其入账价值，除非有确凿证据表明换入资产的公允价值更加可靠；不满足上述前</w:t>
      </w:r>
      <w:r>
        <w:rPr>
          <w:spacing w:val="-64"/>
        </w:rPr>
        <w:t> </w:t>
      </w:r>
      <w:r>
        <w:rPr>
          <w:spacing w:val="-64"/>
        </w:rPr>
      </w:r>
      <w:r>
        <w:rPr/>
        <w:t>提的非货币性资产交换，以换出资产的账面价值和应支付的相关税费作为换入无形资产的成本，不确认损益。</w:t>
      </w:r>
    </w:p>
    <w:p>
      <w:pPr>
        <w:pStyle w:val="BodyText"/>
        <w:spacing w:line="316" w:lineRule="auto" w:before="19"/>
        <w:ind w:right="0" w:firstLine="360"/>
        <w:jc w:val="left"/>
      </w:pPr>
      <w:r>
        <w:rPr>
          <w:spacing w:val="-2"/>
        </w:rPr>
        <w:t>以同一控制下的企业吸收合并方式取得的无形资产按被合并方的账面价值确定其入账价值；以非同一控制下的企业吸收</w:t>
      </w:r>
      <w:r>
        <w:rPr/>
        <w:t> 合并方式取得的无形资产按公允价值确定其入账价值。</w:t>
      </w:r>
    </w:p>
    <w:p>
      <w:pPr>
        <w:pStyle w:val="BodyText"/>
        <w:spacing w:line="316" w:lineRule="auto" w:before="19"/>
        <w:ind w:right="0" w:firstLine="360"/>
        <w:jc w:val="left"/>
      </w:pPr>
      <w:r>
        <w:rPr>
          <w:spacing w:val="-2"/>
        </w:rPr>
        <w:t>内部自行开发的无形资产，其成本包括：开发该无形资产时耗用的材料、劳务成本、注册费、在开发过程中使用的其他</w:t>
      </w:r>
      <w:r>
        <w:rPr/>
        <w:t> 专利权和特许权的摊销以及满足资本化条件的利息  费用，以及为使该无形资产达到预定用途前所发生的其他直接费用。</w:t>
      </w:r>
    </w:p>
    <w:p>
      <w:pPr>
        <w:pStyle w:val="BodyText"/>
        <w:spacing w:line="316" w:lineRule="auto" w:before="19"/>
        <w:ind w:left="514" w:right="2472"/>
        <w:jc w:val="left"/>
      </w:pPr>
      <w:r>
        <w:rPr>
          <w:rFonts w:ascii="宋体" w:hAnsi="宋体" w:cs="宋体" w:eastAsia="宋体" w:hint="default"/>
        </w:rPr>
        <w:t>2.</w:t>
      </w:r>
      <w:r>
        <w:rPr/>
        <w:t>无形资产的后续计量 本公司在取得无形资产时分析判断其使用寿命，划分为使用寿命有限和使用寿命不确定的无形资产。</w:t>
      </w:r>
    </w:p>
    <w:p>
      <w:pPr>
        <w:pStyle w:val="BodyText"/>
        <w:spacing w:line="319" w:lineRule="auto" w:before="19"/>
        <w:ind w:left="514" w:right="0"/>
        <w:jc w:val="left"/>
      </w:pPr>
      <w:r>
        <w:rPr/>
        <w:t>（</w:t>
      </w:r>
      <w:r>
        <w:rPr>
          <w:rFonts w:ascii="宋体" w:hAnsi="宋体" w:cs="宋体" w:eastAsia="宋体" w:hint="default"/>
        </w:rPr>
        <w:t>1</w:t>
      </w:r>
      <w:r>
        <w:rPr/>
        <w:t>）使用寿命有限的无形资产 </w:t>
      </w:r>
      <w:r>
        <w:rPr>
          <w:spacing w:val="-2"/>
        </w:rPr>
        <w:t>对于使用寿命有限的无形资产，在为企业带来经济利益的期限内按直线法摊销。使用寿命有限的无形资产预计寿命及依</w:t>
      </w:r>
    </w:p>
    <w:p>
      <w:pPr>
        <w:pStyle w:val="BodyText"/>
        <w:spacing w:line="240" w:lineRule="auto" w:before="17"/>
        <w:ind w:right="1134"/>
        <w:jc w:val="left"/>
      </w:pPr>
      <w:r>
        <w:rPr/>
        <w:t>据如下：</w:t>
      </w:r>
    </w:p>
    <w:p>
      <w:pPr>
        <w:spacing w:line="240" w:lineRule="auto" w:before="0"/>
        <w:rPr>
          <w:rFonts w:ascii="宋体" w:hAnsi="宋体" w:cs="宋体" w:eastAsia="宋体"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3216"/>
        <w:gridCol w:w="2146"/>
        <w:gridCol w:w="4288"/>
      </w:tblGrid>
      <w:tr>
        <w:trPr>
          <w:trHeight w:val="347" w:hRule="exact"/>
        </w:trPr>
        <w:tc>
          <w:tcPr>
            <w:tcW w:w="321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14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预计使用寿命</w:t>
            </w:r>
          </w:p>
        </w:tc>
        <w:tc>
          <w:tcPr>
            <w:tcW w:w="428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依据</w:t>
            </w:r>
          </w:p>
        </w:tc>
      </w:tr>
      <w:tr>
        <w:trPr>
          <w:trHeight w:val="347" w:hRule="exact"/>
        </w:trPr>
        <w:tc>
          <w:tcPr>
            <w:tcW w:w="32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软件</w:t>
            </w: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年</w:t>
            </w:r>
          </w:p>
        </w:tc>
        <w:tc>
          <w:tcPr>
            <w:tcW w:w="42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根据预计可使用年限</w:t>
            </w:r>
          </w:p>
        </w:tc>
      </w:tr>
      <w:tr>
        <w:trPr>
          <w:trHeight w:val="348" w:hRule="exact"/>
        </w:trPr>
        <w:tc>
          <w:tcPr>
            <w:tcW w:w="32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高尔夫会费</w:t>
            </w: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年</w:t>
            </w:r>
          </w:p>
        </w:tc>
        <w:tc>
          <w:tcPr>
            <w:tcW w:w="428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根据预计经济利益影响期限</w:t>
            </w:r>
          </w:p>
        </w:tc>
      </w:tr>
    </w:tbl>
    <w:p>
      <w:pPr>
        <w:pStyle w:val="BodyText"/>
        <w:spacing w:line="316" w:lineRule="auto" w:before="10"/>
        <w:ind w:left="514" w:right="1032"/>
        <w:jc w:val="left"/>
      </w:pPr>
      <w:r>
        <w:rPr/>
        <w:t>每期末，对使用寿命有限的无形资产的使用寿命及摊销方法进行复核，如与原先估计数存在差异的，进行相应的调整。 经复核，本期期末无形资产的使用寿命及摊销方法与以前估计未有不同。</w:t>
      </w:r>
    </w:p>
    <w:p>
      <w:pPr>
        <w:pStyle w:val="BodyText"/>
        <w:spacing w:line="300" w:lineRule="auto" w:before="19"/>
        <w:ind w:left="514" w:right="3912"/>
        <w:jc w:val="left"/>
      </w:pPr>
      <w:r>
        <w:rPr/>
        <w:t>（</w:t>
      </w:r>
      <w:r>
        <w:rPr>
          <w:rFonts w:ascii="Times New Roman" w:hAnsi="Times New Roman" w:cs="Times New Roman" w:eastAsia="Times New Roman" w:hint="default"/>
        </w:rPr>
        <w:t>2</w:t>
      </w:r>
      <w:r>
        <w:rPr/>
        <w:t>）使用寿命不确定的无形资产 无法预见无形资产为企业带来经济利益期限的，视为使用寿命不确定的无形资产。</w:t>
      </w:r>
    </w:p>
    <w:p>
      <w:pPr>
        <w:pStyle w:val="BodyText"/>
        <w:spacing w:line="316" w:lineRule="auto" w:before="31"/>
        <w:ind w:right="0" w:firstLine="360"/>
        <w:jc w:val="left"/>
      </w:pPr>
      <w:r>
        <w:rPr>
          <w:spacing w:val="-2"/>
        </w:rPr>
        <w:t>对于使用寿命不确定的无形资产，在持有期间内不摊销，每期末对无形资产的寿命进行复核。如果期末重新复核后仍为</w:t>
      </w:r>
      <w:r>
        <w:rPr/>
        <w:t> 不确定的，在每个会计期间继续进行减值测试。</w:t>
      </w:r>
    </w:p>
    <w:p>
      <w:pPr>
        <w:pStyle w:val="BodyText"/>
        <w:spacing w:line="240" w:lineRule="auto" w:before="19"/>
        <w:ind w:left="514" w:right="1134"/>
        <w:jc w:val="left"/>
      </w:pPr>
      <w:r>
        <w:rPr/>
        <w:t>经复核，本公司无使用寿命不确定的无形资产。</w:t>
      </w:r>
    </w:p>
    <w:p>
      <w:pPr>
        <w:spacing w:line="240" w:lineRule="auto" w:before="12"/>
        <w:rPr>
          <w:rFonts w:ascii="宋体" w:hAnsi="宋体" w:cs="宋体" w:eastAsia="宋体" w:hint="default"/>
          <w:sz w:val="26"/>
          <w:szCs w:val="26"/>
        </w:rPr>
      </w:pPr>
    </w:p>
    <w:p>
      <w:pPr>
        <w:pStyle w:val="Heading3"/>
        <w:spacing w:line="240" w:lineRule="auto"/>
        <w:ind w:right="1134"/>
        <w:jc w:val="left"/>
        <w:rPr>
          <w:b w:val="0"/>
          <w:bCs w:val="0"/>
        </w:rPr>
      </w:pPr>
      <w:bookmarkStart w:name="（2）内部研究开发支出会计政策" w:id="191"/>
      <w:bookmarkEnd w:id="191"/>
      <w:r>
        <w:rPr>
          <w:b w:val="0"/>
          <w:bCs w:val="0"/>
        </w:rPr>
      </w:r>
      <w:r>
        <w:rPr/>
        <w:t>（</w:t>
      </w:r>
      <w:r>
        <w:rPr>
          <w:rFonts w:ascii="Times New Roman" w:hAnsi="Times New Roman" w:cs="Times New Roman" w:eastAsia="Times New Roman" w:hint="default"/>
        </w:rPr>
        <w:t>2</w:t>
      </w:r>
      <w:r>
        <w:rPr/>
        <w:t>）内部研究开发支出会计政策</w:t>
      </w:r>
      <w:r>
        <w:rPr>
          <w:b w:val="0"/>
          <w:bCs w:val="0"/>
        </w:rPr>
      </w:r>
    </w:p>
    <w:p>
      <w:pPr>
        <w:spacing w:line="240" w:lineRule="auto" w:before="8"/>
        <w:rPr>
          <w:rFonts w:ascii="宋体" w:hAnsi="宋体" w:cs="宋体" w:eastAsia="宋体" w:hint="default"/>
          <w:b/>
          <w:bCs/>
          <w:sz w:val="26"/>
          <w:szCs w:val="26"/>
        </w:rPr>
      </w:pPr>
    </w:p>
    <w:p>
      <w:pPr>
        <w:pStyle w:val="BodyText"/>
        <w:spacing w:line="348" w:lineRule="auto"/>
        <w:ind w:left="514" w:right="0"/>
        <w:jc w:val="left"/>
      </w:pPr>
      <w:r>
        <w:rPr>
          <w:rFonts w:ascii="Times New Roman" w:hAnsi="Times New Roman" w:cs="Times New Roman" w:eastAsia="Times New Roman" w:hint="default"/>
        </w:rPr>
        <w:t>1.</w:t>
      </w:r>
      <w:r>
        <w:rPr/>
        <w:t>划分公司内部研究开发项目的研究阶段和开发阶段具体标准 研究阶段：为获取并理解新的科学或技术知识等而进行的独创性的有计划调查、研究活动的阶段。 </w:t>
      </w:r>
      <w:r>
        <w:rPr>
          <w:spacing w:val="-2"/>
        </w:rPr>
        <w:t>开发阶段：在进行商业性生产或使用前，将研究成果或其他知识应用于某项计划或设计，以生产出新的或具有实质性改</w:t>
      </w:r>
    </w:p>
    <w:p>
      <w:pPr>
        <w:pStyle w:val="BodyText"/>
        <w:spacing w:line="360" w:lineRule="auto"/>
        <w:ind w:left="514" w:right="5532" w:hanging="360"/>
        <w:jc w:val="left"/>
      </w:pPr>
      <w:r>
        <w:rPr/>
        <w:t>进的材料、装置、产品等活动的阶段。 内部研究开发项目研究阶段的支出，在发生时计入当期损益。 </w:t>
      </w:r>
      <w:r>
        <w:rPr>
          <w:rFonts w:ascii="Times New Roman" w:hAnsi="Times New Roman" w:cs="Times New Roman" w:eastAsia="Times New Roman" w:hint="default"/>
        </w:rPr>
        <w:t>2.</w:t>
      </w:r>
      <w:r>
        <w:rPr/>
        <w:t>开发阶段支出符合资本化的具体标准</w:t>
      </w:r>
    </w:p>
    <w:p>
      <w:pPr>
        <w:spacing w:after="0" w:line="36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left="514" w:right="1134"/>
        <w:jc w:val="left"/>
      </w:pPr>
      <w:r>
        <w:rPr/>
        <w:t>内部研究开发项目开发阶段的支出，同时满足下列条件时确认为无形资产：</w:t>
      </w:r>
    </w:p>
    <w:p>
      <w:pPr>
        <w:pStyle w:val="BodyText"/>
        <w:spacing w:line="240" w:lineRule="auto" w:before="116"/>
        <w:ind w:left="514" w:right="1134"/>
        <w:jc w:val="left"/>
      </w:pPr>
      <w:r>
        <w:rPr/>
        <w:t>（</w:t>
      </w:r>
      <w:r>
        <w:rPr>
          <w:rFonts w:ascii="Times New Roman" w:hAnsi="Times New Roman" w:cs="Times New Roman" w:eastAsia="Times New Roman" w:hint="default"/>
        </w:rPr>
        <w:t>1</w:t>
      </w:r>
      <w:r>
        <w:rPr/>
        <w:t>）完成该无形资产以使其能够使用或出售在技术上具有可行性；</w:t>
      </w:r>
    </w:p>
    <w:p>
      <w:pPr>
        <w:pStyle w:val="BodyText"/>
        <w:spacing w:line="240" w:lineRule="auto" w:before="103"/>
        <w:ind w:left="514" w:right="1134"/>
        <w:jc w:val="left"/>
      </w:pPr>
      <w:r>
        <w:rPr/>
        <w:t>（</w:t>
      </w:r>
      <w:r>
        <w:rPr>
          <w:rFonts w:ascii="Times New Roman" w:hAnsi="Times New Roman" w:cs="Times New Roman" w:eastAsia="Times New Roman" w:hint="default"/>
        </w:rPr>
        <w:t>2</w:t>
      </w:r>
      <w:r>
        <w:rPr/>
        <w:t>）具有完成该无形资产并使用或出售的意图；</w:t>
      </w:r>
    </w:p>
    <w:p>
      <w:pPr>
        <w:pStyle w:val="BodyText"/>
        <w:spacing w:line="302" w:lineRule="auto" w:before="101"/>
        <w:ind w:right="1122" w:firstLine="360"/>
        <w:jc w:val="left"/>
      </w:pPr>
      <w:r>
        <w:rPr/>
        <w:t>（</w:t>
      </w:r>
      <w:r>
        <w:rPr>
          <w:rFonts w:ascii="Times New Roman" w:hAnsi="Times New Roman" w:cs="Times New Roman" w:eastAsia="Times New Roman" w:hint="default"/>
        </w:rPr>
        <w:t>3</w:t>
      </w:r>
      <w:r>
        <w:rPr/>
        <w:t>）无形资产产生经济利益的方式，包括能够证明运用该无形资产生产的产品存在市场或无形资产自身存在市场，无 形资产将在内部使用的，能够证明其有用性；</w:t>
      </w:r>
    </w:p>
    <w:p>
      <w:pPr>
        <w:pStyle w:val="BodyText"/>
        <w:spacing w:line="240" w:lineRule="auto" w:before="69"/>
        <w:ind w:left="514" w:right="1134"/>
        <w:jc w:val="left"/>
      </w:pPr>
      <w:r>
        <w:rPr/>
        <w:t>（</w:t>
      </w:r>
      <w:r>
        <w:rPr>
          <w:rFonts w:ascii="Times New Roman" w:hAnsi="Times New Roman" w:cs="Times New Roman" w:eastAsia="Times New Roman" w:hint="default"/>
        </w:rPr>
        <w:t>4</w:t>
      </w:r>
      <w:r>
        <w:rPr/>
        <w:t>）有足够的技术、财务资源和其他资源支持，以完成该无形资产的开发，并有能力使用或出售该无形资产；</w:t>
      </w:r>
    </w:p>
    <w:p>
      <w:pPr>
        <w:pStyle w:val="BodyText"/>
        <w:spacing w:line="338" w:lineRule="auto" w:before="103"/>
        <w:ind w:left="514" w:right="0"/>
        <w:jc w:val="left"/>
      </w:pPr>
      <w:r>
        <w:rPr/>
        <w:t>（</w:t>
      </w:r>
      <w:r>
        <w:rPr>
          <w:rFonts w:ascii="Times New Roman" w:hAnsi="Times New Roman" w:cs="Times New Roman" w:eastAsia="Times New Roman" w:hint="default"/>
        </w:rPr>
        <w:t>5</w:t>
      </w:r>
      <w:r>
        <w:rPr/>
        <w:t>）归属于该无形资产开发阶段的支出能够可靠地计量。 </w:t>
      </w:r>
      <w:r>
        <w:rPr>
          <w:spacing w:val="-2"/>
        </w:rPr>
        <w:t>不满足上述条件的开发阶段的支出，于发生时计入当期损益。以前期间已计入损益的开发支出不在以后期间重新确认为</w:t>
      </w:r>
    </w:p>
    <w:p>
      <w:pPr>
        <w:pStyle w:val="BodyText"/>
        <w:spacing w:line="240" w:lineRule="auto" w:before="4"/>
        <w:ind w:right="0"/>
        <w:jc w:val="both"/>
      </w:pPr>
      <w:r>
        <w:rPr/>
        <w:t>资产。已资本化的开发阶段的支出在资产负债表上列示为开发支出，自该项目达到预定用途之日起转为无形资产。</w:t>
      </w:r>
    </w:p>
    <w:p>
      <w:pPr>
        <w:spacing w:line="240" w:lineRule="auto" w:before="10"/>
        <w:rPr>
          <w:rFonts w:ascii="宋体" w:hAnsi="宋体" w:cs="宋体" w:eastAsia="宋体" w:hint="default"/>
          <w:sz w:val="26"/>
          <w:szCs w:val="26"/>
        </w:rPr>
      </w:pPr>
    </w:p>
    <w:p>
      <w:pPr>
        <w:pStyle w:val="Heading3"/>
        <w:spacing w:line="240" w:lineRule="auto"/>
        <w:ind w:right="0"/>
        <w:jc w:val="both"/>
        <w:rPr>
          <w:b w:val="0"/>
          <w:bCs w:val="0"/>
        </w:rPr>
      </w:pPr>
      <w:bookmarkStart w:name="19、长期资产减值" w:id="192"/>
      <w:bookmarkEnd w:id="192"/>
      <w:r>
        <w:rPr>
          <w:b w:val="0"/>
          <w:bCs w:val="0"/>
        </w:rPr>
      </w:r>
      <w:r>
        <w:rPr>
          <w:rFonts w:ascii="Times New Roman" w:hAnsi="Times New Roman" w:cs="Times New Roman" w:eastAsia="Times New Roman" w:hint="default"/>
        </w:rPr>
        <w:t>19</w:t>
      </w:r>
      <w:r>
        <w:rPr/>
        <w:t>、长期资产减值</w:t>
      </w:r>
      <w:r>
        <w:rPr>
          <w:b w:val="0"/>
          <w:bCs w:val="0"/>
        </w:rPr>
      </w:r>
    </w:p>
    <w:p>
      <w:pPr>
        <w:spacing w:line="240" w:lineRule="auto" w:before="8"/>
        <w:rPr>
          <w:rFonts w:ascii="宋体" w:hAnsi="宋体" w:cs="宋体" w:eastAsia="宋体" w:hint="default"/>
          <w:b/>
          <w:bCs/>
          <w:sz w:val="26"/>
          <w:szCs w:val="26"/>
        </w:rPr>
      </w:pPr>
    </w:p>
    <w:p>
      <w:pPr>
        <w:pStyle w:val="BodyText"/>
        <w:spacing w:line="319" w:lineRule="auto"/>
        <w:ind w:right="0" w:firstLine="360"/>
        <w:jc w:val="left"/>
      </w:pPr>
      <w:r>
        <w:rPr>
          <w:spacing w:val="-2"/>
        </w:rPr>
        <w:t>本公司在资产负债表日判断长期资产是否存在可能发生减值的迹象。如果长期资产存在减值迹象的，以单项资产为基础</w:t>
      </w:r>
      <w:r>
        <w:rPr/>
        <w:t> 估计其可收回金额；难以对单项资产的可收回金额进行估计的，以该资产所属的资产组为基础确定资产组的可收回金额。</w:t>
      </w:r>
    </w:p>
    <w:p>
      <w:pPr>
        <w:pStyle w:val="BodyText"/>
        <w:spacing w:line="357" w:lineRule="auto" w:before="56"/>
        <w:ind w:left="514" w:right="1032"/>
        <w:jc w:val="left"/>
      </w:pPr>
      <w:r>
        <w:rPr/>
        <w:t>资产可收回金额的估计，根据其公允价值减去处置费用后的净额与资产预计未来现金流量的现值两者之间较高者确定。 </w:t>
      </w:r>
      <w:r>
        <w:rPr>
          <w:spacing w:val="-2"/>
        </w:rPr>
        <w:t>可收回金额的计量结果表明，长期资产的可收回金额低于其账面价值的，将长期资产的账面价值减记至可收回金额，减</w:t>
      </w:r>
    </w:p>
    <w:p>
      <w:pPr>
        <w:pStyle w:val="BodyText"/>
        <w:spacing w:line="224" w:lineRule="exact"/>
        <w:ind w:right="0"/>
        <w:jc w:val="both"/>
      </w:pPr>
      <w:r>
        <w:rPr/>
        <w:t>记的金额确认为资产减值损失，计入当期损益，同时计提相应的资产减值准备。资产减值损失一经确认，在以后会计期间不</w:t>
      </w:r>
    </w:p>
    <w:p>
      <w:pPr>
        <w:pStyle w:val="BodyText"/>
        <w:spacing w:line="240" w:lineRule="auto" w:before="77"/>
        <w:ind w:right="0"/>
        <w:jc w:val="both"/>
      </w:pPr>
      <w:r>
        <w:rPr/>
        <w:t>得转回。</w:t>
      </w:r>
    </w:p>
    <w:p>
      <w:pPr>
        <w:pStyle w:val="BodyText"/>
        <w:spacing w:line="319" w:lineRule="auto" w:before="115"/>
        <w:ind w:right="0" w:firstLine="360"/>
        <w:jc w:val="left"/>
      </w:pPr>
      <w:r>
        <w:rPr>
          <w:spacing w:val="-2"/>
        </w:rPr>
        <w:t>资产减值损失确认后，减值资产的折旧或者摊销费用在未来期间作相应调整，以使该资产在剩余使用寿命内，系统地分</w:t>
      </w:r>
      <w:r>
        <w:rPr/>
        <w:t> 摊调整后的资产账面价值（扣除预计净残值）。</w:t>
      </w:r>
    </w:p>
    <w:p>
      <w:pPr>
        <w:pStyle w:val="BodyText"/>
        <w:spacing w:line="357" w:lineRule="auto" w:before="56"/>
        <w:ind w:left="514" w:right="0"/>
        <w:jc w:val="left"/>
      </w:pPr>
      <w:r>
        <w:rPr/>
        <w:t>因企业合并所形成的商誉和使用寿命不确定的无形资产，无论是否存在减值迹象，每年都进行减值测试。 </w:t>
      </w:r>
      <w:r>
        <w:rPr>
          <w:spacing w:val="-2"/>
        </w:rPr>
        <w:t>在对商誉进行减值测试时，将商誉的账面价值分摊至预期从企业合并的协同效应中受益的资产组或资产组组合。在对包</w:t>
      </w:r>
    </w:p>
    <w:p>
      <w:pPr>
        <w:pStyle w:val="BodyText"/>
        <w:spacing w:line="224" w:lineRule="exact"/>
        <w:ind w:right="0"/>
        <w:jc w:val="both"/>
      </w:pPr>
      <w:r>
        <w:rPr/>
        <w:t>含商誉的相关资产组或者资产组组合进行减值测试时，如与商誉相关的资产组或者资产组组合存在减值迹象的，先对不包含</w:t>
      </w:r>
    </w:p>
    <w:p>
      <w:pPr>
        <w:pStyle w:val="BodyText"/>
        <w:spacing w:line="319" w:lineRule="auto" w:before="76"/>
        <w:ind w:right="1131"/>
        <w:jc w:val="both"/>
      </w:pPr>
      <w:r>
        <w:rPr>
          <w:spacing w:val="-2"/>
        </w:rPr>
        <w:t>商誉的资产组或者资产组组合进行减值测试，计算可收回金额，并与相关账面价值相比较，确认相应的减值损失。再对包含</w:t>
      </w:r>
      <w:r>
        <w:rPr>
          <w:spacing w:val="-66"/>
        </w:rPr>
        <w:t> </w:t>
      </w:r>
      <w:r>
        <w:rPr>
          <w:spacing w:val="-66"/>
        </w:rPr>
      </w:r>
      <w:r>
        <w:rPr>
          <w:spacing w:val="-2"/>
        </w:rPr>
        <w:t>商誉的资产组或者资产组组合进行减值测试，比较这些相关资产组或者资产组组合的账面价值（包括所分摊的商誉的账面价</w:t>
      </w:r>
      <w:r>
        <w:rPr>
          <w:spacing w:val="-64"/>
        </w:rPr>
        <w:t> </w:t>
      </w:r>
      <w:r>
        <w:rPr>
          <w:spacing w:val="-64"/>
        </w:rPr>
      </w:r>
      <w:r>
        <w:rPr/>
        <w:t>值部分）与其可收回金额，如相关资产组或者资产组组合的可收回金额低于其账面价值的，确认商誉的减值损失。</w:t>
      </w:r>
    </w:p>
    <w:p>
      <w:pPr>
        <w:spacing w:line="240" w:lineRule="auto" w:before="3"/>
        <w:rPr>
          <w:rFonts w:ascii="宋体" w:hAnsi="宋体" w:cs="宋体" w:eastAsia="宋体" w:hint="default"/>
          <w:sz w:val="22"/>
          <w:szCs w:val="22"/>
        </w:rPr>
      </w:pPr>
    </w:p>
    <w:p>
      <w:pPr>
        <w:pStyle w:val="Heading3"/>
        <w:spacing w:line="240" w:lineRule="auto"/>
        <w:ind w:right="0"/>
        <w:jc w:val="both"/>
        <w:rPr>
          <w:b w:val="0"/>
          <w:bCs w:val="0"/>
        </w:rPr>
      </w:pPr>
      <w:bookmarkStart w:name="20、长期待摊费用" w:id="193"/>
      <w:bookmarkEnd w:id="193"/>
      <w:r>
        <w:rPr>
          <w:b w:val="0"/>
          <w:bCs w:val="0"/>
        </w:rPr>
      </w:r>
      <w:r>
        <w:rPr>
          <w:rFonts w:ascii="Times New Roman" w:hAnsi="Times New Roman" w:cs="Times New Roman" w:eastAsia="Times New Roman" w:hint="default"/>
        </w:rPr>
        <w:t>20</w:t>
      </w:r>
      <w:r>
        <w:rPr/>
        <w:t>、长期待摊费用</w:t>
      </w:r>
      <w:r>
        <w:rPr>
          <w:b w:val="0"/>
          <w:bCs w:val="0"/>
        </w:rPr>
      </w:r>
    </w:p>
    <w:p>
      <w:pPr>
        <w:spacing w:line="240" w:lineRule="auto" w:before="8"/>
        <w:rPr>
          <w:rFonts w:ascii="宋体" w:hAnsi="宋体" w:cs="宋体" w:eastAsia="宋体" w:hint="default"/>
          <w:b/>
          <w:bCs/>
          <w:sz w:val="26"/>
          <w:szCs w:val="26"/>
        </w:rPr>
      </w:pPr>
    </w:p>
    <w:p>
      <w:pPr>
        <w:pStyle w:val="BodyText"/>
        <w:spacing w:line="300" w:lineRule="auto"/>
        <w:ind w:left="514" w:right="1122" w:hanging="70"/>
        <w:jc w:val="left"/>
      </w:pPr>
      <w:r>
        <w:rPr>
          <w:rFonts w:ascii="Times New Roman" w:hAnsi="Times New Roman" w:cs="Times New Roman" w:eastAsia="Times New Roman" w:hint="default"/>
        </w:rPr>
        <w:t>1.</w:t>
      </w:r>
      <w:r>
        <w:rPr/>
        <w:t>摊销方法 长期待摊费用，是指本公司已经发生但应由本期和以后各期负担的分摊期限在</w:t>
      </w:r>
      <w:r>
        <w:rPr>
          <w:rFonts w:ascii="Times New Roman" w:hAnsi="Times New Roman" w:cs="Times New Roman" w:eastAsia="Times New Roman" w:hint="default"/>
        </w:rPr>
        <w:t>1</w:t>
      </w:r>
      <w:r>
        <w:rPr/>
        <w:t>年以上的各项费用。长期待摊费用在受</w:t>
      </w:r>
    </w:p>
    <w:p>
      <w:pPr>
        <w:pStyle w:val="BodyText"/>
        <w:spacing w:line="240" w:lineRule="auto" w:before="13"/>
        <w:ind w:right="0"/>
        <w:jc w:val="both"/>
      </w:pPr>
      <w:r>
        <w:rPr/>
        <w:t>益期内按直线法分期摊销。</w:t>
      </w:r>
    </w:p>
    <w:p>
      <w:pPr>
        <w:pStyle w:val="BodyText"/>
        <w:spacing w:line="240" w:lineRule="auto" w:before="76"/>
        <w:ind w:left="444" w:right="1134"/>
        <w:jc w:val="left"/>
      </w:pPr>
      <w:r>
        <w:rPr>
          <w:rFonts w:ascii="Times New Roman" w:hAnsi="Times New Roman" w:cs="Times New Roman" w:eastAsia="Times New Roman" w:hint="default"/>
        </w:rPr>
        <w:t>2.</w:t>
      </w:r>
      <w:r>
        <w:rPr/>
        <w:t>摊销年限</w:t>
      </w:r>
    </w:p>
    <w:p>
      <w:pPr>
        <w:spacing w:line="240" w:lineRule="auto" w:before="13"/>
        <w:rPr>
          <w:rFonts w:ascii="宋体" w:hAnsi="宋体" w:cs="宋体" w:eastAsia="宋体" w:hint="default"/>
          <w:sz w:val="4"/>
          <w:szCs w:val="4"/>
        </w:rPr>
      </w:pPr>
    </w:p>
    <w:tbl>
      <w:tblPr>
        <w:tblW w:w="0" w:type="auto"/>
        <w:jc w:val="left"/>
        <w:tblInd w:w="146" w:type="dxa"/>
        <w:tblLayout w:type="fixed"/>
        <w:tblCellMar>
          <w:top w:w="0" w:type="dxa"/>
          <w:left w:w="0" w:type="dxa"/>
          <w:bottom w:w="0" w:type="dxa"/>
          <w:right w:w="0" w:type="dxa"/>
        </w:tblCellMar>
        <w:tblLook w:val="01E0"/>
      </w:tblPr>
      <w:tblGrid>
        <w:gridCol w:w="4782"/>
        <w:gridCol w:w="4781"/>
      </w:tblGrid>
      <w:tr>
        <w:trPr>
          <w:trHeight w:val="317" w:hRule="exact"/>
        </w:trPr>
        <w:tc>
          <w:tcPr>
            <w:tcW w:w="478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478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z w:val="18"/>
                <w:szCs w:val="18"/>
              </w:rPr>
              <w:t>摊销年限</w:t>
            </w:r>
          </w:p>
        </w:tc>
      </w:tr>
      <w:tr>
        <w:trPr>
          <w:trHeight w:val="364" w:hRule="exact"/>
        </w:trPr>
        <w:tc>
          <w:tcPr>
            <w:tcW w:w="4782"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32"/>
              <w:ind w:left="2"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4781"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32"/>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w:t>
            </w:r>
          </w:p>
        </w:tc>
      </w:tr>
      <w:tr>
        <w:trPr>
          <w:trHeight w:val="347" w:hRule="exact"/>
        </w:trPr>
        <w:tc>
          <w:tcPr>
            <w:tcW w:w="47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模具</w:t>
            </w:r>
          </w:p>
        </w:tc>
        <w:tc>
          <w:tcPr>
            <w:tcW w:w="4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w:t>
            </w:r>
          </w:p>
        </w:tc>
      </w:tr>
      <w:tr>
        <w:trPr>
          <w:trHeight w:val="347" w:hRule="exact"/>
        </w:trPr>
        <w:tc>
          <w:tcPr>
            <w:tcW w:w="47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服务费</w:t>
            </w:r>
          </w:p>
        </w:tc>
        <w:tc>
          <w:tcPr>
            <w:tcW w:w="4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center"/>
              <w:rPr>
                <w:rFonts w:ascii="宋体" w:hAnsi="宋体" w:cs="宋体" w:eastAsia="宋体" w:hint="default"/>
                <w:sz w:val="18"/>
                <w:szCs w:val="18"/>
              </w:rPr>
            </w:pPr>
            <w:r>
              <w:rPr>
                <w:rFonts w:ascii="宋体" w:hAnsi="宋体" w:cs="宋体" w:eastAsia="宋体" w:hint="default"/>
                <w:sz w:val="18"/>
                <w:szCs w:val="18"/>
              </w:rPr>
              <w:t>按实际收益期间</w:t>
            </w:r>
          </w:p>
        </w:tc>
      </w:tr>
      <w:tr>
        <w:trPr>
          <w:trHeight w:val="348" w:hRule="exact"/>
        </w:trPr>
        <w:tc>
          <w:tcPr>
            <w:tcW w:w="478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会员费及其他</w:t>
            </w:r>
          </w:p>
        </w:tc>
        <w:tc>
          <w:tcPr>
            <w:tcW w:w="47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center"/>
              <w:rPr>
                <w:rFonts w:ascii="宋体" w:hAnsi="宋体" w:cs="宋体" w:eastAsia="宋体" w:hint="default"/>
                <w:sz w:val="18"/>
                <w:szCs w:val="18"/>
              </w:rPr>
            </w:pPr>
            <w:r>
              <w:rPr>
                <w:rFonts w:ascii="宋体" w:hAnsi="宋体" w:cs="宋体" w:eastAsia="宋体" w:hint="default"/>
                <w:sz w:val="18"/>
                <w:szCs w:val="18"/>
              </w:rPr>
              <w:t>按实际收益期间</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right="1134"/>
        <w:jc w:val="left"/>
        <w:rPr>
          <w:b w:val="0"/>
          <w:bCs w:val="0"/>
        </w:rPr>
      </w:pPr>
      <w:bookmarkStart w:name="21、职工薪酬" w:id="194"/>
      <w:bookmarkEnd w:id="194"/>
      <w:r>
        <w:rPr>
          <w:b w:val="0"/>
          <w:bCs w:val="0"/>
        </w:rPr>
      </w:r>
      <w:r>
        <w:rPr>
          <w:rFonts w:ascii="Times New Roman" w:hAnsi="Times New Roman" w:cs="Times New Roman" w:eastAsia="Times New Roman" w:hint="default"/>
        </w:rPr>
        <w:t>21</w:t>
      </w:r>
      <w:r>
        <w:rPr/>
        <w:t>、职工薪酬</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短期薪酬的会计处理方法" w:id="195"/>
      <w:bookmarkEnd w:id="195"/>
      <w:r>
        <w:rPr>
          <w:b w:val="0"/>
          <w:bCs w:val="0"/>
        </w:rPr>
      </w:r>
      <w:r>
        <w:rPr/>
        <w:t>（</w:t>
      </w:r>
      <w:r>
        <w:rPr>
          <w:rFonts w:ascii="Times New Roman" w:hAnsi="Times New Roman" w:cs="Times New Roman" w:eastAsia="Times New Roman" w:hint="default"/>
        </w:rPr>
        <w:t>1</w:t>
      </w:r>
      <w:r>
        <w:rPr/>
        <w:t>）短期薪酬的会计处理方法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9" w:lineRule="auto"/>
        <w:ind w:right="1131" w:firstLine="360"/>
        <w:jc w:val="both"/>
      </w:pPr>
      <w:r>
        <w:rPr>
          <w:spacing w:val="-2"/>
        </w:rPr>
        <w:t>短期薪酬是指本公司在职工提供相关服务的年度报告期间结束后十二个月内需要全部予以支付的职工薪酬，离职后福利</w:t>
      </w:r>
      <w:r>
        <w:rPr/>
        <w:t> </w:t>
      </w:r>
      <w:r>
        <w:rPr>
          <w:spacing w:val="-2"/>
        </w:rPr>
        <w:t>和辞退福利除外。本公司在职工提供服务的会计期间，将应付的短期薪酬确认为负债，并根据职工提供服务的受益对象计入</w:t>
      </w:r>
      <w:r>
        <w:rPr>
          <w:spacing w:val="-66"/>
        </w:rPr>
        <w:t> </w:t>
      </w:r>
      <w:r>
        <w:rPr>
          <w:spacing w:val="-66"/>
        </w:rPr>
      </w:r>
      <w:r>
        <w:rPr/>
        <w:t>相关资产成本和费用。</w:t>
      </w:r>
    </w:p>
    <w:p>
      <w:pPr>
        <w:spacing w:line="240" w:lineRule="auto" w:before="3"/>
        <w:rPr>
          <w:rFonts w:ascii="宋体" w:hAnsi="宋体" w:cs="宋体" w:eastAsia="宋体" w:hint="default"/>
          <w:sz w:val="22"/>
          <w:szCs w:val="22"/>
        </w:rPr>
      </w:pPr>
    </w:p>
    <w:p>
      <w:pPr>
        <w:pStyle w:val="Heading3"/>
        <w:spacing w:line="240" w:lineRule="auto"/>
        <w:ind w:right="1134"/>
        <w:jc w:val="left"/>
        <w:rPr>
          <w:b w:val="0"/>
          <w:bCs w:val="0"/>
        </w:rPr>
      </w:pPr>
      <w:bookmarkStart w:name="（2）离职后福利的会计处理方法" w:id="196"/>
      <w:bookmarkEnd w:id="196"/>
      <w:r>
        <w:rPr>
          <w:b w:val="0"/>
          <w:bCs w:val="0"/>
        </w:rPr>
      </w:r>
      <w:r>
        <w:rPr/>
        <w:t>（</w:t>
      </w:r>
      <w:r>
        <w:rPr>
          <w:rFonts w:ascii="Times New Roman" w:hAnsi="Times New Roman" w:cs="Times New Roman" w:eastAsia="Times New Roman" w:hint="default"/>
        </w:rPr>
        <w:t>2</w:t>
      </w:r>
      <w:r>
        <w:rPr/>
        <w:t>）离职后福利的会计处理方法</w:t>
      </w:r>
      <w:r>
        <w:rPr>
          <w:b w:val="0"/>
          <w:bCs w:val="0"/>
        </w:rPr>
      </w:r>
    </w:p>
    <w:p>
      <w:pPr>
        <w:spacing w:line="240" w:lineRule="auto" w:before="8"/>
        <w:rPr>
          <w:rFonts w:ascii="宋体" w:hAnsi="宋体" w:cs="宋体" w:eastAsia="宋体" w:hint="default"/>
          <w:b/>
          <w:bCs/>
          <w:sz w:val="26"/>
          <w:szCs w:val="26"/>
        </w:rPr>
      </w:pPr>
    </w:p>
    <w:p>
      <w:pPr>
        <w:pStyle w:val="BodyText"/>
        <w:spacing w:line="319" w:lineRule="auto"/>
        <w:ind w:right="1032" w:firstLine="360"/>
        <w:jc w:val="left"/>
      </w:pPr>
      <w:r>
        <w:rPr/>
        <w:t>离职后福利是指本公司为获得职工提供的服务而在职工退休或与企业解除劳动关系后，提供的各种形式的报酬和福利， 短期薪酬和辞退福利除外。</w:t>
      </w:r>
    </w:p>
    <w:p>
      <w:pPr>
        <w:pStyle w:val="BodyText"/>
        <w:spacing w:line="357" w:lineRule="auto" w:before="58"/>
        <w:ind w:left="514" w:right="0"/>
        <w:jc w:val="left"/>
      </w:pPr>
      <w:r>
        <w:rPr/>
        <w:t>本公司的离职后福利计划全部为设定提存计划。 </w:t>
      </w:r>
      <w:r>
        <w:rPr>
          <w:spacing w:val="-2"/>
        </w:rPr>
        <w:t>离职后福利设定提存计划主要为参加由各地劳动及社会保障机构组织实施的社会基本养老保险、失业保险等。在职工为</w:t>
      </w:r>
    </w:p>
    <w:p>
      <w:pPr>
        <w:pStyle w:val="BodyText"/>
        <w:spacing w:line="357" w:lineRule="auto"/>
        <w:ind w:left="514" w:right="1572" w:hanging="360"/>
        <w:jc w:val="left"/>
      </w:pPr>
      <w:r>
        <w:rPr/>
        <w:t>本公司提供服务的会计期间，将根据设定提存计划计算的应缴存金额确认为负债，并计入当期损益或相关资产成本。 本公司按照国家规定的标准定期缴付上述款项后，不再有其他的支付义务。</w:t>
      </w:r>
    </w:p>
    <w:p>
      <w:pPr>
        <w:spacing w:line="240" w:lineRule="auto" w:before="1"/>
        <w:rPr>
          <w:rFonts w:ascii="宋体" w:hAnsi="宋体" w:cs="宋体" w:eastAsia="宋体" w:hint="default"/>
          <w:sz w:val="20"/>
          <w:szCs w:val="20"/>
        </w:rPr>
      </w:pPr>
    </w:p>
    <w:p>
      <w:pPr>
        <w:pStyle w:val="Heading3"/>
        <w:spacing w:line="240" w:lineRule="auto"/>
        <w:ind w:right="1134"/>
        <w:jc w:val="left"/>
        <w:rPr>
          <w:b w:val="0"/>
          <w:bCs w:val="0"/>
        </w:rPr>
      </w:pPr>
      <w:bookmarkStart w:name="（3）辞退福利的会计处理方法" w:id="197"/>
      <w:bookmarkEnd w:id="197"/>
      <w:r>
        <w:rPr>
          <w:b w:val="0"/>
          <w:bCs w:val="0"/>
        </w:rPr>
      </w:r>
      <w:r>
        <w:rPr/>
        <w:t>（</w:t>
      </w:r>
      <w:r>
        <w:rPr>
          <w:rFonts w:ascii="Times New Roman" w:hAnsi="Times New Roman" w:cs="Times New Roman" w:eastAsia="Times New Roman" w:hint="default"/>
        </w:rPr>
        <w:t>3</w:t>
      </w:r>
      <w:r>
        <w:rPr/>
        <w:t>）辞退福利的会计处理方法</w:t>
      </w:r>
      <w:r>
        <w:rPr>
          <w:b w:val="0"/>
          <w:bCs w:val="0"/>
        </w:rPr>
      </w:r>
    </w:p>
    <w:p>
      <w:pPr>
        <w:spacing w:line="240" w:lineRule="auto" w:before="7"/>
        <w:rPr>
          <w:rFonts w:ascii="宋体" w:hAnsi="宋体" w:cs="宋体" w:eastAsia="宋体" w:hint="default"/>
          <w:b/>
          <w:bCs/>
          <w:sz w:val="26"/>
          <w:szCs w:val="26"/>
        </w:rPr>
      </w:pPr>
    </w:p>
    <w:p>
      <w:pPr>
        <w:pStyle w:val="BodyText"/>
        <w:spacing w:line="319" w:lineRule="auto"/>
        <w:ind w:right="0" w:firstLine="360"/>
        <w:jc w:val="left"/>
      </w:pPr>
      <w:r>
        <w:rPr/>
        <w:t>辞退福利是指本公司在职工劳动合同到期之前解除与职工的劳动关系，或者为鼓励职工自愿接受裁减而给予职工的补 </w:t>
      </w:r>
      <w:r>
        <w:rPr>
          <w:spacing w:val="-2"/>
        </w:rPr>
        <w:t>偿，在本公司不能单方面撤回解除劳动关系计划或裁减建议时和确认与涉及支付辞退福利的重组相关的成本费用时两者孰早</w:t>
      </w:r>
      <w:r>
        <w:rPr>
          <w:spacing w:val="-64"/>
        </w:rPr>
        <w:t> </w:t>
      </w:r>
      <w:r>
        <w:rPr>
          <w:spacing w:val="-64"/>
        </w:rPr>
      </w:r>
      <w:r>
        <w:rPr/>
        <w:t>日，确认因解除与职工的劳动关系给予补偿而产生的负债，同时计入当期损益。</w:t>
      </w:r>
    </w:p>
    <w:p>
      <w:pPr>
        <w:pStyle w:val="BodyText"/>
        <w:spacing w:line="319" w:lineRule="auto" w:before="57"/>
        <w:ind w:right="0" w:firstLine="360"/>
        <w:jc w:val="left"/>
      </w:pPr>
      <w:r>
        <w:rPr>
          <w:spacing w:val="-2"/>
        </w:rPr>
        <w:t>本公司向接受内部退休安排的职工提供内退福利。内退福利是指，向未达到国家规定的退休年龄、经本公司管理层批准</w:t>
      </w:r>
      <w:r>
        <w:rPr/>
        <w:t> </w:t>
      </w:r>
      <w:r>
        <w:rPr>
          <w:spacing w:val="-2"/>
        </w:rPr>
        <w:t>自愿退出工作岗位的职工支付的工资及为其缴纳的社会保险费等。本公司自内部退休安排开始之日起至职工达到正常退休年</w:t>
      </w:r>
      <w:r>
        <w:rPr>
          <w:spacing w:val="-64"/>
        </w:rPr>
        <w:t> </w:t>
      </w:r>
      <w:r>
        <w:rPr>
          <w:spacing w:val="-64"/>
        </w:rPr>
      </w:r>
      <w:r>
        <w:rPr>
          <w:spacing w:val="-4"/>
        </w:rPr>
        <w:t>龄止，向内退职工支付内部退养福利。对于内退福利，本公司比照辞退福利进行会计处理，在符合辞退福利相关确认条件时，</w:t>
      </w:r>
      <w:r>
        <w:rPr>
          <w:spacing w:val="-45"/>
        </w:rPr>
        <w:t> </w:t>
      </w:r>
      <w:r>
        <w:rPr>
          <w:spacing w:val="-45"/>
        </w:rPr>
      </w:r>
      <w:r>
        <w:rPr>
          <w:spacing w:val="-2"/>
        </w:rPr>
        <w:t>将自职工停止提供服务日至正常退休日期间拟支付的内退职工工资和缴纳的社会保险费等，确认为负债，一次性计入当期损</w:t>
      </w:r>
      <w:r>
        <w:rPr>
          <w:spacing w:val="-64"/>
        </w:rPr>
        <w:t> </w:t>
      </w:r>
      <w:r>
        <w:rPr>
          <w:spacing w:val="-64"/>
        </w:rPr>
      </w:r>
      <w:r>
        <w:rPr/>
        <w:t>益。内退福利的精算假设变化及福利标准调整引起的差异于发生时计入当期损益。</w:t>
      </w:r>
    </w:p>
    <w:p>
      <w:pPr>
        <w:spacing w:line="240" w:lineRule="auto" w:before="3"/>
        <w:rPr>
          <w:rFonts w:ascii="宋体" w:hAnsi="宋体" w:cs="宋体" w:eastAsia="宋体" w:hint="default"/>
          <w:sz w:val="22"/>
          <w:szCs w:val="22"/>
        </w:rPr>
      </w:pPr>
    </w:p>
    <w:p>
      <w:pPr>
        <w:pStyle w:val="Heading3"/>
        <w:spacing w:line="240" w:lineRule="auto"/>
        <w:ind w:right="1134"/>
        <w:jc w:val="left"/>
        <w:rPr>
          <w:b w:val="0"/>
          <w:bCs w:val="0"/>
        </w:rPr>
      </w:pPr>
      <w:bookmarkStart w:name="（4）其他长期职工福利的会计处理方法" w:id="198"/>
      <w:bookmarkEnd w:id="198"/>
      <w:r>
        <w:rPr>
          <w:b w:val="0"/>
          <w:bCs w:val="0"/>
        </w:rPr>
      </w:r>
      <w:r>
        <w:rPr/>
        <w:t>（</w:t>
      </w:r>
      <w:r>
        <w:rPr>
          <w:rFonts w:ascii="Times New Roman" w:hAnsi="Times New Roman" w:cs="Times New Roman" w:eastAsia="Times New Roman" w:hint="default"/>
        </w:rPr>
        <w:t>4</w:t>
      </w:r>
      <w:r>
        <w:rPr/>
        <w:t>）其他长期职工福利的会计处理方法</w:t>
      </w:r>
      <w:r>
        <w:rPr>
          <w:b w:val="0"/>
          <w:bCs w:val="0"/>
        </w:rPr>
      </w:r>
    </w:p>
    <w:p>
      <w:pPr>
        <w:spacing w:line="240" w:lineRule="auto" w:before="8"/>
        <w:rPr>
          <w:rFonts w:ascii="宋体" w:hAnsi="宋体" w:cs="宋体" w:eastAsia="宋体" w:hint="default"/>
          <w:b/>
          <w:bCs/>
          <w:sz w:val="26"/>
          <w:szCs w:val="26"/>
        </w:rPr>
      </w:pPr>
    </w:p>
    <w:p>
      <w:pPr>
        <w:pStyle w:val="BodyText"/>
        <w:spacing w:line="319" w:lineRule="auto"/>
        <w:ind w:right="0" w:firstLine="360"/>
        <w:jc w:val="left"/>
      </w:pPr>
      <w:r>
        <w:rPr>
          <w:spacing w:val="-2"/>
        </w:rPr>
        <w:t>其他长期职工福利是指除短期薪酬、离职后福利、辞退福利之外的其他所有职工福利。本公司向职工提供的其他长期职</w:t>
      </w:r>
      <w:r>
        <w:rPr/>
        <w:t> 工福利，符合设定提存计划条件的，按照设定提存计划的有关规定进行处理。</w:t>
      </w:r>
    </w:p>
    <w:p>
      <w:pPr>
        <w:spacing w:line="240" w:lineRule="auto" w:before="3"/>
        <w:rPr>
          <w:rFonts w:ascii="宋体" w:hAnsi="宋体" w:cs="宋体" w:eastAsia="宋体" w:hint="default"/>
          <w:sz w:val="22"/>
          <w:szCs w:val="22"/>
        </w:rPr>
      </w:pPr>
    </w:p>
    <w:p>
      <w:pPr>
        <w:pStyle w:val="Heading3"/>
        <w:spacing w:line="240" w:lineRule="auto"/>
        <w:ind w:right="1134"/>
        <w:jc w:val="left"/>
        <w:rPr>
          <w:b w:val="0"/>
          <w:bCs w:val="0"/>
        </w:rPr>
      </w:pPr>
      <w:bookmarkStart w:name="22、预计负债" w:id="199"/>
      <w:bookmarkEnd w:id="199"/>
      <w:r>
        <w:rPr>
          <w:b w:val="0"/>
          <w:bCs w:val="0"/>
        </w:rPr>
      </w:r>
      <w:r>
        <w:rPr>
          <w:rFonts w:ascii="Times New Roman" w:hAnsi="Times New Roman" w:cs="Times New Roman" w:eastAsia="Times New Roman" w:hint="default"/>
        </w:rPr>
        <w:t>22</w:t>
      </w:r>
      <w:r>
        <w:rPr/>
        <w:t>、预计负债</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left="514" w:right="4812"/>
        <w:jc w:val="left"/>
      </w:pPr>
      <w:r>
        <w:rPr>
          <w:rFonts w:ascii="宋体" w:hAnsi="宋体" w:cs="宋体" w:eastAsia="宋体" w:hint="default"/>
        </w:rPr>
        <w:t>1.</w:t>
      </w:r>
      <w:r>
        <w:rPr/>
        <w:t>预计负债的确认标准 与或有事项相关的义务同时满足下列条件时，本公司确认为预计负债： 该义务是本公司承担的现时义务； 履行该义务很可能导致经济利益流出本公司； 该义务的金额能够可靠地计量。</w:t>
      </w:r>
    </w:p>
    <w:p>
      <w:pPr>
        <w:pStyle w:val="BodyText"/>
        <w:spacing w:line="360" w:lineRule="auto" w:before="28"/>
        <w:ind w:left="514" w:right="4272"/>
        <w:jc w:val="left"/>
      </w:pPr>
      <w:r>
        <w:rPr>
          <w:rFonts w:ascii="宋体" w:hAnsi="宋体" w:cs="宋体" w:eastAsia="宋体" w:hint="default"/>
        </w:rPr>
        <w:t>2.</w:t>
      </w:r>
      <w:r>
        <w:rPr/>
        <w:t>预计负债的计量方法 本公司预计负债按履行相关现时义务所需的支出的最佳估计数进行初始计量。</w:t>
      </w:r>
    </w:p>
    <w:p>
      <w:pPr>
        <w:pStyle w:val="BodyText"/>
        <w:spacing w:line="240" w:lineRule="auto" w:before="25"/>
        <w:ind w:left="514" w:right="0"/>
        <w:jc w:val="left"/>
      </w:pPr>
      <w:r>
        <w:rPr/>
        <w:t>本公司在确定最佳估计数时，综合考虑与或有事项有关的风险、不确定性和货币时间价值等因素。对于货币时间价值影</w:t>
      </w:r>
    </w:p>
    <w:p>
      <w:pPr>
        <w:spacing w:after="0" w:line="2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357" w:lineRule="auto" w:before="44"/>
        <w:ind w:left="514" w:right="5532" w:hanging="360"/>
        <w:jc w:val="left"/>
      </w:pPr>
      <w:r>
        <w:rPr/>
        <w:t>响重大的，通过对相关未来现金流出进行折现后确定最佳估计数。 最佳估计数分别以下情况处理：</w:t>
      </w:r>
    </w:p>
    <w:p>
      <w:pPr>
        <w:pStyle w:val="BodyText"/>
        <w:spacing w:line="319" w:lineRule="auto" w:before="28"/>
        <w:ind w:right="1131" w:firstLine="360"/>
        <w:jc w:val="both"/>
      </w:pPr>
      <w:r>
        <w:rPr>
          <w:spacing w:val="-2"/>
        </w:rPr>
        <w:t>所需支出存在一个连续范围（或区间），且该范围内各种结果发生的可能性相同的，则最佳估计数按照该范围的中间值</w:t>
      </w:r>
      <w:r>
        <w:rPr/>
        <w:t> 即上下限金额的平均数确定。</w:t>
      </w:r>
    </w:p>
    <w:p>
      <w:pPr>
        <w:pStyle w:val="BodyText"/>
        <w:spacing w:line="319" w:lineRule="auto" w:before="56"/>
        <w:ind w:right="1131" w:firstLine="360"/>
        <w:jc w:val="both"/>
      </w:pPr>
      <w:r>
        <w:rPr>
          <w:spacing w:val="-2"/>
        </w:rPr>
        <w:t>所需支出不存在一个连续范围（或区间），或虽然存在一个连续范围但该范围内各种结果发生的可能性不相同的，如或</w:t>
      </w:r>
      <w:r>
        <w:rPr/>
        <w:t> </w:t>
      </w:r>
      <w:r>
        <w:rPr>
          <w:spacing w:val="-2"/>
        </w:rPr>
        <w:t>有事项涉及单个项目的，则最佳估计数按照最可能发生金额确定；如或有事项涉及多个项目的，则最佳估计数按各种可能结</w:t>
      </w:r>
      <w:r>
        <w:rPr>
          <w:spacing w:val="-66"/>
        </w:rPr>
        <w:t> </w:t>
      </w:r>
      <w:r>
        <w:rPr>
          <w:spacing w:val="-66"/>
        </w:rPr>
      </w:r>
      <w:r>
        <w:rPr/>
        <w:t>果及相关概率计算确定。</w:t>
      </w:r>
    </w:p>
    <w:p>
      <w:pPr>
        <w:pStyle w:val="BodyText"/>
        <w:spacing w:line="319" w:lineRule="auto" w:before="55"/>
        <w:ind w:right="1050" w:firstLine="360"/>
        <w:jc w:val="both"/>
      </w:pPr>
      <w:r>
        <w:rPr/>
        <w:t>本公司清偿预计负债所需支出全部或部分预期由第三方补偿的，补偿金额在基本确定能够收到时，作为资产单独确认， 确认的补偿金额不超过预计负债的账面价值。</w:t>
      </w:r>
    </w:p>
    <w:p>
      <w:pPr>
        <w:spacing w:line="240" w:lineRule="auto" w:before="4"/>
        <w:rPr>
          <w:rFonts w:ascii="宋体" w:hAnsi="宋体" w:cs="宋体" w:eastAsia="宋体" w:hint="default"/>
          <w:sz w:val="22"/>
          <w:szCs w:val="22"/>
        </w:rPr>
      </w:pPr>
    </w:p>
    <w:p>
      <w:pPr>
        <w:pStyle w:val="Heading3"/>
        <w:spacing w:line="240" w:lineRule="auto"/>
        <w:ind w:right="1134"/>
        <w:jc w:val="left"/>
        <w:rPr>
          <w:b w:val="0"/>
          <w:bCs w:val="0"/>
        </w:rPr>
      </w:pPr>
      <w:bookmarkStart w:name="23、收入" w:id="200"/>
      <w:bookmarkEnd w:id="200"/>
      <w:r>
        <w:rPr>
          <w:b w:val="0"/>
          <w:bCs w:val="0"/>
        </w:rPr>
      </w:r>
      <w:r>
        <w:rPr>
          <w:rFonts w:ascii="Times New Roman" w:hAnsi="Times New Roman" w:cs="Times New Roman" w:eastAsia="Times New Roman" w:hint="default"/>
        </w:rPr>
        <w:t>23</w:t>
      </w:r>
      <w:r>
        <w:rPr/>
        <w:t>、收入</w:t>
      </w:r>
      <w:r>
        <w:rPr>
          <w:b w:val="0"/>
          <w:bCs w:val="0"/>
        </w:rPr>
      </w:r>
    </w:p>
    <w:p>
      <w:pPr>
        <w:spacing w:line="240" w:lineRule="auto" w:before="8"/>
        <w:rPr>
          <w:rFonts w:ascii="宋体" w:hAnsi="宋体" w:cs="宋体" w:eastAsia="宋体" w:hint="default"/>
          <w:b/>
          <w:bCs/>
          <w:sz w:val="26"/>
          <w:szCs w:val="26"/>
        </w:rPr>
      </w:pPr>
    </w:p>
    <w:p>
      <w:pPr>
        <w:pStyle w:val="BodyText"/>
        <w:spacing w:line="360" w:lineRule="auto"/>
        <w:ind w:right="7692"/>
        <w:jc w:val="left"/>
      </w:pPr>
      <w:r>
        <w:rPr/>
        <w:t>公司是否需要遵守特殊行业的披露要求 否</w:t>
      </w:r>
    </w:p>
    <w:p>
      <w:pPr>
        <w:pStyle w:val="BodyText"/>
        <w:spacing w:line="357" w:lineRule="auto" w:before="26"/>
        <w:ind w:left="514" w:right="0"/>
        <w:jc w:val="left"/>
      </w:pPr>
      <w:r>
        <w:rPr>
          <w:rFonts w:ascii="宋体" w:hAnsi="宋体" w:cs="宋体" w:eastAsia="宋体" w:hint="default"/>
        </w:rPr>
        <w:t>1.</w:t>
      </w:r>
      <w:r>
        <w:rPr/>
        <w:t>销售商品收入确认时间的具体判断标准 </w:t>
      </w:r>
      <w:r>
        <w:rPr>
          <w:spacing w:val="-2"/>
        </w:rPr>
        <w:t>公司已将商品所有权上的主要风险和报酬转移给购买方；公司既没有保留与所有权相联系的继续管理权，也没有对已售</w:t>
      </w:r>
    </w:p>
    <w:p>
      <w:pPr>
        <w:pStyle w:val="BodyText"/>
        <w:spacing w:line="224" w:lineRule="exact"/>
        <w:ind w:right="0"/>
        <w:jc w:val="left"/>
      </w:pPr>
      <w:r>
        <w:rPr/>
        <w:t>出的商品实施有效控制；收入的金额能够可靠地计量；相关的经济利益很可能流入企业；相关的已发生或将发生的成本能够</w:t>
      </w:r>
    </w:p>
    <w:p>
      <w:pPr>
        <w:pStyle w:val="BodyText"/>
        <w:spacing w:line="357" w:lineRule="auto" w:before="77"/>
        <w:ind w:left="514" w:right="0" w:hanging="360"/>
        <w:jc w:val="left"/>
      </w:pPr>
      <w:r>
        <w:rPr/>
        <w:t>可靠地计量时，确认商品销售收入实现。 </w:t>
      </w:r>
      <w:r>
        <w:rPr>
          <w:spacing w:val="-2"/>
        </w:rPr>
        <w:t>设备内销收入：公司在销售合同或销售订单签订后，按约定向客户发货，设备送达客户指定的交货地点，不需要安装调</w:t>
      </w:r>
    </w:p>
    <w:p>
      <w:pPr>
        <w:pStyle w:val="BodyText"/>
        <w:spacing w:line="224" w:lineRule="exact"/>
        <w:ind w:right="0"/>
        <w:jc w:val="left"/>
      </w:pPr>
      <w:r>
        <w:rPr/>
        <w:t>试或验收的，在取得客户签字确认的签收单后，根据签收单上的客户签收日期作为设备销售收入确认的时点；需要安装调试</w:t>
      </w:r>
    </w:p>
    <w:p>
      <w:pPr>
        <w:pStyle w:val="BodyText"/>
        <w:spacing w:line="319" w:lineRule="auto" w:before="76"/>
        <w:ind w:right="1118"/>
        <w:jc w:val="left"/>
      </w:pPr>
      <w:r>
        <w:rPr>
          <w:spacing w:val="-2"/>
        </w:rPr>
        <w:t>或验收的，在取得客户出具的安装调试报告或验收单后，根据安装调试报告或验收单的确认日期作为设备销售收入确认的时</w:t>
      </w:r>
      <w:r>
        <w:rPr>
          <w:spacing w:val="-63"/>
        </w:rPr>
        <w:t> </w:t>
      </w:r>
      <w:r>
        <w:rPr>
          <w:spacing w:val="-63"/>
        </w:rPr>
      </w:r>
      <w:r>
        <w:rPr/>
        <w:t>点。</w:t>
      </w:r>
    </w:p>
    <w:p>
      <w:pPr>
        <w:pStyle w:val="BodyText"/>
        <w:spacing w:line="357" w:lineRule="auto" w:before="56"/>
        <w:ind w:left="514" w:right="0"/>
        <w:jc w:val="left"/>
      </w:pPr>
      <w:r>
        <w:rPr/>
        <w:t>设备外销收入：根据合同中相关权利和义务的约定，订单货物已经报关离岸时确认销售收入的实现。 </w:t>
      </w:r>
      <w:r>
        <w:rPr>
          <w:spacing w:val="-2"/>
        </w:rPr>
        <w:t>合同或协议价款的收取采用递延方式，实质上具有融资性质的，按照应收的合同或协议价款的公允价值确定销售商品收</w:t>
      </w:r>
    </w:p>
    <w:p>
      <w:pPr>
        <w:pStyle w:val="BodyText"/>
        <w:spacing w:line="225" w:lineRule="exact"/>
        <w:ind w:right="1134"/>
        <w:jc w:val="left"/>
      </w:pPr>
      <w:r>
        <w:rPr/>
        <w:t>入金额。</w:t>
      </w:r>
    </w:p>
    <w:p>
      <w:pPr>
        <w:pStyle w:val="BodyText"/>
        <w:spacing w:line="357" w:lineRule="auto" w:before="117"/>
        <w:ind w:left="514" w:right="1032"/>
        <w:jc w:val="left"/>
      </w:pPr>
      <w:r>
        <w:rPr>
          <w:rFonts w:ascii="宋体" w:hAnsi="宋体" w:cs="宋体" w:eastAsia="宋体" w:hint="default"/>
        </w:rPr>
        <w:t>2.</w:t>
      </w:r>
      <w:r>
        <w:rPr/>
        <w:t>确认让渡资产使用权收入的依据 与交易相关的经济利益很可能流入企业，收入的金额能够可靠地计量时，分别下列情况确定让渡资产使用权收入金额：</w:t>
      </w:r>
    </w:p>
    <w:p>
      <w:pPr>
        <w:pStyle w:val="BodyText"/>
        <w:spacing w:line="240" w:lineRule="auto" w:before="28"/>
        <w:ind w:left="514" w:right="1134"/>
        <w:jc w:val="left"/>
      </w:pPr>
      <w:r>
        <w:rPr/>
        <w:t>（</w:t>
      </w:r>
      <w:r>
        <w:rPr>
          <w:rFonts w:ascii="宋体" w:hAnsi="宋体" w:cs="宋体" w:eastAsia="宋体" w:hint="default"/>
        </w:rPr>
        <w:t>1</w:t>
      </w:r>
      <w:r>
        <w:rPr/>
        <w:t>）利息收入金额，按照他人使用本企业货币资金的时间和实际利率计算确定。</w:t>
      </w:r>
    </w:p>
    <w:p>
      <w:pPr>
        <w:pStyle w:val="BodyText"/>
        <w:spacing w:line="357" w:lineRule="auto" w:before="117"/>
        <w:ind w:left="514" w:right="4182"/>
        <w:jc w:val="left"/>
      </w:pPr>
      <w:r>
        <w:rPr/>
        <w:t>（</w:t>
      </w:r>
      <w:r>
        <w:rPr>
          <w:rFonts w:ascii="宋体" w:hAnsi="宋体" w:cs="宋体" w:eastAsia="宋体" w:hint="default"/>
        </w:rPr>
        <w:t>2</w:t>
      </w:r>
      <w:r>
        <w:rPr/>
        <w:t>）使用费收入金额，按照有关合同或协议约定的收费时间和方法计算确定。 </w:t>
      </w:r>
      <w:r>
        <w:rPr>
          <w:rFonts w:ascii="宋体" w:hAnsi="宋体" w:cs="宋体" w:eastAsia="宋体" w:hint="default"/>
        </w:rPr>
        <w:t>3.</w:t>
      </w:r>
      <w:r>
        <w:rPr/>
        <w:t>提供劳务收入的确认依据和方法</w:t>
      </w:r>
    </w:p>
    <w:p>
      <w:pPr>
        <w:pStyle w:val="BodyText"/>
        <w:spacing w:line="319" w:lineRule="auto" w:before="26"/>
        <w:ind w:right="0" w:firstLine="360"/>
        <w:jc w:val="left"/>
      </w:pPr>
      <w:r>
        <w:rPr>
          <w:spacing w:val="-4"/>
        </w:rPr>
        <w:t>在资产负债表日提供劳务交易的结果能够可靠估计的，采用完工百分比法确认提供劳务收入。提供劳务交易的完工进度，</w:t>
      </w:r>
      <w:r>
        <w:rPr/>
        <w:t> 依据已完工作的测量确定。</w:t>
      </w:r>
    </w:p>
    <w:p>
      <w:pPr>
        <w:pStyle w:val="BodyText"/>
        <w:spacing w:line="240" w:lineRule="auto" w:before="58"/>
        <w:ind w:left="514" w:right="1134"/>
        <w:jc w:val="left"/>
      </w:pPr>
      <w:r>
        <w:rPr/>
        <w:t>提供劳务交易的结果能够可靠估计，是指同时满足下列条件：</w:t>
      </w:r>
    </w:p>
    <w:p>
      <w:pPr>
        <w:pStyle w:val="BodyText"/>
        <w:spacing w:line="240" w:lineRule="auto" w:before="116"/>
        <w:ind w:left="514" w:right="1134"/>
        <w:jc w:val="left"/>
      </w:pPr>
      <w:r>
        <w:rPr/>
        <w:t>（</w:t>
      </w:r>
      <w:r>
        <w:rPr>
          <w:rFonts w:ascii="宋体" w:hAnsi="宋体" w:cs="宋体" w:eastAsia="宋体" w:hint="default"/>
        </w:rPr>
        <w:t>1</w:t>
      </w:r>
      <w:r>
        <w:rPr/>
        <w:t>）收入的金额能够可靠地计量；</w:t>
      </w:r>
    </w:p>
    <w:p>
      <w:pPr>
        <w:pStyle w:val="BodyText"/>
        <w:spacing w:line="240" w:lineRule="auto" w:before="116"/>
        <w:ind w:left="514" w:right="1134"/>
        <w:jc w:val="left"/>
      </w:pPr>
      <w:r>
        <w:rPr/>
        <w:t>（</w:t>
      </w:r>
      <w:r>
        <w:rPr>
          <w:rFonts w:ascii="宋体" w:hAnsi="宋体" w:cs="宋体" w:eastAsia="宋体" w:hint="default"/>
        </w:rPr>
        <w:t>2</w:t>
      </w:r>
      <w:r>
        <w:rPr/>
        <w:t>）相关的经济利益很可能流入企业；</w:t>
      </w:r>
    </w:p>
    <w:p>
      <w:pPr>
        <w:pStyle w:val="BodyText"/>
        <w:spacing w:line="240" w:lineRule="auto" w:before="117"/>
        <w:ind w:left="514" w:right="1134"/>
        <w:jc w:val="left"/>
      </w:pPr>
      <w:r>
        <w:rPr/>
        <w:t>（</w:t>
      </w:r>
      <w:r>
        <w:rPr>
          <w:rFonts w:ascii="宋体" w:hAnsi="宋体" w:cs="宋体" w:eastAsia="宋体" w:hint="default"/>
        </w:rPr>
        <w:t>3</w:t>
      </w:r>
      <w:r>
        <w:rPr/>
        <w:t>）交易的完工进度能够可靠地确定；</w:t>
      </w:r>
    </w:p>
    <w:p>
      <w:pPr>
        <w:pStyle w:val="BodyText"/>
        <w:spacing w:line="357" w:lineRule="auto" w:before="116"/>
        <w:ind w:left="514" w:right="0"/>
        <w:jc w:val="left"/>
      </w:pPr>
      <w:r>
        <w:rPr/>
        <w:t>（</w:t>
      </w:r>
      <w:r>
        <w:rPr>
          <w:rFonts w:ascii="宋体" w:hAnsi="宋体" w:cs="宋体" w:eastAsia="宋体" w:hint="default"/>
        </w:rPr>
        <w:t>4</w:t>
      </w:r>
      <w:r>
        <w:rPr/>
        <w:t>）交易中已发生和将发生的成本能够可靠地计量。 </w:t>
      </w:r>
      <w:r>
        <w:rPr>
          <w:spacing w:val="-2"/>
        </w:rPr>
        <w:t>按照已收或应收的合同或协议价款确定提供劳务收入总额，但已收或应收的合同或协议价款不公允的除外。资产负债表</w:t>
      </w:r>
    </w:p>
    <w:p>
      <w:pPr>
        <w:pStyle w:val="BodyText"/>
        <w:spacing w:line="224" w:lineRule="exact"/>
        <w:ind w:right="0"/>
        <w:jc w:val="left"/>
      </w:pPr>
      <w:r>
        <w:rPr/>
        <w:t>日按照提供劳务收入总额乘以完工进度扣除以前会计期间累计已确认提供劳务收入后的金额</w:t>
      </w:r>
      <w:r>
        <w:rPr>
          <w:spacing w:val="-87"/>
        </w:rPr>
        <w:t>，</w:t>
      </w:r>
      <w:r>
        <w:rPr/>
        <w:t>确认当期提供劳务收入</w:t>
      </w:r>
      <w:r>
        <w:rPr>
          <w:spacing w:val="-87"/>
        </w:rPr>
        <w:t>；</w:t>
      </w:r>
      <w:r>
        <w:rPr/>
        <w:t>同时，</w:t>
      </w:r>
    </w:p>
    <w:p>
      <w:pPr>
        <w:pStyle w:val="BodyText"/>
        <w:spacing w:line="360" w:lineRule="auto" w:before="77"/>
        <w:ind w:left="514" w:right="2112" w:hanging="360"/>
        <w:jc w:val="left"/>
      </w:pPr>
      <w:r>
        <w:rPr/>
        <w:t>按照提供劳务估计总成本乘以完工进度扣除以前会计期间累计已确认劳务成本后的金额，结转当期劳务成本。 在资产负债表日提供劳务交易结果不能够可靠估计的，分别下列情况处理：</w:t>
      </w:r>
    </w:p>
    <w:p>
      <w:pPr>
        <w:spacing w:after="0" w:line="36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9" w:lineRule="auto" w:before="44"/>
        <w:ind w:right="1122" w:firstLine="360"/>
        <w:jc w:val="left"/>
      </w:pPr>
      <w:r>
        <w:rPr/>
        <w:t>（</w:t>
      </w:r>
      <w:r>
        <w:rPr>
          <w:rFonts w:ascii="宋体" w:hAnsi="宋体" w:cs="宋体" w:eastAsia="宋体" w:hint="default"/>
        </w:rPr>
        <w:t>1</w:t>
      </w:r>
      <w:r>
        <w:rPr/>
        <w:t>）已经发生的劳务成本预计能够得到补偿的，按照已经发生的劳务成本金额确认提供劳务收入，并按相同金额结转 劳务成本。</w:t>
      </w:r>
    </w:p>
    <w:p>
      <w:pPr>
        <w:pStyle w:val="BodyText"/>
        <w:spacing w:line="357" w:lineRule="auto" w:before="56"/>
        <w:ind w:left="514" w:right="0"/>
        <w:jc w:val="left"/>
      </w:pPr>
      <w:r>
        <w:rPr/>
        <w:t>（</w:t>
      </w:r>
      <w:r>
        <w:rPr>
          <w:rFonts w:ascii="宋体" w:hAnsi="宋体" w:cs="宋体" w:eastAsia="宋体" w:hint="default"/>
        </w:rPr>
        <w:t>2</w:t>
      </w:r>
      <w:r>
        <w:rPr/>
        <w:t>）已经发生的劳务成本预计不能够得到补偿的，将已经发生的劳务成本计入当期损益，不确认提供劳务收入。 </w:t>
      </w:r>
      <w:r>
        <w:rPr>
          <w:spacing w:val="-2"/>
        </w:rPr>
        <w:t>本公司与其他企业签订的合同或协议包括销售商品和提供劳务时，销售商品部分和提供劳务部分能够区分且能够单独计</w:t>
      </w:r>
    </w:p>
    <w:p>
      <w:pPr>
        <w:pStyle w:val="BodyText"/>
        <w:spacing w:line="224" w:lineRule="exact"/>
        <w:ind w:right="0"/>
        <w:jc w:val="left"/>
      </w:pPr>
      <w:r>
        <w:rPr/>
        <w:t>量的，将销售商品的部分作为销售商品处理，将提供劳务的部分作为提供劳务处理。销售商品部分和提供劳务部分不能够区</w:t>
      </w:r>
    </w:p>
    <w:p>
      <w:pPr>
        <w:pStyle w:val="BodyText"/>
        <w:spacing w:line="240" w:lineRule="auto" w:before="77"/>
        <w:ind w:right="1134"/>
        <w:jc w:val="left"/>
      </w:pPr>
      <w:r>
        <w:rPr/>
        <w:t>分，或虽能区分但不能够单独计量的，将销售商品部分和提供劳务部分全部作为销售商品处理。</w:t>
      </w:r>
    </w:p>
    <w:p>
      <w:pPr>
        <w:spacing w:line="240" w:lineRule="auto" w:before="10"/>
        <w:rPr>
          <w:rFonts w:ascii="宋体" w:hAnsi="宋体" w:cs="宋体" w:eastAsia="宋体" w:hint="default"/>
          <w:sz w:val="26"/>
          <w:szCs w:val="26"/>
        </w:rPr>
      </w:pPr>
    </w:p>
    <w:p>
      <w:pPr>
        <w:pStyle w:val="Heading3"/>
        <w:spacing w:line="240" w:lineRule="auto"/>
        <w:ind w:right="1134"/>
        <w:jc w:val="left"/>
        <w:rPr>
          <w:b w:val="0"/>
          <w:bCs w:val="0"/>
        </w:rPr>
      </w:pPr>
      <w:bookmarkStart w:name="24、政府补助" w:id="201"/>
      <w:bookmarkEnd w:id="201"/>
      <w:r>
        <w:rPr>
          <w:b w:val="0"/>
          <w:bCs w:val="0"/>
        </w:rPr>
      </w:r>
      <w:r>
        <w:rPr>
          <w:rFonts w:ascii="Times New Roman" w:hAnsi="Times New Roman" w:cs="Times New Roman" w:eastAsia="Times New Roman" w:hint="default"/>
        </w:rPr>
        <w:t>24</w:t>
      </w:r>
      <w:r>
        <w:rPr/>
        <w:t>、政府补助</w:t>
      </w:r>
      <w:r>
        <w:rPr>
          <w:b w:val="0"/>
          <w:bCs w:val="0"/>
        </w:rPr>
      </w:r>
    </w:p>
    <w:p>
      <w:pPr>
        <w:spacing w:line="240" w:lineRule="auto" w:before="9"/>
        <w:rPr>
          <w:rFonts w:ascii="宋体" w:hAnsi="宋体" w:cs="宋体" w:eastAsia="宋体" w:hint="default"/>
          <w:b/>
          <w:bCs/>
          <w:sz w:val="26"/>
          <w:szCs w:val="26"/>
        </w:rPr>
      </w:pPr>
    </w:p>
    <w:p>
      <w:pPr>
        <w:pStyle w:val="BodyText"/>
        <w:spacing w:line="357" w:lineRule="auto"/>
        <w:ind w:left="514" w:right="1118"/>
        <w:jc w:val="left"/>
      </w:pPr>
      <w:r>
        <w:rPr>
          <w:rFonts w:ascii="宋体" w:hAnsi="宋体" w:cs="宋体" w:eastAsia="宋体" w:hint="default"/>
        </w:rPr>
        <w:t>1.</w:t>
      </w:r>
      <w:r>
        <w:rPr/>
        <w:t>类型 </w:t>
      </w:r>
      <w:r>
        <w:rPr>
          <w:spacing w:val="-2"/>
        </w:rPr>
        <w:t>政府补助，是本公司从政府无偿取得的货币性资产与非货币性资产。根据相关政府文件规定的补助对象，将政府补助划</w:t>
      </w:r>
    </w:p>
    <w:p>
      <w:pPr>
        <w:pStyle w:val="BodyText"/>
        <w:spacing w:line="357" w:lineRule="auto"/>
        <w:ind w:left="514" w:right="0" w:hanging="360"/>
        <w:jc w:val="left"/>
      </w:pPr>
      <w:r>
        <w:rPr/>
        <w:t>分为与资产相关的政府补助和与收益相关的政府补助。 </w:t>
      </w:r>
      <w:r>
        <w:rPr>
          <w:spacing w:val="-4"/>
        </w:rPr>
        <w:t>与资产相关的政府补助，是指本公司取得的、用于购建或以其他方式形成长期资产的政府补助。与收益相关的政府补助，</w:t>
      </w:r>
    </w:p>
    <w:p>
      <w:pPr>
        <w:pStyle w:val="BodyText"/>
        <w:spacing w:line="360" w:lineRule="auto"/>
        <w:ind w:left="514" w:right="6972" w:hanging="360"/>
        <w:jc w:val="left"/>
      </w:pPr>
      <w:r>
        <w:rPr/>
        <w:t>是指除与资产相关的政府补助之外的政府补助。 </w:t>
      </w:r>
      <w:r>
        <w:rPr>
          <w:rFonts w:ascii="宋体" w:hAnsi="宋体" w:cs="宋体" w:eastAsia="宋体" w:hint="default"/>
        </w:rPr>
        <w:t>2.</w:t>
      </w:r>
      <w:r>
        <w:rPr/>
        <w:t>政府补助的确认</w:t>
      </w:r>
    </w:p>
    <w:p>
      <w:pPr>
        <w:pStyle w:val="BodyText"/>
        <w:spacing w:line="319" w:lineRule="auto" w:before="25"/>
        <w:ind w:right="0" w:firstLine="360"/>
        <w:jc w:val="left"/>
      </w:pPr>
      <w:r>
        <w:rPr>
          <w:spacing w:val="-2"/>
        </w:rPr>
        <w:t>对期末有证据表明公司能够符合财政扶持政策规定的相关条件且预计能够收到财政扶持资金的，按应收金额确认政府补</w:t>
      </w:r>
      <w:r>
        <w:rPr/>
        <w:t> 助。除此之外，政府补助均在实际收到时确认。</w:t>
      </w:r>
    </w:p>
    <w:p>
      <w:pPr>
        <w:pStyle w:val="BodyText"/>
        <w:spacing w:line="319" w:lineRule="auto" w:before="55"/>
        <w:ind w:right="0" w:firstLine="360"/>
        <w:jc w:val="left"/>
      </w:pPr>
      <w:r>
        <w:rPr>
          <w:spacing w:val="-2"/>
        </w:rPr>
        <w:t>政府补助为货币性资产的，按照收到或应收的金额计量。政府补助为非货币性资产的，按照公允价值计量；公允价值不</w:t>
      </w:r>
      <w:r>
        <w:rPr/>
        <w:t> 能够可靠取得的，按照名义金额（人民币</w:t>
      </w:r>
      <w:r>
        <w:rPr>
          <w:rFonts w:ascii="宋体" w:hAnsi="宋体" w:cs="宋体" w:eastAsia="宋体" w:hint="default"/>
        </w:rPr>
        <w:t>1</w:t>
      </w:r>
      <w:r>
        <w:rPr/>
        <w:t>元）计量。按照名义金额计量的政府补助，直接计入当期损益。</w:t>
      </w:r>
    </w:p>
    <w:p>
      <w:pPr>
        <w:pStyle w:val="BodyText"/>
        <w:spacing w:line="357" w:lineRule="auto" w:before="58"/>
        <w:ind w:left="514" w:right="0"/>
        <w:jc w:val="left"/>
      </w:pPr>
      <w:r>
        <w:rPr>
          <w:rFonts w:ascii="宋体" w:hAnsi="宋体" w:cs="宋体" w:eastAsia="宋体" w:hint="default"/>
        </w:rPr>
        <w:t>3.</w:t>
      </w:r>
      <w:r>
        <w:rPr/>
        <w:t>会计处理方法 </w:t>
      </w:r>
      <w:r>
        <w:rPr>
          <w:spacing w:val="-2"/>
        </w:rPr>
        <w:t>本公司根据经济业务的实质，确定某一类政府补助业务应当采用总额法还是净额法进行会计处理。通常情况下，本公司</w:t>
      </w:r>
    </w:p>
    <w:p>
      <w:pPr>
        <w:pStyle w:val="BodyText"/>
        <w:spacing w:line="357" w:lineRule="auto"/>
        <w:ind w:left="514" w:right="1032" w:hanging="360"/>
        <w:jc w:val="left"/>
      </w:pPr>
      <w:r>
        <w:rPr/>
        <w:t>对于同类或类似政府补助业务只选用一种方法，且对该业务一贯地运用该方法。本公司选用总额法核算的政府补助。 与资产相关的政府补助，确认为递延收益，按照所建造或购买的资产使用年限内按照合理、系统的方法分期计入损益； </w:t>
      </w:r>
      <w:r>
        <w:rPr>
          <w:spacing w:val="-2"/>
        </w:rPr>
        <w:t>与收益相关的政府补助，用于补偿企业以后期间的相关费用或损失的，确认为递延收益，在确认相关费用或损失的期间</w:t>
      </w:r>
    </w:p>
    <w:p>
      <w:pPr>
        <w:pStyle w:val="BodyText"/>
        <w:spacing w:line="357" w:lineRule="auto"/>
        <w:ind w:left="514" w:right="0" w:hanging="360"/>
        <w:jc w:val="left"/>
      </w:pPr>
      <w:r>
        <w:rPr/>
        <w:t>计入当期损益；用于补偿企业已发生的相关费用或损失的，取得时直接计入当期损益。 与企业日常活动相关的政府补助计入其他收益；与企业日常活动无关的政府补助计入营业外收支。 将财政直接拨付给本公司的贷款贴息冲减财务费用。 </w:t>
      </w:r>
      <w:r>
        <w:rPr>
          <w:spacing w:val="-2"/>
        </w:rPr>
        <w:t>已确认的政府补助需要返还时，存在相关递延收益余额的，冲减相关递延收益账面余额，超出部分计入当期损益；不存</w:t>
      </w:r>
    </w:p>
    <w:p>
      <w:pPr>
        <w:pStyle w:val="BodyText"/>
        <w:spacing w:line="225" w:lineRule="exact"/>
        <w:ind w:right="1134"/>
        <w:jc w:val="left"/>
      </w:pPr>
      <w:r>
        <w:rPr/>
        <w:t>在相关递延收益的，直接计入当期损益。</w:t>
      </w:r>
    </w:p>
    <w:p>
      <w:pPr>
        <w:spacing w:line="240" w:lineRule="auto" w:before="10"/>
        <w:rPr>
          <w:rFonts w:ascii="宋体" w:hAnsi="宋体" w:cs="宋体" w:eastAsia="宋体" w:hint="default"/>
          <w:sz w:val="26"/>
          <w:szCs w:val="26"/>
        </w:rPr>
      </w:pPr>
    </w:p>
    <w:p>
      <w:pPr>
        <w:pStyle w:val="Heading3"/>
        <w:spacing w:line="240" w:lineRule="auto"/>
        <w:ind w:right="1134"/>
        <w:jc w:val="left"/>
        <w:rPr>
          <w:b w:val="0"/>
          <w:bCs w:val="0"/>
        </w:rPr>
      </w:pPr>
      <w:bookmarkStart w:name="25、递延所得税资产/递延所得税负债" w:id="202"/>
      <w:bookmarkEnd w:id="202"/>
      <w:r>
        <w:rPr>
          <w:b w:val="0"/>
          <w:bCs w:val="0"/>
        </w:rPr>
      </w:r>
      <w:r>
        <w:rPr>
          <w:rFonts w:ascii="Times New Roman" w:hAnsi="Times New Roman" w:cs="Times New Roman" w:eastAsia="Times New Roman" w:hint="default"/>
        </w:rPr>
        <w:t>25</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8"/>
        <w:rPr>
          <w:rFonts w:ascii="宋体" w:hAnsi="宋体" w:cs="宋体" w:eastAsia="宋体" w:hint="default"/>
          <w:b/>
          <w:bCs/>
          <w:sz w:val="26"/>
          <w:szCs w:val="26"/>
        </w:rPr>
      </w:pPr>
    </w:p>
    <w:p>
      <w:pPr>
        <w:pStyle w:val="BodyText"/>
        <w:spacing w:line="319" w:lineRule="auto"/>
        <w:ind w:right="0" w:firstLine="360"/>
        <w:jc w:val="left"/>
      </w:pPr>
      <w:r>
        <w:rPr>
          <w:spacing w:val="-2"/>
        </w:rPr>
        <w:t>递延所得税资产和递延所得税负债根据资产和负债的计税基础与其账面价值的差额</w:t>
      </w:r>
      <w:r>
        <w:rPr>
          <w:rFonts w:ascii="宋体" w:hAnsi="宋体" w:cs="宋体" w:eastAsia="宋体" w:hint="default"/>
          <w:spacing w:val="-2"/>
        </w:rPr>
        <w:t>(</w:t>
      </w:r>
      <w:r>
        <w:rPr>
          <w:spacing w:val="-2"/>
        </w:rPr>
        <w:t>暂时性差异</w:t>
      </w:r>
      <w:r>
        <w:rPr>
          <w:rFonts w:ascii="宋体" w:hAnsi="宋体" w:cs="宋体" w:eastAsia="宋体" w:hint="default"/>
          <w:spacing w:val="-2"/>
        </w:rPr>
        <w:t>)</w:t>
      </w:r>
      <w:r>
        <w:rPr>
          <w:spacing w:val="-2"/>
        </w:rPr>
        <w:t>计算确认。于资产负债</w:t>
      </w:r>
      <w:r>
        <w:rPr/>
        <w:t> 表日，递延所得税资产和递延所得税负债，按照预期收回该资产或清偿该负债期间的适用税率计量。</w:t>
      </w:r>
    </w:p>
    <w:p>
      <w:pPr>
        <w:pStyle w:val="BodyText"/>
        <w:spacing w:line="357" w:lineRule="auto" w:before="56"/>
        <w:ind w:left="514" w:right="0"/>
        <w:jc w:val="left"/>
      </w:pPr>
      <w:r>
        <w:rPr>
          <w:rFonts w:ascii="宋体" w:hAnsi="宋体" w:cs="宋体" w:eastAsia="宋体" w:hint="default"/>
        </w:rPr>
        <w:t>1.</w:t>
      </w:r>
      <w:r>
        <w:rPr/>
        <w:t>确认递延所得税资产的依据 </w:t>
      </w:r>
      <w:r>
        <w:rPr>
          <w:spacing w:val="-2"/>
        </w:rPr>
        <w:t>本公司以很可能取得用来抵扣可抵扣暂时性差异、能够结转以后年度的可抵扣亏损和税款抵减的应纳税所得额为限，确</w:t>
      </w:r>
    </w:p>
    <w:p>
      <w:pPr>
        <w:pStyle w:val="BodyText"/>
        <w:spacing w:line="224" w:lineRule="exact"/>
        <w:ind w:right="0"/>
        <w:jc w:val="left"/>
      </w:pPr>
      <w:r>
        <w:rPr/>
        <w:t>认由可抵扣暂时性差异产生的递延所得税资产。但是，同时具有下列特征的交易中因资产或负债的初始确认所产生的递延所</w:t>
      </w:r>
    </w:p>
    <w:p>
      <w:pPr>
        <w:pStyle w:val="BodyText"/>
        <w:spacing w:line="357" w:lineRule="auto" w:before="77"/>
        <w:ind w:left="514" w:right="1032" w:hanging="360"/>
        <w:jc w:val="left"/>
      </w:pPr>
      <w:r>
        <w:rPr/>
        <w:t>得税资产不予确认：（</w:t>
      </w:r>
      <w:r>
        <w:rPr>
          <w:rFonts w:ascii="宋体" w:hAnsi="宋体" w:cs="宋体" w:eastAsia="宋体" w:hint="default"/>
        </w:rPr>
        <w:t>1</w:t>
      </w:r>
      <w:r>
        <w:rPr/>
        <w:t>）该交易不是企业合并；（</w:t>
      </w:r>
      <w:r>
        <w:rPr>
          <w:rFonts w:ascii="宋体" w:hAnsi="宋体" w:cs="宋体" w:eastAsia="宋体" w:hint="default"/>
        </w:rPr>
        <w:t>2</w:t>
      </w:r>
      <w:r>
        <w:rPr/>
        <w:t>）交易发生时既不影响会计利润也不影响应纳税所得额或可抵扣亏损。 </w:t>
      </w:r>
      <w:r>
        <w:rPr>
          <w:spacing w:val="-2"/>
        </w:rPr>
        <w:t>对于与联营企业投资相关的可抵扣暂时性差异，同时满足下列条件的，确认相应的递延所得税资产：暂时性差异在可预</w:t>
      </w:r>
    </w:p>
    <w:p>
      <w:pPr>
        <w:pStyle w:val="BodyText"/>
        <w:spacing w:line="357" w:lineRule="auto"/>
        <w:ind w:left="514" w:right="3372" w:hanging="360"/>
        <w:jc w:val="left"/>
      </w:pPr>
      <w:r>
        <w:rPr/>
        <w:t>见的未来很可能转回，且未来很可能获得用来抵扣可抵扣暂时性差异的应纳税所得额。 </w:t>
      </w:r>
      <w:r>
        <w:rPr>
          <w:rFonts w:ascii="宋体" w:hAnsi="宋体" w:cs="宋体" w:eastAsia="宋体" w:hint="default"/>
        </w:rPr>
        <w:t>2.</w:t>
      </w:r>
      <w:r>
        <w:rPr/>
        <w:t>确认递延所得税负债的依据 公司将当期与以前期间应交未交的应纳税暂时性差异确认为递延所得税负债。但不包括：</w:t>
      </w:r>
    </w:p>
    <w:p>
      <w:pPr>
        <w:spacing w:after="0" w:line="357"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left="514" w:right="1134"/>
        <w:jc w:val="left"/>
      </w:pPr>
      <w:r>
        <w:rPr/>
        <w:t>（</w:t>
      </w:r>
      <w:r>
        <w:rPr>
          <w:rFonts w:ascii="宋体" w:hAnsi="宋体" w:cs="宋体" w:eastAsia="宋体" w:hint="default"/>
        </w:rPr>
        <w:t>1</w:t>
      </w:r>
      <w:r>
        <w:rPr/>
        <w:t>）商誉的初始确认所形成的暂时性差异；</w:t>
      </w:r>
    </w:p>
    <w:p>
      <w:pPr>
        <w:pStyle w:val="BodyText"/>
        <w:spacing w:line="319" w:lineRule="auto" w:before="115"/>
        <w:ind w:right="1141" w:firstLine="360"/>
        <w:jc w:val="both"/>
      </w:pPr>
      <w:r>
        <w:rPr/>
        <w:t>（</w:t>
      </w:r>
      <w:r>
        <w:rPr>
          <w:rFonts w:ascii="宋体" w:hAnsi="宋体" w:cs="宋体" w:eastAsia="宋体" w:hint="default"/>
        </w:rPr>
        <w:t>2</w:t>
      </w:r>
      <w:r>
        <w:rPr/>
        <w:t>）非企业合并形成的交易或事项，且该交易或事项发生时既不影响会计利润，也不影响应纳税所得额（或可抵扣亏 损）所形成的暂时性差异；</w:t>
      </w:r>
    </w:p>
    <w:p>
      <w:pPr>
        <w:pStyle w:val="BodyText"/>
        <w:spacing w:line="319" w:lineRule="auto" w:before="56"/>
        <w:ind w:right="1141" w:firstLine="360"/>
        <w:jc w:val="both"/>
      </w:pPr>
      <w:r>
        <w:rPr/>
        <w:t>（</w:t>
      </w:r>
      <w:r>
        <w:rPr>
          <w:rFonts w:ascii="宋体" w:hAnsi="宋体" w:cs="宋体" w:eastAsia="宋体" w:hint="default"/>
        </w:rPr>
        <w:t>3</w:t>
      </w:r>
      <w:r>
        <w:rPr/>
        <w:t>）对于与子公司、联营企业投资相关的应纳税暂时性差异，该暂时性差异转回的时间能够控制并且该暂时性差异在 可预见的未来很可能不会转回。</w:t>
      </w:r>
    </w:p>
    <w:p>
      <w:pPr>
        <w:pStyle w:val="BodyText"/>
        <w:spacing w:line="240" w:lineRule="auto" w:before="56"/>
        <w:ind w:left="514" w:right="1134"/>
        <w:jc w:val="left"/>
      </w:pPr>
      <w:r>
        <w:rPr>
          <w:rFonts w:ascii="宋体" w:hAnsi="宋体" w:cs="宋体" w:eastAsia="宋体" w:hint="default"/>
        </w:rPr>
        <w:t>3.</w:t>
      </w:r>
      <w:r>
        <w:rPr/>
        <w:t>同时满足下列条件时，将递延所得税资产及递延所得税负债以抵销后的净额列示</w:t>
      </w:r>
    </w:p>
    <w:p>
      <w:pPr>
        <w:pStyle w:val="BodyText"/>
        <w:spacing w:line="240" w:lineRule="auto" w:before="116"/>
        <w:ind w:left="514" w:right="1134"/>
        <w:jc w:val="left"/>
      </w:pPr>
      <w:r>
        <w:rPr/>
        <w:t>（</w:t>
      </w:r>
      <w:r>
        <w:rPr>
          <w:rFonts w:ascii="宋体" w:hAnsi="宋体" w:cs="宋体" w:eastAsia="宋体" w:hint="default"/>
        </w:rPr>
        <w:t>1</w:t>
      </w:r>
      <w:r>
        <w:rPr/>
        <w:t>）企业拥有以净额结算当期所得税资产及当期所得税负债的法定权利；</w:t>
      </w:r>
    </w:p>
    <w:p>
      <w:pPr>
        <w:pStyle w:val="BodyText"/>
        <w:spacing w:line="319" w:lineRule="auto" w:before="116"/>
        <w:ind w:right="1132" w:firstLine="360"/>
        <w:jc w:val="both"/>
      </w:pPr>
      <w:r>
        <w:rPr/>
        <w:t>（</w:t>
      </w:r>
      <w:r>
        <w:rPr>
          <w:rFonts w:ascii="宋体" w:hAnsi="宋体" w:cs="宋体" w:eastAsia="宋体" w:hint="default"/>
        </w:rPr>
        <w:t>2</w:t>
      </w:r>
      <w:r>
        <w:rPr/>
        <w:t>）递延所得税资产和递延所得税负债是与同一税收征管部门对同一纳税主体征收的所得税相关或者对不同的纳税主 </w:t>
      </w:r>
      <w:r>
        <w:rPr>
          <w:spacing w:val="-2"/>
        </w:rPr>
        <w:t>体相关，但在未来每一具有重要性的递延所得税资产和递延所得税负债转回的期间内，涉及的纳税主体体意图以净额结算当</w:t>
      </w:r>
      <w:r>
        <w:rPr>
          <w:spacing w:val="-64"/>
        </w:rPr>
        <w:t> </w:t>
      </w:r>
      <w:r>
        <w:rPr>
          <w:spacing w:val="-64"/>
        </w:rPr>
      </w:r>
      <w:r>
        <w:rPr/>
        <w:t>期所得税资产及当期所得税负债或是同时取得资产、清偿债务。</w:t>
      </w:r>
    </w:p>
    <w:p>
      <w:pPr>
        <w:spacing w:line="240" w:lineRule="auto" w:before="3"/>
        <w:rPr>
          <w:rFonts w:ascii="宋体" w:hAnsi="宋体" w:cs="宋体" w:eastAsia="宋体" w:hint="default"/>
          <w:sz w:val="22"/>
          <w:szCs w:val="22"/>
        </w:rPr>
      </w:pPr>
    </w:p>
    <w:p>
      <w:pPr>
        <w:pStyle w:val="Heading3"/>
        <w:spacing w:line="240" w:lineRule="auto"/>
        <w:ind w:right="1134"/>
        <w:jc w:val="left"/>
        <w:rPr>
          <w:b w:val="0"/>
          <w:bCs w:val="0"/>
        </w:rPr>
      </w:pPr>
      <w:bookmarkStart w:name="26、租赁" w:id="203"/>
      <w:bookmarkEnd w:id="203"/>
      <w:r>
        <w:rPr>
          <w:b w:val="0"/>
          <w:bCs w:val="0"/>
        </w:rPr>
      </w:r>
      <w:r>
        <w:rPr>
          <w:rFonts w:ascii="Times New Roman" w:hAnsi="Times New Roman" w:cs="Times New Roman" w:eastAsia="Times New Roman" w:hint="default"/>
        </w:rPr>
        <w:t>26</w:t>
      </w:r>
      <w:r>
        <w:rPr/>
        <w:t>、租赁</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1134"/>
        <w:jc w:val="left"/>
        <w:rPr>
          <w:b w:val="0"/>
          <w:bCs w:val="0"/>
        </w:rPr>
      </w:pPr>
      <w:bookmarkStart w:name="（1）经营租赁的会计处理方法" w:id="204"/>
      <w:bookmarkEnd w:id="204"/>
      <w:r>
        <w:rPr>
          <w:b w:val="0"/>
          <w:bCs w:val="0"/>
        </w:rPr>
      </w:r>
      <w:r>
        <w:rPr/>
        <w:t>（</w:t>
      </w:r>
      <w:r>
        <w:rPr>
          <w:rFonts w:ascii="Times New Roman" w:hAnsi="Times New Roman" w:cs="Times New Roman" w:eastAsia="Times New Roman" w:hint="default"/>
        </w:rPr>
        <w:t>1</w:t>
      </w:r>
      <w:r>
        <w:rPr/>
        <w:t>）经营租赁的会计处理方法</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left="514" w:right="0"/>
        <w:jc w:val="left"/>
      </w:pPr>
      <w:r>
        <w:rPr>
          <w:rFonts w:ascii="宋体" w:hAnsi="宋体" w:cs="宋体" w:eastAsia="宋体" w:hint="default"/>
        </w:rPr>
        <w:t>1</w:t>
      </w:r>
      <w:r>
        <w:rPr/>
        <w:t>）经营租入资产 </w:t>
      </w:r>
      <w:r>
        <w:rPr>
          <w:spacing w:val="-2"/>
        </w:rPr>
        <w:t>公司租入资产所支付的租赁费，在不扣除免租期的整个租赁期内，按直线法进行分摊，计入当期费用。公司支付的与租</w:t>
      </w:r>
    </w:p>
    <w:p>
      <w:pPr>
        <w:pStyle w:val="BodyText"/>
        <w:spacing w:line="357" w:lineRule="auto"/>
        <w:ind w:left="514" w:right="0" w:hanging="360"/>
        <w:jc w:val="left"/>
      </w:pPr>
      <w:r>
        <w:rPr/>
        <w:t>赁交易相关的初始直接费用，计入当期费用。 </w:t>
      </w:r>
      <w:r>
        <w:rPr>
          <w:spacing w:val="-2"/>
        </w:rPr>
        <w:t>资产出租方承担了应由公司承担的与租赁相关的费用时，公司将该部分费用从租金总额中扣除，按扣除后的租金费用在</w:t>
      </w:r>
    </w:p>
    <w:p>
      <w:pPr>
        <w:pStyle w:val="BodyText"/>
        <w:spacing w:line="360" w:lineRule="auto"/>
        <w:ind w:left="514" w:right="8232" w:hanging="360"/>
        <w:jc w:val="left"/>
      </w:pPr>
      <w:r>
        <w:rPr/>
        <w:t>租赁期内分摊，计入当期费用。 </w:t>
      </w:r>
      <w:r>
        <w:rPr>
          <w:rFonts w:ascii="宋体" w:hAnsi="宋体" w:cs="宋体" w:eastAsia="宋体" w:hint="default"/>
        </w:rPr>
        <w:t>2</w:t>
      </w:r>
      <w:r>
        <w:rPr/>
        <w:t>）经营租出资产</w:t>
      </w:r>
    </w:p>
    <w:p>
      <w:pPr>
        <w:pStyle w:val="BodyText"/>
        <w:spacing w:line="319" w:lineRule="auto" w:before="25"/>
        <w:ind w:right="1131" w:firstLine="360"/>
        <w:jc w:val="both"/>
      </w:pPr>
      <w:r>
        <w:rPr>
          <w:spacing w:val="-2"/>
        </w:rPr>
        <w:t>公司出租资产所收取的租赁费，在不扣除免租期的整个租赁期内，按直线法进行分摊，确认为租赁收入。公司支付的与</w:t>
      </w:r>
      <w:r>
        <w:rPr/>
        <w:t> </w:t>
      </w:r>
      <w:r>
        <w:rPr>
          <w:spacing w:val="-2"/>
        </w:rPr>
        <w:t>租赁交易相关的初始直接费用，计入当期费用；如金额较大的，则予以资本化，在整个租赁期间内按照与租赁收入确认相同</w:t>
      </w:r>
      <w:r>
        <w:rPr>
          <w:spacing w:val="-66"/>
        </w:rPr>
        <w:t> </w:t>
      </w:r>
      <w:r>
        <w:rPr>
          <w:spacing w:val="-66"/>
        </w:rPr>
      </w:r>
      <w:r>
        <w:rPr/>
        <w:t>的基础分期计入当期收益。</w:t>
      </w:r>
    </w:p>
    <w:p>
      <w:pPr>
        <w:pStyle w:val="BodyText"/>
        <w:spacing w:line="319" w:lineRule="auto" w:before="55"/>
        <w:ind w:right="1132" w:firstLine="360"/>
        <w:jc w:val="both"/>
      </w:pPr>
      <w:r>
        <w:rPr>
          <w:spacing w:val="-2"/>
        </w:rPr>
        <w:t>公司承担了应由承租方承担的与租赁相关的费用时，公司将该部分费用从租金收入总额中扣除，按扣除后的租金费用在</w:t>
      </w:r>
      <w:r>
        <w:rPr/>
        <w:t> 租赁期内分配。</w:t>
      </w:r>
    </w:p>
    <w:p>
      <w:pPr>
        <w:spacing w:line="240" w:lineRule="auto" w:before="4"/>
        <w:rPr>
          <w:rFonts w:ascii="宋体" w:hAnsi="宋体" w:cs="宋体" w:eastAsia="宋体" w:hint="default"/>
          <w:sz w:val="22"/>
          <w:szCs w:val="22"/>
        </w:rPr>
      </w:pPr>
    </w:p>
    <w:p>
      <w:pPr>
        <w:pStyle w:val="Heading3"/>
        <w:spacing w:line="240" w:lineRule="auto"/>
        <w:ind w:right="1134"/>
        <w:jc w:val="left"/>
        <w:rPr>
          <w:b w:val="0"/>
          <w:bCs w:val="0"/>
        </w:rPr>
      </w:pPr>
      <w:bookmarkStart w:name="（2）融资租赁的会计处理方法" w:id="205"/>
      <w:bookmarkEnd w:id="205"/>
      <w:r>
        <w:rPr>
          <w:b w:val="0"/>
          <w:bCs w:val="0"/>
        </w:rPr>
      </w:r>
      <w:r>
        <w:rPr/>
        <w:t>（</w:t>
      </w:r>
      <w:r>
        <w:rPr>
          <w:rFonts w:ascii="Times New Roman" w:hAnsi="Times New Roman" w:cs="Times New Roman" w:eastAsia="Times New Roman" w:hint="default"/>
        </w:rPr>
        <w:t>2</w:t>
      </w:r>
      <w:r>
        <w:rPr/>
        <w:t>）融资租赁的会计处理方法</w:t>
      </w:r>
      <w:r>
        <w:rPr>
          <w:b w:val="0"/>
          <w:bCs w:val="0"/>
        </w:rPr>
      </w:r>
    </w:p>
    <w:p>
      <w:pPr>
        <w:spacing w:line="240" w:lineRule="auto" w:before="8"/>
        <w:rPr>
          <w:rFonts w:ascii="宋体" w:hAnsi="宋体" w:cs="宋体" w:eastAsia="宋体" w:hint="default"/>
          <w:b/>
          <w:bCs/>
          <w:sz w:val="26"/>
          <w:szCs w:val="26"/>
        </w:rPr>
      </w:pPr>
    </w:p>
    <w:p>
      <w:pPr>
        <w:pStyle w:val="BodyText"/>
        <w:spacing w:line="319" w:lineRule="auto"/>
        <w:ind w:right="1140" w:firstLine="360"/>
        <w:jc w:val="both"/>
      </w:pPr>
      <w:r>
        <w:rPr>
          <w:rFonts w:ascii="宋体" w:hAnsi="宋体" w:cs="宋体" w:eastAsia="宋体" w:hint="default"/>
        </w:rPr>
        <w:t>1</w:t>
      </w:r>
      <w:r>
        <w:rPr/>
        <w:t>）融资租入资产：公司在承租开始日，将租赁资产公允价值与最低租赁付款额现值两者中较低者作为租入资产的入账 价值，将最低租赁付款额作为长期应付款的入账价值，其差额作为未确认的融资费用。</w:t>
      </w:r>
    </w:p>
    <w:p>
      <w:pPr>
        <w:pStyle w:val="BodyText"/>
        <w:spacing w:line="357" w:lineRule="auto" w:before="56"/>
        <w:ind w:left="514" w:right="1122"/>
        <w:jc w:val="left"/>
      </w:pPr>
      <w:r>
        <w:rPr/>
        <w:t>公司采用实际利率法对未确认的融资费用，在资产租赁期间内摊销，计入财务费用。 </w:t>
      </w:r>
      <w:r>
        <w:rPr>
          <w:rFonts w:ascii="宋体" w:hAnsi="宋体" w:cs="宋体" w:eastAsia="宋体" w:hint="default"/>
        </w:rPr>
        <w:t>2</w:t>
      </w:r>
      <w:r>
        <w:rPr/>
        <w:t>）融资租出资产：公司在租赁开始日，将应收融资租赁款，未担保余值之和与其现值的差额确认为未实现融资收益，</w:t>
      </w:r>
    </w:p>
    <w:p>
      <w:pPr>
        <w:pStyle w:val="BodyText"/>
        <w:spacing w:line="224" w:lineRule="exact"/>
        <w:ind w:right="0"/>
        <w:jc w:val="left"/>
      </w:pPr>
      <w:r>
        <w:rPr/>
        <w:t>在将来收到租金的各期间内确认为租赁收入，公司发生的与出租交易相关的初始直接费用，计入应收融资租赁款的初始计量</w:t>
      </w:r>
    </w:p>
    <w:p>
      <w:pPr>
        <w:pStyle w:val="BodyText"/>
        <w:spacing w:line="240" w:lineRule="auto" w:before="77"/>
        <w:ind w:right="1134"/>
        <w:jc w:val="left"/>
      </w:pPr>
      <w:r>
        <w:rPr/>
        <w:t>中，并减少租赁期内确认的收益金额。</w:t>
      </w:r>
    </w:p>
    <w:p>
      <w:pPr>
        <w:spacing w:line="240" w:lineRule="auto" w:before="11"/>
        <w:rPr>
          <w:rFonts w:ascii="宋体" w:hAnsi="宋体" w:cs="宋体" w:eastAsia="宋体" w:hint="default"/>
          <w:sz w:val="26"/>
          <w:szCs w:val="26"/>
        </w:rPr>
      </w:pPr>
    </w:p>
    <w:p>
      <w:pPr>
        <w:pStyle w:val="Heading3"/>
        <w:spacing w:line="240" w:lineRule="auto"/>
        <w:ind w:right="1134"/>
        <w:jc w:val="left"/>
        <w:rPr>
          <w:b w:val="0"/>
          <w:bCs w:val="0"/>
        </w:rPr>
      </w:pPr>
      <w:bookmarkStart w:name="27、重要会计政策和会计估计变更" w:id="206"/>
      <w:bookmarkEnd w:id="206"/>
      <w:r>
        <w:rPr>
          <w:b w:val="0"/>
          <w:bCs w:val="0"/>
        </w:rPr>
      </w:r>
      <w:r>
        <w:rPr>
          <w:rFonts w:ascii="Times New Roman" w:hAnsi="Times New Roman" w:cs="Times New Roman" w:eastAsia="Times New Roman" w:hint="default"/>
        </w:rPr>
        <w:t>27</w:t>
      </w:r>
      <w:r>
        <w:rPr/>
        <w:t>、重要会计政策和会计估计变更</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重要会计政策变更" w:id="207"/>
      <w:bookmarkEnd w:id="207"/>
      <w:r>
        <w:rPr>
          <w:b w:val="0"/>
          <w:bCs w:val="0"/>
        </w:rPr>
      </w:r>
      <w:r>
        <w:rPr/>
        <w:t>（</w:t>
      </w:r>
      <w:r>
        <w:rPr>
          <w:rFonts w:ascii="Times New Roman" w:hAnsi="Times New Roman" w:cs="Times New Roman" w:eastAsia="Times New Roman" w:hint="default"/>
        </w:rPr>
        <w:t>1</w:t>
      </w:r>
      <w:r>
        <w:rPr/>
        <w:t>）重要会计政策变更</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3"/>
        <w:spacing w:line="240" w:lineRule="auto" w:before="35"/>
        <w:ind w:right="1134"/>
        <w:jc w:val="left"/>
        <w:rPr>
          <w:b w:val="0"/>
          <w:bCs w:val="0"/>
        </w:rPr>
      </w:pPr>
      <w:bookmarkStart w:name="（2）重要会计估计变更" w:id="208"/>
      <w:bookmarkEnd w:id="208"/>
      <w:r>
        <w:rPr>
          <w:b w:val="0"/>
          <w:bCs w:val="0"/>
        </w:rPr>
      </w:r>
      <w:r>
        <w:rPr/>
        <w:t>（</w:t>
      </w:r>
      <w:r>
        <w:rPr>
          <w:rFonts w:ascii="Times New Roman" w:hAnsi="Times New Roman" w:cs="Times New Roman" w:eastAsia="Times New Roman" w:hint="default"/>
        </w:rPr>
        <w:t>2</w:t>
      </w:r>
      <w:r>
        <w:rPr/>
        <w:t>）重要会计估计变更</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right="1134"/>
        <w:jc w:val="left"/>
        <w:rPr>
          <w:b w:val="0"/>
          <w:bCs w:val="0"/>
        </w:rPr>
      </w:pPr>
      <w:bookmarkStart w:name="28、其他" w:id="209"/>
      <w:bookmarkEnd w:id="209"/>
      <w:r>
        <w:rPr>
          <w:b w:val="0"/>
          <w:bCs w:val="0"/>
        </w:rPr>
      </w:r>
      <w:r>
        <w:rPr>
          <w:rFonts w:ascii="Times New Roman" w:hAnsi="Times New Roman" w:cs="Times New Roman" w:eastAsia="Times New Roman" w:hint="default"/>
        </w:rPr>
        <w:t>28</w:t>
      </w:r>
      <w:r>
        <w:rPr/>
        <w:t>、其他</w:t>
      </w:r>
      <w:r>
        <w:rPr>
          <w:b w:val="0"/>
          <w:bCs w:val="0"/>
        </w:rPr>
      </w:r>
    </w:p>
    <w:p>
      <w:pPr>
        <w:spacing w:line="240" w:lineRule="auto" w:before="8"/>
        <w:rPr>
          <w:rFonts w:ascii="宋体" w:hAnsi="宋体" w:cs="宋体" w:eastAsia="宋体" w:hint="default"/>
          <w:b/>
          <w:bCs/>
          <w:sz w:val="26"/>
          <w:szCs w:val="26"/>
        </w:rPr>
      </w:pPr>
    </w:p>
    <w:p>
      <w:pPr>
        <w:pStyle w:val="BodyText"/>
        <w:spacing w:line="319" w:lineRule="auto"/>
        <w:ind w:right="1122" w:firstLine="360"/>
        <w:jc w:val="left"/>
      </w:pPr>
      <w:r>
        <w:rPr/>
        <w:t>财政部于</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15</w:t>
      </w:r>
      <w:r>
        <w:rPr/>
        <w:t>日发布了《关于修订印发</w:t>
      </w:r>
      <w:r>
        <w:rPr>
          <w:rFonts w:ascii="宋体" w:hAnsi="宋体" w:cs="宋体" w:eastAsia="宋体" w:hint="default"/>
        </w:rPr>
        <w:t>2018</w:t>
      </w:r>
      <w:r>
        <w:rPr/>
        <w:t>年度一般企业财务报表格式的通知》（财会〔</w:t>
      </w:r>
      <w:r>
        <w:rPr>
          <w:rFonts w:ascii="宋体" w:hAnsi="宋体" w:cs="宋体" w:eastAsia="宋体" w:hint="default"/>
        </w:rPr>
        <w:t>2018</w:t>
      </w:r>
      <w:r>
        <w:rPr/>
        <w:t>〕</w:t>
      </w:r>
      <w:r>
        <w:rPr>
          <w:rFonts w:ascii="宋体" w:hAnsi="宋体" w:cs="宋体" w:eastAsia="宋体" w:hint="default"/>
        </w:rPr>
        <w:t>15</w:t>
      </w:r>
      <w:r>
        <w:rPr/>
        <w:t>号），对一 般企业财务报表格式进行了修订，归并部分资产负债表项目，拆分部分利润表项目；并于</w:t>
      </w:r>
      <w:r>
        <w:rPr>
          <w:rFonts w:ascii="宋体" w:hAnsi="宋体" w:cs="宋体" w:eastAsia="宋体" w:hint="default"/>
        </w:rPr>
        <w:t>2018</w:t>
      </w:r>
      <w:r>
        <w:rPr/>
        <w:t>年</w:t>
      </w:r>
      <w:r>
        <w:rPr>
          <w:rFonts w:ascii="宋体" w:hAnsi="宋体" w:cs="宋体" w:eastAsia="宋体" w:hint="default"/>
        </w:rPr>
        <w:t>9</w:t>
      </w:r>
      <w:r>
        <w:rPr/>
        <w:t>月</w:t>
      </w:r>
      <w:r>
        <w:rPr>
          <w:rFonts w:ascii="宋体" w:hAnsi="宋体" w:cs="宋体" w:eastAsia="宋体" w:hint="default"/>
        </w:rPr>
        <w:t>7</w:t>
      </w:r>
      <w:r>
        <w:rPr/>
        <w:t>日发布了《关于</w:t>
      </w:r>
      <w:r>
        <w:rPr>
          <w:rFonts w:ascii="宋体" w:hAnsi="宋体" w:cs="宋体" w:eastAsia="宋体" w:hint="default"/>
        </w:rPr>
        <w:t>2018 </w:t>
      </w:r>
      <w:r>
        <w:rPr>
          <w:spacing w:val="-2"/>
        </w:rPr>
        <w:t>年度一般企业财务报表格式有关问题的解读》，明确要求代扣个人所得税手续费返还在“其他收益”列报，实际收到的政府</w:t>
      </w:r>
      <w:r>
        <w:rPr>
          <w:spacing w:val="-64"/>
        </w:rPr>
        <w:t> </w:t>
      </w:r>
      <w:r>
        <w:rPr>
          <w:spacing w:val="-64"/>
        </w:rPr>
      </w:r>
      <w:r>
        <w:rPr/>
        <w:t>补助，无论是与资产相关还是与收益相关，在编制现金流量表时均作为经营活动产生的现金流量列报等。</w:t>
      </w:r>
    </w:p>
    <w:p>
      <w:pPr>
        <w:pStyle w:val="BodyText"/>
        <w:spacing w:line="319" w:lineRule="auto" w:before="55"/>
        <w:ind w:right="0" w:firstLine="360"/>
        <w:jc w:val="left"/>
      </w:pPr>
      <w:r>
        <w:rPr>
          <w:spacing w:val="-2"/>
        </w:rPr>
        <w:t>本公司已经根据新的企业财务报表格式的要求编制财务报表，财务报表的列报项目因此发生变更的，已经按照《企业会</w:t>
      </w:r>
      <w:r>
        <w:rPr/>
        <w:t> 计准则第</w:t>
      </w:r>
      <w:r>
        <w:rPr>
          <w:rFonts w:ascii="宋体" w:hAnsi="宋体" w:cs="宋体" w:eastAsia="宋体" w:hint="default"/>
        </w:rPr>
        <w:t>30</w:t>
      </w:r>
      <w:r>
        <w:rPr/>
        <w:t>号——财务报表列报》等的相关规定，对可比期间的比较数据进行调整。</w:t>
      </w:r>
    </w:p>
    <w:p>
      <w:pPr>
        <w:pStyle w:val="BodyText"/>
        <w:spacing w:line="240" w:lineRule="auto" w:before="58"/>
        <w:ind w:left="514" w:right="1134"/>
        <w:jc w:val="left"/>
      </w:pPr>
      <w:r>
        <w:rPr/>
        <w:t>对可比期间的财务报表列报项目及金额的影响如下：</w:t>
      </w:r>
    </w:p>
    <w:p>
      <w:pPr>
        <w:spacing w:line="240" w:lineRule="auto" w:before="13"/>
        <w:rPr>
          <w:rFonts w:ascii="宋体" w:hAnsi="宋体" w:cs="宋体" w:eastAsia="宋体" w:hint="default"/>
          <w:sz w:val="7"/>
          <w:szCs w:val="7"/>
        </w:rPr>
      </w:pPr>
    </w:p>
    <w:tbl>
      <w:tblPr>
        <w:tblW w:w="0" w:type="auto"/>
        <w:jc w:val="left"/>
        <w:tblInd w:w="146" w:type="dxa"/>
        <w:tblLayout w:type="fixed"/>
        <w:tblCellMar>
          <w:top w:w="0" w:type="dxa"/>
          <w:left w:w="0" w:type="dxa"/>
          <w:bottom w:w="0" w:type="dxa"/>
          <w:right w:w="0" w:type="dxa"/>
        </w:tblCellMar>
        <w:tblLook w:val="01E0"/>
      </w:tblPr>
      <w:tblGrid>
        <w:gridCol w:w="2614"/>
        <w:gridCol w:w="2632"/>
        <w:gridCol w:w="2058"/>
        <w:gridCol w:w="2315"/>
      </w:tblGrid>
      <w:tr>
        <w:trPr>
          <w:trHeight w:val="347" w:hRule="exact"/>
        </w:trPr>
        <w:tc>
          <w:tcPr>
            <w:tcW w:w="261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列报项目</w:t>
            </w:r>
          </w:p>
        </w:tc>
        <w:tc>
          <w:tcPr>
            <w:tcW w:w="263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13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31</w:t>
            </w:r>
            <w:r>
              <w:rPr>
                <w:rFonts w:ascii="宋体" w:hAnsi="宋体" w:cs="宋体" w:eastAsia="宋体" w:hint="default"/>
                <w:sz w:val="18"/>
                <w:szCs w:val="18"/>
              </w:rPr>
              <w:t>日之前列报金额</w:t>
            </w:r>
          </w:p>
        </w:tc>
        <w:tc>
          <w:tcPr>
            <w:tcW w:w="205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661" w:right="0"/>
              <w:jc w:val="left"/>
              <w:rPr>
                <w:rFonts w:ascii="宋体" w:hAnsi="宋体" w:cs="宋体" w:eastAsia="宋体" w:hint="default"/>
                <w:sz w:val="18"/>
                <w:szCs w:val="18"/>
              </w:rPr>
            </w:pPr>
            <w:r>
              <w:rPr>
                <w:rFonts w:ascii="宋体" w:hAnsi="宋体" w:cs="宋体" w:eastAsia="宋体" w:hint="default"/>
                <w:sz w:val="18"/>
                <w:szCs w:val="18"/>
              </w:rPr>
              <w:t>影响金额</w:t>
            </w:r>
          </w:p>
        </w:tc>
        <w:tc>
          <w:tcPr>
            <w:tcW w:w="231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6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w:t>
            </w:r>
            <w:r>
              <w:rPr>
                <w:rFonts w:ascii="Times New Roman" w:hAnsi="Times New Roman" w:cs="Times New Roman" w:eastAsia="Times New Roman" w:hint="default"/>
                <w:sz w:val="18"/>
                <w:szCs w:val="18"/>
              </w:rPr>
              <w:t>1</w:t>
            </w:r>
            <w:r>
              <w:rPr>
                <w:rFonts w:ascii="宋体" w:hAnsi="宋体" w:cs="宋体" w:eastAsia="宋体" w:hint="default"/>
                <w:sz w:val="18"/>
                <w:szCs w:val="18"/>
              </w:rPr>
              <w:t>月</w:t>
            </w:r>
            <w:r>
              <w:rPr>
                <w:rFonts w:ascii="Times New Roman" w:hAnsi="Times New Roman" w:cs="Times New Roman" w:eastAsia="Times New Roman" w:hint="default"/>
                <w:sz w:val="18"/>
                <w:szCs w:val="18"/>
              </w:rPr>
              <w:t>1</w:t>
            </w:r>
            <w:r>
              <w:rPr>
                <w:rFonts w:ascii="宋体" w:hAnsi="宋体" w:cs="宋体" w:eastAsia="宋体" w:hint="default"/>
                <w:sz w:val="18"/>
                <w:szCs w:val="18"/>
              </w:rPr>
              <w:t>日经重列后金额</w:t>
            </w:r>
          </w:p>
        </w:tc>
      </w:tr>
      <w:tr>
        <w:trPr>
          <w:trHeight w:val="347" w:hRule="exact"/>
        </w:trPr>
        <w:tc>
          <w:tcPr>
            <w:tcW w:w="2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2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12,360,475.10</w:t>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-12,360,475.10</w:t>
            </w:r>
          </w:p>
        </w:tc>
        <w:tc>
          <w:tcPr>
            <w:tcW w:w="2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8" w:hRule="exact"/>
        </w:trPr>
        <w:tc>
          <w:tcPr>
            <w:tcW w:w="2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165,708,872.92</w:t>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-165,708,872.92</w:t>
            </w:r>
          </w:p>
        </w:tc>
        <w:tc>
          <w:tcPr>
            <w:tcW w:w="2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7" w:hRule="exact"/>
        </w:trPr>
        <w:tc>
          <w:tcPr>
            <w:tcW w:w="2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2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178,069,348.02</w:t>
            </w:r>
          </w:p>
        </w:tc>
        <w:tc>
          <w:tcPr>
            <w:tcW w:w="2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178,069,348.02</w:t>
            </w:r>
          </w:p>
        </w:tc>
      </w:tr>
      <w:tr>
        <w:trPr>
          <w:trHeight w:val="347" w:hRule="exact"/>
        </w:trPr>
        <w:tc>
          <w:tcPr>
            <w:tcW w:w="2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2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345,640.30</w:t>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w w:val="95"/>
                <w:sz w:val="18"/>
              </w:rPr>
              <w:t>-345,640.30</w:t>
            </w:r>
            <w:r>
              <w:rPr>
                <w:rFonts w:ascii="Times New Roman"/>
                <w:sz w:val="18"/>
              </w:rPr>
            </w:r>
          </w:p>
        </w:tc>
        <w:tc>
          <w:tcPr>
            <w:tcW w:w="2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7" w:hRule="exact"/>
        </w:trPr>
        <w:tc>
          <w:tcPr>
            <w:tcW w:w="2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9,496,645.17</w:t>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345,640.30</w:t>
            </w:r>
          </w:p>
        </w:tc>
        <w:tc>
          <w:tcPr>
            <w:tcW w:w="2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9,842,285.47</w:t>
            </w:r>
          </w:p>
        </w:tc>
      </w:tr>
      <w:tr>
        <w:trPr>
          <w:trHeight w:val="347" w:hRule="exact"/>
        </w:trPr>
        <w:tc>
          <w:tcPr>
            <w:tcW w:w="2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2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8,808,784.69</w:t>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-8,808,784.69</w:t>
            </w:r>
          </w:p>
        </w:tc>
        <w:tc>
          <w:tcPr>
            <w:tcW w:w="2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7" w:hRule="exact"/>
        </w:trPr>
        <w:tc>
          <w:tcPr>
            <w:tcW w:w="2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49,300,469.40</w:t>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-49,300,469.40</w:t>
            </w:r>
          </w:p>
        </w:tc>
        <w:tc>
          <w:tcPr>
            <w:tcW w:w="2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8" w:hRule="exact"/>
        </w:trPr>
        <w:tc>
          <w:tcPr>
            <w:tcW w:w="2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2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58,109,254.09</w:t>
            </w:r>
          </w:p>
        </w:tc>
        <w:tc>
          <w:tcPr>
            <w:tcW w:w="2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58,109,254.09</w:t>
            </w:r>
          </w:p>
        </w:tc>
      </w:tr>
      <w:tr>
        <w:trPr>
          <w:trHeight w:val="347" w:hRule="exact"/>
        </w:trPr>
        <w:tc>
          <w:tcPr>
            <w:tcW w:w="2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2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z w:val="18"/>
              </w:rPr>
              <w:t>29,299.44</w:t>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w w:val="95"/>
                <w:sz w:val="18"/>
              </w:rPr>
              <w:t>-29,299.44</w:t>
            </w:r>
            <w:r>
              <w:rPr>
                <w:rFonts w:ascii="Times New Roman"/>
                <w:sz w:val="18"/>
              </w:rPr>
            </w:r>
          </w:p>
        </w:tc>
        <w:tc>
          <w:tcPr>
            <w:tcW w:w="2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7" w:hRule="exact"/>
        </w:trPr>
        <w:tc>
          <w:tcPr>
            <w:tcW w:w="2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72,919,640.47</w:t>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29,299.44</w:t>
            </w:r>
          </w:p>
        </w:tc>
        <w:tc>
          <w:tcPr>
            <w:tcW w:w="2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72,948,939.91</w:t>
            </w:r>
          </w:p>
        </w:tc>
      </w:tr>
      <w:tr>
        <w:trPr>
          <w:trHeight w:val="347" w:hRule="exact"/>
        </w:trPr>
        <w:tc>
          <w:tcPr>
            <w:tcW w:w="2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2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77,654,653.43</w:t>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-55,869,895.81</w:t>
            </w:r>
          </w:p>
        </w:tc>
        <w:tc>
          <w:tcPr>
            <w:tcW w:w="2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21,784,757.62</w:t>
            </w:r>
          </w:p>
        </w:tc>
      </w:tr>
      <w:tr>
        <w:trPr>
          <w:trHeight w:val="347" w:hRule="exact"/>
        </w:trPr>
        <w:tc>
          <w:tcPr>
            <w:tcW w:w="2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研发支出</w:t>
            </w:r>
          </w:p>
        </w:tc>
        <w:tc>
          <w:tcPr>
            <w:tcW w:w="2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55,869,895.81</w:t>
            </w:r>
          </w:p>
        </w:tc>
        <w:tc>
          <w:tcPr>
            <w:tcW w:w="2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55,869,895.81</w:t>
            </w:r>
          </w:p>
        </w:tc>
      </w:tr>
      <w:tr>
        <w:trPr>
          <w:trHeight w:val="347" w:hRule="exact"/>
        </w:trPr>
        <w:tc>
          <w:tcPr>
            <w:tcW w:w="2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18,618,682.22</w:t>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83,550.08</w:t>
            </w:r>
          </w:p>
        </w:tc>
        <w:tc>
          <w:tcPr>
            <w:tcW w:w="2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18,702,232.30</w:t>
            </w:r>
          </w:p>
        </w:tc>
      </w:tr>
      <w:tr>
        <w:trPr>
          <w:trHeight w:val="348" w:hRule="exact"/>
        </w:trPr>
        <w:tc>
          <w:tcPr>
            <w:tcW w:w="2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营业外收入</w:t>
            </w:r>
          </w:p>
        </w:tc>
        <w:tc>
          <w:tcPr>
            <w:tcW w:w="2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865,552.66</w:t>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w w:val="95"/>
                <w:sz w:val="18"/>
              </w:rPr>
              <w:t>-83,550.08</w:t>
            </w:r>
            <w:r>
              <w:rPr>
                <w:rFonts w:ascii="Times New Roman"/>
                <w:sz w:val="18"/>
              </w:rPr>
            </w:r>
          </w:p>
        </w:tc>
        <w:tc>
          <w:tcPr>
            <w:tcW w:w="2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782,002.58</w:t>
            </w:r>
          </w:p>
        </w:tc>
      </w:tr>
      <w:tr>
        <w:trPr>
          <w:trHeight w:val="347" w:hRule="exact"/>
        </w:trPr>
        <w:tc>
          <w:tcPr>
            <w:tcW w:w="2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2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6,350,999.99</w:t>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848,400.00</w:t>
            </w:r>
          </w:p>
        </w:tc>
        <w:tc>
          <w:tcPr>
            <w:tcW w:w="2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7,199,399.99</w:t>
            </w:r>
          </w:p>
        </w:tc>
      </w:tr>
      <w:tr>
        <w:trPr>
          <w:trHeight w:val="347" w:hRule="exact"/>
        </w:trPr>
        <w:tc>
          <w:tcPr>
            <w:tcW w:w="26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263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1,559,683.50</w:t>
            </w:r>
          </w:p>
        </w:tc>
        <w:tc>
          <w:tcPr>
            <w:tcW w:w="20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w w:val="95"/>
                <w:sz w:val="18"/>
              </w:rPr>
              <w:t>-848,400.00</w:t>
            </w:r>
            <w:r>
              <w:rPr>
                <w:rFonts w:ascii="Times New Roman"/>
                <w:sz w:val="18"/>
              </w:rPr>
            </w:r>
          </w:p>
        </w:tc>
        <w:tc>
          <w:tcPr>
            <w:tcW w:w="231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711,283.50</w:t>
            </w:r>
          </w:p>
        </w:tc>
      </w:tr>
    </w:tbl>
    <w:p>
      <w:pPr>
        <w:spacing w:line="240" w:lineRule="auto" w:before="2"/>
        <w:rPr>
          <w:rFonts w:ascii="宋体" w:hAnsi="宋体" w:cs="宋体" w:eastAsia="宋体" w:hint="default"/>
          <w:sz w:val="18"/>
          <w:szCs w:val="18"/>
        </w:rPr>
      </w:pPr>
    </w:p>
    <w:p>
      <w:pPr>
        <w:pStyle w:val="Heading2"/>
        <w:spacing w:line="240" w:lineRule="auto" w:before="26"/>
        <w:ind w:right="1134"/>
        <w:jc w:val="left"/>
        <w:rPr>
          <w:b w:val="0"/>
          <w:bCs w:val="0"/>
        </w:rPr>
      </w:pPr>
      <w:bookmarkStart w:name="六、税项" w:id="210"/>
      <w:bookmarkEnd w:id="210"/>
      <w:r>
        <w:rPr>
          <w:b w:val="0"/>
          <w:bCs w:val="0"/>
        </w:rPr>
      </w:r>
      <w:r>
        <w:rPr/>
        <w:t>六、税项</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主要税种及税率" w:id="211"/>
      <w:bookmarkEnd w:id="211"/>
      <w:r>
        <w:rPr>
          <w:b w:val="0"/>
          <w:bCs w:val="0"/>
        </w:rPr>
      </w:r>
      <w:r>
        <w:rPr>
          <w:rFonts w:ascii="Times New Roman" w:hAnsi="Times New Roman" w:cs="Times New Roman" w:eastAsia="Times New Roman" w:hint="default"/>
        </w:rPr>
        <w:t>1</w:t>
      </w:r>
      <w:r>
        <w:rPr/>
        <w:t>、主要税种及税率</w:t>
      </w:r>
      <w:r>
        <w:rPr>
          <w:b w:val="0"/>
          <w:bCs w:val="0"/>
        </w:rPr>
      </w:r>
    </w:p>
    <w:p>
      <w:pPr>
        <w:spacing w:line="240" w:lineRule="auto" w:before="9"/>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3179"/>
        <w:gridCol w:w="3190"/>
        <w:gridCol w:w="3190"/>
      </w:tblGrid>
      <w:tr>
        <w:trPr>
          <w:trHeight w:val="402"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1"/>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税率</w:t>
            </w:r>
          </w:p>
        </w:tc>
      </w:tr>
      <w:tr>
        <w:trPr>
          <w:trHeight w:val="402"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销售货物、应税销售服务收入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17%</w:t>
            </w:r>
            <w:r>
              <w:rPr>
                <w:rFonts w:ascii="宋体" w:hAnsi="宋体" w:cs="宋体" w:eastAsia="宋体" w:hint="default"/>
                <w:sz w:val="18"/>
                <w:szCs w:val="18"/>
              </w:rPr>
              <w:t>、</w:t>
            </w:r>
            <w:r>
              <w:rPr>
                <w:rFonts w:ascii="Times New Roman" w:hAnsi="Times New Roman" w:cs="Times New Roman" w:eastAsia="Times New Roman" w:hint="default"/>
                <w:sz w:val="18"/>
                <w:szCs w:val="18"/>
              </w:rPr>
              <w:t>16%</w:t>
            </w:r>
            <w:r>
              <w:rPr>
                <w:rFonts w:ascii="宋体" w:hAnsi="宋体" w:cs="宋体" w:eastAsia="宋体" w:hint="default"/>
                <w:sz w:val="18"/>
                <w:szCs w:val="18"/>
              </w:rPr>
              <w:t>、</w:t>
            </w:r>
            <w:r>
              <w:rPr>
                <w:rFonts w:ascii="Times New Roman" w:hAnsi="Times New Roman" w:cs="Times New Roman" w:eastAsia="Times New Roman" w:hint="default"/>
                <w:sz w:val="18"/>
                <w:szCs w:val="18"/>
              </w:rPr>
              <w:t>6%</w:t>
            </w:r>
          </w:p>
        </w:tc>
      </w:tr>
      <w:tr>
        <w:trPr>
          <w:trHeight w:val="402"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实缴流转税税额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31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51"/>
              <w:ind w:left="10" w:right="0"/>
              <w:jc w:val="left"/>
              <w:rPr>
                <w:rFonts w:ascii="宋体" w:hAnsi="宋体" w:cs="宋体" w:eastAsia="宋体" w:hint="default"/>
                <w:sz w:val="18"/>
                <w:szCs w:val="18"/>
              </w:rPr>
            </w:pPr>
            <w:r>
              <w:rPr>
                <w:rFonts w:ascii="宋体" w:hAnsi="宋体" w:cs="宋体" w:eastAsia="宋体" w:hint="default"/>
                <w:sz w:val="18"/>
                <w:szCs w:val="18"/>
              </w:rPr>
              <w:t>应纳税所得额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12.5%</w:t>
            </w:r>
            <w:r>
              <w:rPr>
                <w:rFonts w:ascii="宋体" w:hAnsi="宋体" w:cs="宋体" w:eastAsia="宋体" w:hint="default"/>
                <w:sz w:val="18"/>
                <w:szCs w:val="18"/>
              </w:rPr>
              <w:t>、</w:t>
            </w:r>
            <w:r>
              <w:rPr>
                <w:rFonts w:ascii="Times New Roman" w:hAnsi="Times New Roman" w:cs="Times New Roman" w:eastAsia="Times New Roman" w:hint="default"/>
                <w:sz w:val="18"/>
                <w:szCs w:val="18"/>
              </w:rPr>
              <w:t>15%</w:t>
            </w:r>
            <w:r>
              <w:rPr>
                <w:rFonts w:ascii="宋体" w:hAnsi="宋体" w:cs="宋体" w:eastAsia="宋体" w:hint="default"/>
                <w:sz w:val="18"/>
                <w:szCs w:val="18"/>
              </w:rPr>
              <w:t>、</w:t>
            </w:r>
            <w:r>
              <w:rPr>
                <w:rFonts w:ascii="Times New Roman" w:hAnsi="Times New Roman" w:cs="Times New Roman" w:eastAsia="Times New Roman" w:hint="default"/>
                <w:sz w:val="18"/>
                <w:szCs w:val="18"/>
              </w:rPr>
              <w:t>16.5%</w:t>
            </w:r>
            <w:r>
              <w:rPr>
                <w:rFonts w:ascii="宋体" w:hAnsi="宋体" w:cs="宋体" w:eastAsia="宋体" w:hint="default"/>
                <w:sz w:val="18"/>
                <w:szCs w:val="18"/>
              </w:rPr>
              <w:t>、</w:t>
            </w:r>
            <w:r>
              <w:rPr>
                <w:rFonts w:ascii="Times New Roman" w:hAnsi="Times New Roman" w:cs="Times New Roman" w:eastAsia="Times New Roman" w:hint="default"/>
                <w:sz w:val="18"/>
                <w:szCs w:val="18"/>
              </w:rPr>
              <w:t>19%</w:t>
            </w:r>
            <w:r>
              <w:rPr>
                <w:rFonts w:ascii="宋体" w:hAnsi="宋体" w:cs="宋体" w:eastAsia="宋体" w:hint="default"/>
                <w:sz w:val="18"/>
                <w:szCs w:val="18"/>
              </w:rPr>
              <w:t>、</w:t>
            </w:r>
            <w:r>
              <w:rPr>
                <w:rFonts w:ascii="Times New Roman" w:hAnsi="Times New Roman" w:cs="Times New Roman" w:eastAsia="Times New Roman" w:hint="default"/>
                <w:sz w:val="18"/>
                <w:szCs w:val="18"/>
              </w:rPr>
              <w:t>25%</w:t>
            </w:r>
          </w:p>
        </w:tc>
      </w:tr>
      <w:tr>
        <w:trPr>
          <w:trHeight w:val="402" w:hRule="exact"/>
        </w:trPr>
        <w:tc>
          <w:tcPr>
            <w:tcW w:w="3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实缴流转税税额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3%</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6" w:type="dxa"/>
        <w:tblLayout w:type="fixed"/>
        <w:tblCellMar>
          <w:top w:w="0" w:type="dxa"/>
          <w:left w:w="0" w:type="dxa"/>
          <w:bottom w:w="0" w:type="dxa"/>
          <w:right w:w="0" w:type="dxa"/>
        </w:tblCellMar>
        <w:tblLook w:val="01E0"/>
      </w:tblPr>
      <w:tblGrid>
        <w:gridCol w:w="3192"/>
        <w:gridCol w:w="3190"/>
        <w:gridCol w:w="3190"/>
      </w:tblGrid>
      <w:tr>
        <w:trPr>
          <w:trHeight w:val="402" w:hRule="exact"/>
        </w:trPr>
        <w:tc>
          <w:tcPr>
            <w:tcW w:w="31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实缴流转税税额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1.5%</w:t>
            </w:r>
          </w:p>
        </w:tc>
      </w:tr>
    </w:tbl>
    <w:p>
      <w:pPr>
        <w:pStyle w:val="BodyText"/>
        <w:spacing w:line="240" w:lineRule="auto" w:before="51"/>
        <w:ind w:right="1134"/>
        <w:jc w:val="left"/>
      </w:pPr>
      <w:r>
        <w:rPr/>
        <w:t>存在不同企业所得税税率纳税主体的，披露情况说明</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深圳正达资讯公司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深圳蓝云达公司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深圳江南正鼎公司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优博讯软件公司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香港优博讯公司</w:t>
            </w:r>
            <w:r>
              <w:rPr>
                <w:rFonts w:ascii="Times New Roman" w:hAnsi="Times New Roman" w:cs="Times New Roman" w:eastAsia="Times New Roman"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16.5%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马来西亚优博讯公司</w:t>
            </w:r>
            <w:r>
              <w:rPr>
                <w:rFonts w:ascii="Times New Roman" w:hAnsi="Times New Roman" w:cs="Times New Roman" w:eastAsia="Times New Roman"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19%</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优金支付公司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武汉优博讯软件公司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25%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瑞柏泰公司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帕思菲特公司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香港乐乐高公司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16.5%</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税收优惠" w:id="212"/>
      <w:bookmarkEnd w:id="212"/>
      <w:r>
        <w:rPr>
          <w:b w:val="0"/>
          <w:bCs w:val="0"/>
        </w:rPr>
      </w:r>
      <w:r>
        <w:rPr>
          <w:rFonts w:ascii="Times New Roman" w:hAnsi="Times New Roman" w:cs="Times New Roman" w:eastAsia="Times New Roman" w:hint="default"/>
        </w:rPr>
        <w:t>2</w:t>
      </w:r>
      <w:r>
        <w:rPr/>
        <w:t>、税收优惠</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left="514" w:right="1122"/>
        <w:jc w:val="left"/>
      </w:pPr>
      <w:r>
        <w:rPr>
          <w:rFonts w:ascii="宋体" w:hAnsi="宋体" w:cs="宋体" w:eastAsia="宋体" w:hint="default"/>
        </w:rPr>
        <w:t>1.</w:t>
      </w:r>
      <w:r>
        <w:rPr/>
        <w:t>增值税 根据《关于软件产品增值税政策的通知》（财税</w:t>
      </w:r>
      <w:r>
        <w:rPr>
          <w:rFonts w:ascii="宋体" w:hAnsi="宋体" w:cs="宋体" w:eastAsia="宋体" w:hint="default"/>
        </w:rPr>
        <w:t>[2011]100</w:t>
      </w:r>
      <w:r>
        <w:rPr/>
        <w:t>号），本公司、深圳正达资讯公司、深圳蓝云达公司、深圳</w:t>
      </w:r>
    </w:p>
    <w:p>
      <w:pPr>
        <w:pStyle w:val="BodyText"/>
        <w:spacing w:line="224" w:lineRule="exact"/>
        <w:ind w:right="0"/>
        <w:jc w:val="left"/>
      </w:pPr>
      <w:r>
        <w:rPr/>
        <w:t>江南正鼎公司、优博讯软件公司、优金支付公司、帕思菲特公司、武汉优博讯软件公司销售自行开发生产的软件产品，经主</w:t>
      </w:r>
    </w:p>
    <w:p>
      <w:pPr>
        <w:pStyle w:val="BodyText"/>
        <w:spacing w:line="357" w:lineRule="auto" w:before="77"/>
        <w:ind w:left="514" w:right="6072" w:hanging="360"/>
        <w:jc w:val="left"/>
      </w:pPr>
      <w:r>
        <w:rPr/>
        <w:t>管税务部门审核后，实际税负超过</w:t>
      </w:r>
      <w:r>
        <w:rPr>
          <w:rFonts w:ascii="宋体" w:hAnsi="宋体" w:cs="宋体" w:eastAsia="宋体" w:hint="default"/>
        </w:rPr>
        <w:t>3%</w:t>
      </w:r>
      <w:r>
        <w:rPr/>
        <w:t>的部分实行即征即退。 </w:t>
      </w:r>
      <w:r>
        <w:rPr>
          <w:rFonts w:ascii="宋体" w:hAnsi="宋体" w:cs="宋体" w:eastAsia="宋体" w:hint="default"/>
        </w:rPr>
        <w:t>2.</w:t>
      </w:r>
      <w:r>
        <w:rPr/>
        <w:t>企业所得税</w:t>
      </w:r>
    </w:p>
    <w:p>
      <w:pPr>
        <w:pStyle w:val="BodyText"/>
        <w:spacing w:line="319" w:lineRule="auto" w:before="26"/>
        <w:ind w:right="1139" w:firstLine="360"/>
        <w:jc w:val="left"/>
      </w:pPr>
      <w:r>
        <w:rPr/>
        <w:t>本公司于</w:t>
      </w:r>
      <w:r>
        <w:rPr>
          <w:rFonts w:ascii="宋体" w:hAnsi="宋体" w:cs="宋体" w:eastAsia="宋体" w:hint="default"/>
        </w:rPr>
        <w:t>2017</w:t>
      </w:r>
      <w:r>
        <w:rPr/>
        <w:t>年</w:t>
      </w:r>
      <w:r>
        <w:rPr>
          <w:rFonts w:ascii="宋体" w:hAnsi="宋体" w:cs="宋体" w:eastAsia="宋体" w:hint="default"/>
        </w:rPr>
        <w:t>8</w:t>
      </w:r>
      <w:r>
        <w:rPr/>
        <w:t>月</w:t>
      </w:r>
      <w:r>
        <w:rPr>
          <w:rFonts w:ascii="宋体" w:hAnsi="宋体" w:cs="宋体" w:eastAsia="宋体" w:hint="default"/>
        </w:rPr>
        <w:t>17</w:t>
      </w:r>
      <w:r>
        <w:rPr/>
        <w:t>日重新申请高新技术企业认定，取得编号为</w:t>
      </w:r>
      <w:r>
        <w:rPr>
          <w:rFonts w:ascii="宋体" w:hAnsi="宋体" w:cs="宋体" w:eastAsia="宋体" w:hint="default"/>
        </w:rPr>
        <w:t>GR201744200554</w:t>
      </w:r>
      <w:r>
        <w:rPr/>
        <w:t>的高新企业证书，根据国家对高新技 术企业的相关优惠政策，认定合格的高新技术企业自认定当年起三年内，减按</w:t>
      </w:r>
      <w:r>
        <w:rPr>
          <w:rFonts w:ascii="宋体" w:hAnsi="宋体" w:cs="宋体" w:eastAsia="宋体" w:hint="default"/>
        </w:rPr>
        <w:t>15%</w:t>
      </w:r>
      <w:r>
        <w:rPr/>
        <w:t>的所得税税率缴纳企业所得税，本公司 </w:t>
      </w:r>
      <w:r>
        <w:rPr>
          <w:rFonts w:ascii="宋体" w:hAnsi="宋体" w:cs="宋体" w:eastAsia="宋体" w:hint="default"/>
        </w:rPr>
        <w:t>2017-2019</w:t>
      </w:r>
      <w:r>
        <w:rPr/>
        <w:t>年度享受该优惠政策。</w:t>
      </w:r>
    </w:p>
    <w:p>
      <w:pPr>
        <w:pStyle w:val="BodyText"/>
        <w:spacing w:line="319" w:lineRule="auto" w:before="56"/>
        <w:ind w:right="0" w:firstLine="360"/>
        <w:jc w:val="left"/>
      </w:pPr>
      <w:r>
        <w:rPr/>
        <w:t>优金支付公司于</w:t>
      </w:r>
      <w:r>
        <w:rPr>
          <w:rFonts w:ascii="宋体" w:hAnsi="宋体" w:cs="宋体" w:eastAsia="宋体" w:hint="default"/>
        </w:rPr>
        <w:t>2018</w:t>
      </w:r>
      <w:r>
        <w:rPr/>
        <w:t>年</w:t>
      </w:r>
      <w:r>
        <w:rPr>
          <w:rFonts w:ascii="宋体" w:hAnsi="宋体" w:cs="宋体" w:eastAsia="宋体" w:hint="default"/>
        </w:rPr>
        <w:t>11</w:t>
      </w:r>
      <w:r>
        <w:rPr/>
        <w:t>月</w:t>
      </w:r>
      <w:r>
        <w:rPr>
          <w:rFonts w:ascii="宋体" w:hAnsi="宋体" w:cs="宋体" w:eastAsia="宋体" w:hint="default"/>
        </w:rPr>
        <w:t>9</w:t>
      </w:r>
      <w:r>
        <w:rPr/>
        <w:t>日申请高新技术企业认定，取得编号为</w:t>
      </w:r>
      <w:r>
        <w:rPr>
          <w:rFonts w:ascii="宋体" w:hAnsi="宋体" w:cs="宋体" w:eastAsia="宋体" w:hint="default"/>
        </w:rPr>
        <w:t>GR201844203905</w:t>
      </w:r>
      <w:r>
        <w:rPr/>
        <w:t>的高新企业证书，有效期为三年。 </w:t>
      </w:r>
      <w:r>
        <w:rPr>
          <w:spacing w:val="-2"/>
        </w:rPr>
        <w:t>根据财税</w:t>
      </w:r>
      <w:r>
        <w:rPr>
          <w:rFonts w:ascii="宋体" w:hAnsi="宋体" w:cs="宋体" w:eastAsia="宋体" w:hint="default"/>
          <w:spacing w:val="-2"/>
        </w:rPr>
        <w:t>[2012]27</w:t>
      </w:r>
      <w:r>
        <w:rPr>
          <w:spacing w:val="-2"/>
        </w:rPr>
        <w:t>号《财政部、国家税务总局关于进一步鼓励软件产业和集成电路产业发展企业所得税政策的通知》，优金</w:t>
      </w:r>
      <w:r>
        <w:rPr>
          <w:spacing w:val="-58"/>
        </w:rPr>
        <w:t> </w:t>
      </w:r>
      <w:r>
        <w:rPr>
          <w:spacing w:val="-58"/>
        </w:rPr>
      </w:r>
      <w:r>
        <w:rPr>
          <w:spacing w:val="-4"/>
        </w:rPr>
        <w:t>支付公司从获利年度起，两年免征企业所得税，三年减半征收企业所得税。优金支付公司</w:t>
      </w:r>
      <w:r>
        <w:rPr>
          <w:rFonts w:ascii="宋体" w:hAnsi="宋体" w:cs="宋体" w:eastAsia="宋体" w:hint="default"/>
          <w:spacing w:val="-4"/>
        </w:rPr>
        <w:t>2018</w:t>
      </w:r>
      <w:r>
        <w:rPr>
          <w:spacing w:val="-4"/>
        </w:rPr>
        <w:t>年度为开始获利的第三个年度，</w:t>
      </w:r>
      <w:r>
        <w:rPr>
          <w:spacing w:val="-36"/>
        </w:rPr>
        <w:t> </w:t>
      </w:r>
      <w:r>
        <w:rPr/>
        <w:t>减半征收企业所得税。</w:t>
      </w:r>
    </w:p>
    <w:p>
      <w:pPr>
        <w:pStyle w:val="BodyText"/>
        <w:spacing w:line="319" w:lineRule="auto" w:before="55"/>
        <w:ind w:right="1131" w:firstLine="360"/>
        <w:jc w:val="left"/>
      </w:pPr>
      <w:r>
        <w:rPr>
          <w:spacing w:val="-2"/>
        </w:rPr>
        <w:t>瑞柏泰公司于</w:t>
      </w:r>
      <w:r>
        <w:rPr>
          <w:rFonts w:ascii="宋体" w:hAnsi="宋体" w:cs="宋体" w:eastAsia="宋体" w:hint="default"/>
          <w:spacing w:val="-2"/>
        </w:rPr>
        <w:t>2017</w:t>
      </w:r>
      <w:r>
        <w:rPr>
          <w:spacing w:val="-2"/>
        </w:rPr>
        <w:t>年</w:t>
      </w:r>
      <w:r>
        <w:rPr>
          <w:rFonts w:ascii="宋体" w:hAnsi="宋体" w:cs="宋体" w:eastAsia="宋体" w:hint="default"/>
          <w:spacing w:val="-2"/>
        </w:rPr>
        <w:t>10</w:t>
      </w:r>
      <w:r>
        <w:rPr>
          <w:spacing w:val="-2"/>
        </w:rPr>
        <w:t>月</w:t>
      </w:r>
      <w:r>
        <w:rPr>
          <w:rFonts w:ascii="宋体" w:hAnsi="宋体" w:cs="宋体" w:eastAsia="宋体" w:hint="default"/>
          <w:spacing w:val="-2"/>
        </w:rPr>
        <w:t>31</w:t>
      </w:r>
      <w:r>
        <w:rPr>
          <w:spacing w:val="-2"/>
        </w:rPr>
        <w:t>日取得编号为</w:t>
      </w:r>
      <w:r>
        <w:rPr>
          <w:rFonts w:ascii="宋体" w:hAnsi="宋体" w:cs="宋体" w:eastAsia="宋体" w:hint="default"/>
          <w:spacing w:val="-2"/>
        </w:rPr>
        <w:t>GR201744204882</w:t>
      </w:r>
      <w:r>
        <w:rPr>
          <w:spacing w:val="-2"/>
        </w:rPr>
        <w:t>的高新技术企业证书，有效期为三年。根据国家对高新技术企</w:t>
      </w:r>
      <w:r>
        <w:rPr/>
        <w:t> 业的相关优惠政策，认定合格的高新技术企业自认定当年起三年内，减按</w:t>
      </w:r>
      <w:r>
        <w:rPr>
          <w:rFonts w:ascii="宋体" w:hAnsi="宋体" w:cs="宋体" w:eastAsia="宋体" w:hint="default"/>
        </w:rPr>
        <w:t>15%</w:t>
      </w:r>
      <w:r>
        <w:rPr/>
        <w:t>的所得税税率缴纳企业所得税，瑞柏泰公司 </w:t>
      </w:r>
      <w:r>
        <w:rPr>
          <w:rFonts w:ascii="宋体" w:hAnsi="宋体" w:cs="宋体" w:eastAsia="宋体" w:hint="default"/>
        </w:rPr>
        <w:t>2017-2019</w:t>
      </w:r>
      <w:r>
        <w:rPr/>
        <w:t>年度享受该优惠政策。</w:t>
      </w:r>
    </w:p>
    <w:p>
      <w:pPr>
        <w:pStyle w:val="BodyText"/>
        <w:spacing w:line="319" w:lineRule="auto" w:before="55"/>
        <w:ind w:right="1131" w:firstLine="360"/>
        <w:jc w:val="both"/>
      </w:pPr>
      <w:r>
        <w:rPr>
          <w:spacing w:val="-2"/>
        </w:rPr>
        <w:t>帕思菲特公司于</w:t>
      </w:r>
      <w:r>
        <w:rPr>
          <w:rFonts w:ascii="宋体" w:hAnsi="宋体" w:cs="宋体" w:eastAsia="宋体" w:hint="default"/>
          <w:spacing w:val="-2"/>
        </w:rPr>
        <w:t>2017</w:t>
      </w:r>
      <w:r>
        <w:rPr>
          <w:spacing w:val="-2"/>
        </w:rPr>
        <w:t>年</w:t>
      </w:r>
      <w:r>
        <w:rPr>
          <w:rFonts w:ascii="宋体" w:hAnsi="宋体" w:cs="宋体" w:eastAsia="宋体" w:hint="default"/>
          <w:spacing w:val="-2"/>
        </w:rPr>
        <w:t>10</w:t>
      </w:r>
      <w:r>
        <w:rPr>
          <w:spacing w:val="-2"/>
        </w:rPr>
        <w:t>月</w:t>
      </w:r>
      <w:r>
        <w:rPr>
          <w:rFonts w:ascii="宋体" w:hAnsi="宋体" w:cs="宋体" w:eastAsia="宋体" w:hint="default"/>
          <w:spacing w:val="-2"/>
        </w:rPr>
        <w:t>31</w:t>
      </w:r>
      <w:r>
        <w:rPr>
          <w:spacing w:val="-2"/>
        </w:rPr>
        <w:t>日取得编号为</w:t>
      </w:r>
      <w:r>
        <w:rPr>
          <w:rFonts w:ascii="宋体" w:hAnsi="宋体" w:cs="宋体" w:eastAsia="宋体" w:hint="default"/>
          <w:spacing w:val="-2"/>
        </w:rPr>
        <w:t>GR201744204102</w:t>
      </w:r>
      <w:r>
        <w:rPr>
          <w:spacing w:val="-2"/>
        </w:rPr>
        <w:t>的高新技术企业证书，有效期为三年。根据国家对高新技术</w:t>
      </w:r>
      <w:r>
        <w:rPr/>
        <w:t> 企业的相关优惠政策，认定合格的高新技术企业自认定当年起三年内，减按</w:t>
      </w:r>
      <w:r>
        <w:rPr>
          <w:rFonts w:ascii="宋体" w:hAnsi="宋体" w:cs="宋体" w:eastAsia="宋体" w:hint="default"/>
        </w:rPr>
        <w:t>15%</w:t>
      </w:r>
      <w:r>
        <w:rPr/>
        <w:t>的所得税税率缴纳企业所得税，帕思菲特公 司</w:t>
      </w:r>
      <w:r>
        <w:rPr>
          <w:rFonts w:ascii="宋体" w:hAnsi="宋体" w:cs="宋体" w:eastAsia="宋体" w:hint="default"/>
        </w:rPr>
        <w:t>2017-2019</w:t>
      </w:r>
      <w:r>
        <w:rPr/>
        <w:t>年度享受该优惠政策。</w:t>
      </w:r>
    </w:p>
    <w:p>
      <w:pPr>
        <w:spacing w:after="0" w:line="319" w:lineRule="auto"/>
        <w:jc w:val="both"/>
        <w:sectPr>
          <w:pgSz w:w="11910" w:h="16840"/>
          <w:pgMar w:header="747" w:footer="979" w:top="1060" w:bottom="1160" w:left="980" w:right="0"/>
        </w:sectPr>
      </w:pPr>
    </w:p>
    <w:p>
      <w:pPr>
        <w:spacing w:line="240" w:lineRule="auto" w:before="8"/>
        <w:rPr>
          <w:rFonts w:ascii="宋体" w:hAnsi="宋体" w:cs="宋体" w:eastAsia="宋体" w:hint="default"/>
          <w:sz w:val="23"/>
          <w:szCs w:val="23"/>
        </w:rPr>
      </w:pPr>
    </w:p>
    <w:p>
      <w:pPr>
        <w:pStyle w:val="Heading2"/>
        <w:spacing w:line="240" w:lineRule="auto" w:before="26"/>
        <w:ind w:right="1134"/>
        <w:jc w:val="left"/>
        <w:rPr>
          <w:b w:val="0"/>
          <w:bCs w:val="0"/>
        </w:rPr>
      </w:pPr>
      <w:bookmarkStart w:name="七、合并财务报表项目注释" w:id="213"/>
      <w:bookmarkEnd w:id="213"/>
      <w:r>
        <w:rPr>
          <w:b w:val="0"/>
          <w:bCs w:val="0"/>
        </w:rPr>
      </w:r>
      <w:r>
        <w:rPr/>
        <w:t>七、合并财务报表项目注释</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货币资金" w:id="214"/>
      <w:bookmarkEnd w:id="214"/>
      <w:r>
        <w:rPr>
          <w:b w:val="0"/>
          <w:bCs w:val="0"/>
        </w:rPr>
      </w:r>
      <w:r>
        <w:rPr>
          <w:rFonts w:ascii="Times New Roman" w:hAnsi="Times New Roman" w:cs="Times New Roman" w:eastAsia="Times New Roman" w:hint="default"/>
        </w:rPr>
        <w:t>1</w:t>
      </w:r>
      <w:r>
        <w:rPr/>
        <w:t>、货币资金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61,287.18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54,972.24</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361,325,996.03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302,988,102.46</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23,000,054.21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21,052,559.47</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384,387,337.42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324,095,634.17</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1" w:right="0"/>
              <w:jc w:val="left"/>
              <w:rPr>
                <w:rFonts w:ascii="宋体" w:hAnsi="宋体" w:cs="宋体" w:eastAsia="宋体" w:hint="default"/>
                <w:sz w:val="18"/>
                <w:szCs w:val="18"/>
              </w:rPr>
            </w:pPr>
            <w:r>
              <w:rPr>
                <w:rFonts w:ascii="宋体" w:hAnsi="宋体" w:cs="宋体" w:eastAsia="宋体" w:hint="default"/>
                <w:sz w:val="18"/>
                <w:szCs w:val="18"/>
              </w:rPr>
              <w:t>其中：存放在境外的款项总额</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3,736,424.47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2,566,904.41</w:t>
            </w:r>
          </w:p>
        </w:tc>
      </w:tr>
    </w:tbl>
    <w:p>
      <w:pPr>
        <w:pStyle w:val="BodyText"/>
        <w:spacing w:line="240" w:lineRule="auto" w:before="51"/>
        <w:ind w:right="1134"/>
        <w:jc w:val="left"/>
      </w:pPr>
      <w:r>
        <w:rPr/>
        <w:t>其他说明</w:t>
      </w:r>
    </w:p>
    <w:p>
      <w:pPr>
        <w:pStyle w:val="BodyText"/>
        <w:spacing w:line="240" w:lineRule="auto" w:before="115"/>
        <w:ind w:left="574" w:right="1134"/>
        <w:jc w:val="left"/>
      </w:pPr>
      <w:r>
        <w:rPr/>
        <w:t>其中受限制的货币资金明细如下：</w:t>
      </w:r>
    </w:p>
    <w:p>
      <w:pPr>
        <w:spacing w:line="240" w:lineRule="auto" w:before="0"/>
        <w:rPr>
          <w:rFonts w:ascii="宋体" w:hAnsi="宋体" w:cs="宋体" w:eastAsia="宋体" w:hint="default"/>
          <w:sz w:val="5"/>
          <w:szCs w:val="5"/>
        </w:rPr>
      </w:pPr>
    </w:p>
    <w:tbl>
      <w:tblPr>
        <w:tblW w:w="0" w:type="auto"/>
        <w:jc w:val="left"/>
        <w:tblInd w:w="146" w:type="dxa"/>
        <w:tblLayout w:type="fixed"/>
        <w:tblCellMar>
          <w:top w:w="0" w:type="dxa"/>
          <w:left w:w="0" w:type="dxa"/>
          <w:bottom w:w="0" w:type="dxa"/>
          <w:right w:w="0" w:type="dxa"/>
        </w:tblCellMar>
        <w:tblLook w:val="01E0"/>
      </w:tblPr>
      <w:tblGrid>
        <w:gridCol w:w="4089"/>
        <w:gridCol w:w="2729"/>
        <w:gridCol w:w="2729"/>
      </w:tblGrid>
      <w:tr>
        <w:trPr>
          <w:trHeight w:val="348" w:hRule="exact"/>
        </w:trPr>
        <w:tc>
          <w:tcPr>
            <w:tcW w:w="40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857"/>
              <w:jc w:val="right"/>
              <w:rPr>
                <w:rFonts w:ascii="宋体" w:hAnsi="宋体" w:cs="宋体" w:eastAsia="宋体" w:hint="default"/>
                <w:sz w:val="18"/>
                <w:szCs w:val="18"/>
              </w:rPr>
            </w:pPr>
            <w:r>
              <w:rPr>
                <w:rFonts w:ascii="宋体" w:hAnsi="宋体" w:cs="宋体" w:eastAsia="宋体" w:hint="default"/>
                <w:sz w:val="18"/>
                <w:szCs w:val="18"/>
              </w:rPr>
              <w:t>项目</w:t>
            </w:r>
          </w:p>
        </w:tc>
        <w:tc>
          <w:tcPr>
            <w:tcW w:w="27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7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47" w:hRule="exact"/>
        </w:trPr>
        <w:tc>
          <w:tcPr>
            <w:tcW w:w="40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银行承兑汇票保证金</w:t>
            </w:r>
          </w:p>
        </w:tc>
        <w:tc>
          <w:tcPr>
            <w:tcW w:w="27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z w:val="18"/>
              </w:rPr>
              <w:t>291,219.77</w:t>
            </w:r>
          </w:p>
        </w:tc>
        <w:tc>
          <w:tcPr>
            <w:tcW w:w="27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5,285,741.03</w:t>
            </w:r>
          </w:p>
        </w:tc>
      </w:tr>
      <w:tr>
        <w:trPr>
          <w:trHeight w:val="347" w:hRule="exact"/>
        </w:trPr>
        <w:tc>
          <w:tcPr>
            <w:tcW w:w="40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保函保证金</w:t>
            </w:r>
          </w:p>
        </w:tc>
        <w:tc>
          <w:tcPr>
            <w:tcW w:w="27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17,708,834.44</w:t>
            </w:r>
          </w:p>
        </w:tc>
        <w:tc>
          <w:tcPr>
            <w:tcW w:w="27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15,766,818.44</w:t>
            </w:r>
          </w:p>
        </w:tc>
      </w:tr>
      <w:tr>
        <w:trPr>
          <w:trHeight w:val="347" w:hRule="exact"/>
        </w:trPr>
        <w:tc>
          <w:tcPr>
            <w:tcW w:w="40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共管账户保证金</w:t>
            </w:r>
            <w:r>
              <w:rPr>
                <w:rFonts w:ascii="Times New Roman" w:hAnsi="Times New Roman" w:cs="Times New Roman" w:eastAsia="Times New Roman" w:hint="default"/>
                <w:sz w:val="18"/>
                <w:szCs w:val="18"/>
              </w:rPr>
              <w:t>*</w:t>
            </w:r>
          </w:p>
        </w:tc>
        <w:tc>
          <w:tcPr>
            <w:tcW w:w="27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5,000,000.00</w:t>
            </w:r>
          </w:p>
        </w:tc>
        <w:tc>
          <w:tcPr>
            <w:tcW w:w="27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348" w:hRule="exact"/>
        </w:trPr>
        <w:tc>
          <w:tcPr>
            <w:tcW w:w="40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857"/>
              <w:jc w:val="right"/>
              <w:rPr>
                <w:rFonts w:ascii="宋体" w:hAnsi="宋体" w:cs="宋体" w:eastAsia="宋体" w:hint="default"/>
                <w:sz w:val="18"/>
                <w:szCs w:val="18"/>
              </w:rPr>
            </w:pPr>
            <w:r>
              <w:rPr>
                <w:rFonts w:ascii="宋体" w:hAnsi="宋体" w:cs="宋体" w:eastAsia="宋体" w:hint="default"/>
                <w:sz w:val="18"/>
                <w:szCs w:val="18"/>
              </w:rPr>
              <w:t>合计</w:t>
            </w:r>
          </w:p>
        </w:tc>
        <w:tc>
          <w:tcPr>
            <w:tcW w:w="27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23,000,054.21</w:t>
            </w:r>
          </w:p>
        </w:tc>
        <w:tc>
          <w:tcPr>
            <w:tcW w:w="272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21,052,559.47</w:t>
            </w:r>
          </w:p>
        </w:tc>
      </w:tr>
    </w:tbl>
    <w:p>
      <w:pPr>
        <w:pStyle w:val="BodyText"/>
        <w:spacing w:line="307" w:lineRule="auto" w:before="51"/>
        <w:ind w:right="1130"/>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月，本公司与珠海佳博科技股份有限公司股东签署《发行股份及支付现金购买资产协议》，并约定本公司及陈建</w:t>
      </w:r>
      <w:r>
        <w:rPr>
          <w:spacing w:val="-83"/>
        </w:rPr>
        <w:t> </w:t>
      </w:r>
      <w:r>
        <w:rPr>
          <w:spacing w:val="-83"/>
        </w:rPr>
      </w:r>
      <w:r>
        <w:rPr/>
        <w:t>辉均应自本次交易获得本公司第三届第四次董事会议通过之日起五个工作日内向以本公司名义开立的浙商银行深圳分行营</w:t>
      </w:r>
      <w:r>
        <w:rPr>
          <w:spacing w:val="-9"/>
        </w:rPr>
        <w:t> </w:t>
      </w:r>
      <w:r>
        <w:rPr>
          <w:spacing w:val="-9"/>
        </w:rPr>
      </w:r>
      <w:r>
        <w:rPr/>
        <w:t>业部共管账户内汇入</w:t>
      </w:r>
      <w:r>
        <w:rPr>
          <w:rFonts w:ascii="Times New Roman" w:hAnsi="Times New Roman" w:cs="Times New Roman" w:eastAsia="Times New Roman" w:hint="default"/>
        </w:rPr>
        <w:t>500.00</w:t>
      </w:r>
      <w:r>
        <w:rPr/>
        <w:t>万元的诚意金。陈建辉已于</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26</w:t>
      </w:r>
      <w:r>
        <w:rPr/>
        <w:t>日汇入</w:t>
      </w:r>
      <w:r>
        <w:rPr>
          <w:rFonts w:ascii="Times New Roman" w:hAnsi="Times New Roman" w:cs="Times New Roman" w:eastAsia="Times New Roman" w:hint="default"/>
        </w:rPr>
        <w:t>500.00</w:t>
      </w:r>
      <w:r>
        <w:rPr/>
        <w:t>万元至共管账户（本公司于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10</w:t>
      </w:r>
      <w:r>
        <w:rPr>
          <w:rFonts w:ascii="Times New Roman" w:hAnsi="Times New Roman" w:cs="Times New Roman" w:eastAsia="Times New Roman" w:hint="default"/>
          <w:spacing w:val="40"/>
        </w:rPr>
        <w:t> </w:t>
      </w:r>
      <w:r>
        <w:rPr/>
        <w:t>日汇入</w:t>
      </w:r>
      <w:r>
        <w:rPr>
          <w:rFonts w:ascii="Times New Roman" w:hAnsi="Times New Roman" w:cs="Times New Roman" w:eastAsia="Times New Roman" w:hint="default"/>
        </w:rPr>
        <w:t>500.00</w:t>
      </w:r>
      <w:r>
        <w:rPr/>
        <w:t>万元至共管账户）。</w:t>
      </w:r>
    </w:p>
    <w:p>
      <w:pPr>
        <w:spacing w:line="240" w:lineRule="auto" w:before="6"/>
        <w:rPr>
          <w:rFonts w:ascii="宋体" w:hAnsi="宋体" w:cs="宋体" w:eastAsia="宋体" w:hint="default"/>
          <w:sz w:val="21"/>
          <w:szCs w:val="21"/>
        </w:rPr>
      </w:pPr>
    </w:p>
    <w:p>
      <w:pPr>
        <w:pStyle w:val="Heading3"/>
        <w:spacing w:line="240" w:lineRule="auto"/>
        <w:ind w:right="0"/>
        <w:jc w:val="both"/>
        <w:rPr>
          <w:b w:val="0"/>
          <w:bCs w:val="0"/>
        </w:rPr>
      </w:pPr>
      <w:bookmarkStart w:name="2、以公允价值计量且其变动计入当期损益的金融资产" w:id="215"/>
      <w:bookmarkEnd w:id="215"/>
      <w:r>
        <w:rPr>
          <w:b w:val="0"/>
          <w:bCs w:val="0"/>
        </w:rPr>
      </w:r>
      <w:r>
        <w:rPr>
          <w:rFonts w:ascii="Times New Roman" w:hAnsi="Times New Roman" w:cs="Times New Roman" w:eastAsia="Times New Roman" w:hint="default"/>
        </w:rPr>
        <w:t>2</w:t>
      </w:r>
      <w:r>
        <w:rPr/>
        <w:t>、以公允价值计量且其变动计入当期损益的金融资产</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4"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83"/>
              <w:jc w:val="left"/>
              <w:rPr>
                <w:rFonts w:ascii="宋体" w:hAnsi="宋体" w:cs="宋体" w:eastAsia="宋体" w:hint="default"/>
                <w:sz w:val="18"/>
                <w:szCs w:val="18"/>
              </w:rPr>
            </w:pPr>
            <w:r>
              <w:rPr>
                <w:rFonts w:ascii="宋体" w:hAnsi="宋体" w:cs="宋体" w:eastAsia="宋体" w:hint="default"/>
                <w:sz w:val="18"/>
                <w:szCs w:val="18"/>
              </w:rPr>
              <w:t>指定以公允价值计量且其变动计入当期 损益的金融资产</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3,293,217.16</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3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3,293,217.16</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3,293,217.16</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3、应收票据及应收账款" w:id="216"/>
      <w:bookmarkEnd w:id="216"/>
      <w:r>
        <w:rPr>
          <w:b w:val="0"/>
          <w:bCs w:val="0"/>
        </w:rPr>
      </w:r>
      <w:r>
        <w:rPr>
          <w:rFonts w:ascii="Times New Roman" w:hAnsi="Times New Roman" w:cs="Times New Roman" w:eastAsia="Times New Roman" w:hint="default"/>
        </w:rPr>
        <w:t>3</w:t>
      </w:r>
      <w:r>
        <w:rPr/>
        <w:t>、应收票据及应收账款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40,987,297.99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12,360,475.10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275,781,157.45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165,708,872.92</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316,768,455.44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178,069,348.02</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right="1134"/>
        <w:jc w:val="left"/>
        <w:rPr>
          <w:b w:val="0"/>
          <w:bCs w:val="0"/>
        </w:rPr>
      </w:pPr>
      <w:bookmarkStart w:name="（1）应收票据" w:id="217"/>
      <w:bookmarkEnd w:id="217"/>
      <w:r>
        <w:rPr>
          <w:b w:val="0"/>
          <w:bCs w:val="0"/>
        </w:rPr>
      </w:r>
      <w:r>
        <w:rPr/>
        <w:t>（</w:t>
      </w:r>
      <w:r>
        <w:rPr>
          <w:rFonts w:ascii="Times New Roman" w:hAnsi="Times New Roman" w:cs="Times New Roman" w:eastAsia="Times New Roman" w:hint="default"/>
        </w:rPr>
        <w:t>1</w:t>
      </w:r>
      <w:r>
        <w:rPr/>
        <w:t>）应收票据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1134"/>
        <w:jc w:val="left"/>
      </w:pPr>
      <w:r>
        <w:rPr>
          <w:rFonts w:ascii="Times New Roman" w:hAnsi="Times New Roman" w:cs="Times New Roman" w:eastAsia="Times New Roman" w:hint="default"/>
        </w:rPr>
        <w:t>1)</w:t>
      </w:r>
      <w:r>
        <w:rPr/>
        <w:t>应收票据分类列示</w:t>
      </w:r>
    </w:p>
    <w:p>
      <w:pPr>
        <w:pStyle w:val="BodyText"/>
        <w:spacing w:line="240" w:lineRule="auto" w:before="102"/>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40,718,048.00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12,360,475.10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269,249.99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40,987,297.99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12,360,475.10</w:t>
            </w:r>
          </w:p>
        </w:tc>
      </w:tr>
    </w:tbl>
    <w:p>
      <w:pPr>
        <w:pStyle w:val="BodyText"/>
        <w:spacing w:line="240" w:lineRule="auto" w:before="51"/>
        <w:ind w:right="1134"/>
        <w:jc w:val="left"/>
      </w:pPr>
      <w:r>
        <w:rPr>
          <w:rFonts w:ascii="Times New Roman" w:hAnsi="Times New Roman" w:cs="Times New Roman" w:eastAsia="Times New Roman" w:hint="default"/>
        </w:rPr>
        <w:t>2)</w:t>
      </w:r>
      <w:r>
        <w:rPr/>
        <w:t>期末公司已质押的应收票据</w:t>
      </w:r>
    </w:p>
    <w:p>
      <w:pPr>
        <w:pStyle w:val="BodyText"/>
        <w:spacing w:line="240" w:lineRule="auto" w:before="103"/>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4762"/>
        <w:gridCol w:w="4796"/>
      </w:tblGrid>
      <w:tr>
        <w:trPr>
          <w:trHeight w:val="402"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期末已质押金额</w:t>
            </w:r>
          </w:p>
        </w:tc>
      </w:tr>
      <w:tr>
        <w:trPr>
          <w:trHeight w:val="402"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36,718,048.00</w:t>
            </w:r>
          </w:p>
        </w:tc>
      </w:tr>
      <w:tr>
        <w:trPr>
          <w:trHeight w:val="402"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36,718,048.00</w:t>
            </w:r>
          </w:p>
        </w:tc>
      </w:tr>
    </w:tbl>
    <w:p>
      <w:pPr>
        <w:pStyle w:val="BodyText"/>
        <w:spacing w:line="240" w:lineRule="auto" w:before="51"/>
        <w:ind w:right="0"/>
        <w:jc w:val="both"/>
      </w:pPr>
      <w:r>
        <w:rPr/>
        <w:t>说明：</w:t>
      </w:r>
    </w:p>
    <w:p>
      <w:pPr>
        <w:pStyle w:val="BodyText"/>
        <w:spacing w:line="240" w:lineRule="auto" w:before="116"/>
        <w:ind w:left="514" w:right="1134"/>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7 </w:t>
      </w:r>
      <w:r>
        <w:rPr/>
        <w:t>月</w:t>
      </w:r>
      <w:r>
        <w:rPr>
          <w:spacing w:val="-46"/>
        </w:rPr>
        <w:t> </w:t>
      </w:r>
      <w:r>
        <w:rPr>
          <w:rFonts w:ascii="Times New Roman" w:hAnsi="Times New Roman" w:cs="Times New Roman" w:eastAsia="Times New Roman" w:hint="default"/>
        </w:rPr>
        <w:t>3 </w:t>
      </w:r>
      <w:r>
        <w:rPr/>
        <w:t>日，本公司与浙商银行有限公司深圳分行签署了编号为（</w:t>
      </w:r>
      <w:r>
        <w:rPr>
          <w:rFonts w:ascii="Times New Roman" w:hAnsi="Times New Roman" w:cs="Times New Roman" w:eastAsia="Times New Roman" w:hint="default"/>
        </w:rPr>
        <w:t>33100000</w:t>
      </w:r>
      <w:r>
        <w:rPr/>
        <w:t>）浙商资产池字（</w:t>
      </w:r>
      <w:r>
        <w:rPr>
          <w:rFonts w:ascii="Times New Roman" w:hAnsi="Times New Roman" w:cs="Times New Roman" w:eastAsia="Times New Roman" w:hint="default"/>
        </w:rPr>
        <w:t>2018</w:t>
      </w:r>
      <w:r>
        <w:rPr/>
        <w:t>）第</w:t>
      </w:r>
      <w:r>
        <w:rPr>
          <w:spacing w:val="-46"/>
        </w:rPr>
        <w:t> </w:t>
      </w:r>
      <w:r>
        <w:rPr>
          <w:rFonts w:ascii="Times New Roman" w:hAnsi="Times New Roman" w:cs="Times New Roman" w:eastAsia="Times New Roman" w:hint="default"/>
        </w:rPr>
        <w:t>14968</w:t>
      </w:r>
      <w:r>
        <w:rPr>
          <w:rFonts w:ascii="Times New Roman" w:hAnsi="Times New Roman" w:cs="Times New Roman" w:eastAsia="Times New Roman" w:hint="default"/>
          <w:spacing w:val="-1"/>
        </w:rPr>
        <w:t> </w:t>
      </w:r>
      <w:r>
        <w:rPr/>
        <w:t>号</w:t>
      </w:r>
    </w:p>
    <w:p>
      <w:pPr>
        <w:pStyle w:val="BodyText"/>
        <w:spacing w:line="240" w:lineRule="auto" w:before="63"/>
        <w:ind w:right="0"/>
        <w:jc w:val="both"/>
      </w:pPr>
      <w:r>
        <w:rPr>
          <w:spacing w:val="-10"/>
        </w:rPr>
        <w:t>的</w:t>
      </w:r>
      <w:r>
        <w:rPr/>
        <w:t>《资产池业务合作协议</w:t>
      </w:r>
      <w:r>
        <w:rPr>
          <w:spacing w:val="-90"/>
        </w:rPr>
        <w:t>》</w:t>
      </w:r>
      <w:r>
        <w:rPr>
          <w:spacing w:val="-100"/>
        </w:rPr>
        <w:t>、</w:t>
      </w:r>
      <w:r>
        <w:rPr/>
        <w:t>（</w:t>
      </w:r>
      <w:r>
        <w:rPr>
          <w:rFonts w:ascii="Times New Roman" w:hAnsi="Times New Roman" w:cs="Times New Roman" w:eastAsia="Times New Roman" w:hint="default"/>
        </w:rPr>
        <w:t>33100000</w:t>
      </w:r>
      <w:r>
        <w:rPr>
          <w:spacing w:val="-9"/>
        </w:rPr>
        <w:t>）</w:t>
      </w:r>
      <w:r>
        <w:rPr/>
        <w:t>浙商票池</w:t>
      </w:r>
      <w:r>
        <w:rPr>
          <w:spacing w:val="-10"/>
        </w:rPr>
        <w:t>字</w:t>
      </w:r>
      <w:r>
        <w:rPr/>
        <w:t>（</w:t>
      </w:r>
      <w:r>
        <w:rPr>
          <w:rFonts w:ascii="Times New Roman" w:hAnsi="Times New Roman" w:cs="Times New Roman" w:eastAsia="Times New Roman" w:hint="default"/>
        </w:rPr>
        <w:t>2018</w:t>
      </w:r>
      <w:r>
        <w:rPr>
          <w:spacing w:val="-10"/>
        </w:rPr>
        <w:t>）</w:t>
      </w:r>
      <w:r>
        <w:rPr/>
        <w:t>第</w:t>
      </w:r>
      <w:r>
        <w:rPr>
          <w:spacing w:val="-46"/>
        </w:rPr>
        <w:t> </w:t>
      </w:r>
      <w:r>
        <w:rPr>
          <w:rFonts w:ascii="Times New Roman" w:hAnsi="Times New Roman" w:cs="Times New Roman" w:eastAsia="Times New Roman" w:hint="default"/>
        </w:rPr>
        <w:t>14968 </w:t>
      </w:r>
      <w:r>
        <w:rPr/>
        <w:t>号</w:t>
      </w:r>
      <w:r>
        <w:rPr>
          <w:spacing w:val="-10"/>
        </w:rPr>
        <w:t>的</w:t>
      </w:r>
      <w:r>
        <w:rPr/>
        <w:t>《票据池业务合作协议</w:t>
      </w:r>
      <w:r>
        <w:rPr>
          <w:spacing w:val="-10"/>
        </w:rPr>
        <w:t>》</w:t>
      </w:r>
      <w:r>
        <w:rPr/>
        <w:t>以</w:t>
      </w:r>
      <w:r>
        <w:rPr>
          <w:spacing w:val="-10"/>
        </w:rPr>
        <w:t>及</w:t>
      </w:r>
      <w:r>
        <w:rPr/>
        <w:t>（</w:t>
      </w:r>
      <w:r>
        <w:rPr>
          <w:rFonts w:ascii="Times New Roman" w:hAnsi="Times New Roman" w:cs="Times New Roman" w:eastAsia="Times New Roman" w:hint="default"/>
        </w:rPr>
        <w:t>3310</w:t>
      </w:r>
      <w:r>
        <w:rPr>
          <w:rFonts w:ascii="Times New Roman" w:hAnsi="Times New Roman" w:cs="Times New Roman" w:eastAsia="Times New Roman" w:hint="default"/>
          <w:spacing w:val="1"/>
        </w:rPr>
        <w:t>0</w:t>
      </w:r>
      <w:r>
        <w:rPr>
          <w:rFonts w:ascii="Times New Roman" w:hAnsi="Times New Roman" w:cs="Times New Roman" w:eastAsia="Times New Roman" w:hint="default"/>
        </w:rPr>
        <w:t>000</w:t>
      </w:r>
      <w:r>
        <w:rPr>
          <w:spacing w:val="-10"/>
        </w:rPr>
        <w:t>）</w:t>
      </w:r>
      <w:r>
        <w:rPr>
          <w:spacing w:val="1"/>
        </w:rPr>
        <w:t>浙</w:t>
      </w:r>
      <w:r>
        <w:rPr/>
        <w:t>商</w:t>
      </w:r>
    </w:p>
    <w:p>
      <w:pPr>
        <w:pStyle w:val="BodyText"/>
        <w:spacing w:line="309" w:lineRule="auto" w:before="63"/>
        <w:ind w:right="1131"/>
        <w:jc w:val="both"/>
      </w:pPr>
      <w:r>
        <w:rPr/>
        <w:t>资产池质字（</w:t>
      </w:r>
      <w:r>
        <w:rPr>
          <w:rFonts w:ascii="Times New Roman" w:hAnsi="Times New Roman" w:cs="Times New Roman" w:eastAsia="Times New Roman" w:hint="default"/>
        </w:rPr>
        <w:t>2018</w:t>
      </w:r>
      <w:r>
        <w:rPr/>
        <w:t>）第</w:t>
      </w:r>
      <w:r>
        <w:rPr>
          <w:spacing w:val="-46"/>
        </w:rPr>
        <w:t> </w:t>
      </w:r>
      <w:r>
        <w:rPr>
          <w:rFonts w:ascii="Times New Roman" w:hAnsi="Times New Roman" w:cs="Times New Roman" w:eastAsia="Times New Roman" w:hint="default"/>
        </w:rPr>
        <w:t>14969 </w:t>
      </w:r>
      <w:r>
        <w:rPr>
          <w:spacing w:val="-5"/>
        </w:rPr>
        <w:t>号的《资产池质押担保合同》，约定公司自</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w:t>
      </w:r>
      <w:r>
        <w:rPr>
          <w:spacing w:val="-46"/>
        </w:rPr>
        <w:t> </w:t>
      </w:r>
      <w:r>
        <w:rPr>
          <w:rFonts w:ascii="Times New Roman" w:hAnsi="Times New Roman" w:cs="Times New Roman" w:eastAsia="Times New Roman" w:hint="default"/>
        </w:rPr>
        <w:t>7 </w:t>
      </w:r>
      <w:r>
        <w:rPr/>
        <w:t>月</w:t>
      </w:r>
      <w:r>
        <w:rPr>
          <w:spacing w:val="-46"/>
        </w:rPr>
        <w:t> </w:t>
      </w:r>
      <w:r>
        <w:rPr>
          <w:rFonts w:ascii="Times New Roman" w:hAnsi="Times New Roman" w:cs="Times New Roman" w:eastAsia="Times New Roman" w:hint="default"/>
        </w:rPr>
        <w:t>10 </w:t>
      </w:r>
      <w:r>
        <w:rPr/>
        <w:t>日至</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1"/>
        </w:rPr>
        <w:t> </w:t>
      </w:r>
      <w:r>
        <w:rPr/>
        <w:t>年</w:t>
      </w:r>
      <w:r>
        <w:rPr>
          <w:spacing w:val="-45"/>
        </w:rPr>
        <w:t> </w:t>
      </w:r>
      <w:r>
        <w:rPr>
          <w:rFonts w:ascii="Times New Roman" w:hAnsi="Times New Roman" w:cs="Times New Roman" w:eastAsia="Times New Roman" w:hint="default"/>
        </w:rPr>
        <w:t>7 </w:t>
      </w:r>
      <w:r>
        <w:rPr/>
        <w:t>月</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1"/>
        </w:rPr>
        <w:t> </w:t>
      </w:r>
      <w:r>
        <w:rPr/>
        <w:t>日止向浙商银 </w:t>
      </w:r>
      <w:r>
        <w:rPr>
          <w:spacing w:val="-2"/>
        </w:rPr>
        <w:t>行有限公司深圳分行提交质押票据或其他质押资产进行质押申请，质押池融资额度根据资产池内质押资产和资产池保证金账</w:t>
      </w:r>
      <w:r>
        <w:rPr>
          <w:spacing w:val="-64"/>
        </w:rPr>
        <w:t> </w:t>
      </w:r>
      <w:r>
        <w:rPr>
          <w:spacing w:val="-64"/>
        </w:rPr>
      </w:r>
      <w:r>
        <w:rPr/>
        <w:t>户余额的变化而变化，最高额度不超过人民币</w:t>
      </w:r>
      <w:r>
        <w:rPr>
          <w:spacing w:val="-46"/>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亿元。</w:t>
      </w:r>
    </w:p>
    <w:p>
      <w:pPr>
        <w:pStyle w:val="BodyText"/>
        <w:spacing w:line="240" w:lineRule="auto" w:before="44"/>
        <w:ind w:left="514" w:right="0"/>
        <w:jc w:val="left"/>
      </w:pPr>
      <w:r>
        <w:rPr>
          <w:rFonts w:ascii="Times New Roman" w:hAnsi="Times New Roman" w:cs="Times New Roman" w:eastAsia="Times New Roman" w:hint="default"/>
        </w:rPr>
        <w:t>2018</w:t>
      </w:r>
      <w:r>
        <w:rPr>
          <w:rFonts w:ascii="Times New Roman" w:hAnsi="Times New Roman" w:cs="Times New Roman" w:eastAsia="Times New Roman" w:hint="default"/>
          <w:spacing w:val="-6"/>
        </w:rPr>
        <w:t> </w:t>
      </w:r>
      <w:r>
        <w:rPr/>
        <w:t>年</w:t>
      </w:r>
      <w:r>
        <w:rPr>
          <w:spacing w:val="-51"/>
        </w:rPr>
        <w:t> </w:t>
      </w:r>
      <w:r>
        <w:rPr>
          <w:rFonts w:ascii="Times New Roman" w:hAnsi="Times New Roman" w:cs="Times New Roman" w:eastAsia="Times New Roman" w:hint="default"/>
          <w:spacing w:val="-3"/>
        </w:rPr>
        <w:t>11</w:t>
      </w:r>
      <w:r>
        <w:rPr>
          <w:rFonts w:ascii="Times New Roman" w:hAnsi="Times New Roman" w:cs="Times New Roman" w:eastAsia="Times New Roman" w:hint="default"/>
          <w:spacing w:val="-6"/>
        </w:rPr>
        <w:t> </w:t>
      </w:r>
      <w:r>
        <w:rPr/>
        <w:t>月</w:t>
      </w:r>
      <w:r>
        <w:rPr>
          <w:spacing w:val="-50"/>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t>日，本公司与宁波银行有限公司深圳分行签署了编号为</w:t>
      </w:r>
      <w:r>
        <w:rPr>
          <w:spacing w:val="-51"/>
        </w:rPr>
        <w:t> </w:t>
      </w:r>
      <w:r>
        <w:rPr>
          <w:rFonts w:ascii="Times New Roman" w:hAnsi="Times New Roman" w:cs="Times New Roman" w:eastAsia="Times New Roman" w:hint="default"/>
        </w:rPr>
        <w:t>07301PC20188031</w:t>
      </w:r>
      <w:r>
        <w:rPr>
          <w:rFonts w:ascii="Times New Roman" w:hAnsi="Times New Roman" w:cs="Times New Roman" w:eastAsia="Times New Roman" w:hint="default"/>
          <w:spacing w:val="-4"/>
        </w:rPr>
        <w:t> </w:t>
      </w:r>
      <w:r>
        <w:rPr>
          <w:spacing w:val="-3"/>
        </w:rPr>
        <w:t>号的《票据池业务合作及票据</w:t>
      </w:r>
    </w:p>
    <w:p>
      <w:pPr>
        <w:pStyle w:val="BodyText"/>
        <w:spacing w:line="240" w:lineRule="auto" w:before="63"/>
        <w:ind w:right="0"/>
        <w:jc w:val="both"/>
      </w:pPr>
      <w:r>
        <w:rPr/>
        <w:t>质押协议</w:t>
      </w:r>
      <w:r>
        <w:rPr>
          <w:spacing w:val="-90"/>
        </w:rPr>
        <w:t>》</w:t>
      </w:r>
      <w:r>
        <w:rPr/>
        <w:t>，约定公司自</w:t>
      </w:r>
      <w:r>
        <w:rPr>
          <w:spacing w:val="-46"/>
        </w:rPr>
        <w:t> </w:t>
      </w:r>
      <w:r>
        <w:rPr>
          <w:rFonts w:ascii="Times New Roman" w:hAnsi="Times New Roman" w:cs="Times New Roman" w:eastAsia="Times New Roman" w:hint="default"/>
        </w:rPr>
        <w:t>2018 </w:t>
      </w:r>
      <w:r>
        <w:rPr/>
        <w:t>年</w:t>
      </w:r>
      <w:r>
        <w:rPr>
          <w:spacing w:val="-46"/>
        </w:rPr>
        <w:t> </w:t>
      </w:r>
      <w:r>
        <w:rPr>
          <w:rFonts w:ascii="Times New Roman" w:hAnsi="Times New Roman" w:cs="Times New Roman" w:eastAsia="Times New Roman" w:hint="default"/>
          <w:spacing w:val="-8"/>
        </w:rPr>
        <w:t>1</w:t>
      </w:r>
      <w:r>
        <w:rPr>
          <w:rFonts w:ascii="Times New Roman" w:hAnsi="Times New Roman" w:cs="Times New Roman" w:eastAsia="Times New Roman" w:hint="default"/>
        </w:rPr>
        <w:t>1 </w:t>
      </w:r>
      <w:r>
        <w:rPr/>
        <w:t>月</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w:t>
      </w:r>
      <w:r>
        <w:rPr>
          <w:spacing w:val="1"/>
        </w:rPr>
        <w:t>签</w:t>
      </w:r>
      <w:r>
        <w:rPr/>
        <w:t>订之日起</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spacing w:val="1"/>
        </w:rPr>
        <w:t>年</w:t>
      </w:r>
      <w:r>
        <w:rPr/>
        <w:t>内向宁波银行有限公司深圳分行提交质押票据进行质押申请，质</w:t>
      </w:r>
    </w:p>
    <w:p>
      <w:pPr>
        <w:pStyle w:val="BodyText"/>
        <w:spacing w:line="240" w:lineRule="auto" w:before="64"/>
        <w:ind w:right="0"/>
        <w:jc w:val="both"/>
      </w:pPr>
      <w:r>
        <w:rPr/>
        <w:t>押池融资额度根据资产池内质押资产和资产池保证金账户余额的变化而变化，最高额度不超过人民币</w:t>
      </w:r>
      <w:r>
        <w:rPr>
          <w:spacing w:val="-45"/>
        </w:rPr>
        <w:t> </w:t>
      </w:r>
      <w:r>
        <w:rPr>
          <w:rFonts w:ascii="Times New Roman" w:hAnsi="Times New Roman" w:cs="Times New Roman" w:eastAsia="Times New Roman" w:hint="default"/>
        </w:rPr>
        <w:t>2</w:t>
      </w:r>
      <w:r>
        <w:rPr>
          <w:rFonts w:ascii="Times New Roman" w:hAnsi="Times New Roman" w:cs="Times New Roman" w:eastAsia="Times New Roman" w:hint="default"/>
          <w:spacing w:val="-1"/>
        </w:rPr>
        <w:t> </w:t>
      </w:r>
      <w:r>
        <w:rPr/>
        <w:t>亿元。</w:t>
      </w:r>
    </w:p>
    <w:p>
      <w:pPr>
        <w:pStyle w:val="BodyText"/>
        <w:spacing w:line="240" w:lineRule="auto" w:before="103"/>
        <w:ind w:right="0"/>
        <w:jc w:val="both"/>
      </w:pPr>
      <w:r>
        <w:rPr>
          <w:rFonts w:ascii="Times New Roman" w:hAnsi="Times New Roman" w:cs="Times New Roman" w:eastAsia="Times New Roman" w:hint="default"/>
        </w:rPr>
        <w:t>3)</w:t>
      </w:r>
      <w:r>
        <w:rPr/>
        <w:t>期末公司已背书或贴现且在资产负债表日尚未到期的应收票据</w:t>
      </w:r>
    </w:p>
    <w:p>
      <w:pPr>
        <w:pStyle w:val="BodyText"/>
        <w:spacing w:line="240" w:lineRule="auto" w:before="102"/>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82"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37,129,887.58</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37,129,887.58</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应收账款" w:id="218"/>
      <w:bookmarkEnd w:id="218"/>
      <w:r>
        <w:rPr>
          <w:b w:val="0"/>
          <w:bCs w:val="0"/>
        </w:rPr>
      </w:r>
      <w:r>
        <w:rPr/>
        <w:t>（</w:t>
      </w:r>
      <w:r>
        <w:rPr>
          <w:rFonts w:ascii="Times New Roman" w:hAnsi="Times New Roman" w:cs="Times New Roman" w:eastAsia="Times New Roman" w:hint="default"/>
        </w:rPr>
        <w:t>2</w:t>
      </w:r>
      <w:r>
        <w:rPr/>
        <w:t>）应收账款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1134"/>
        <w:jc w:val="left"/>
      </w:pPr>
      <w:r>
        <w:rPr>
          <w:rFonts w:ascii="Times New Roman" w:hAnsi="Times New Roman" w:cs="Times New Roman" w:eastAsia="Times New Roman" w:hint="default"/>
        </w:rPr>
        <w:t>1)</w:t>
      </w:r>
      <w:r>
        <w:rPr/>
        <w:t>应收账款分类披露</w:t>
      </w:r>
    </w:p>
    <w:p>
      <w:pPr>
        <w:pStyle w:val="BodyText"/>
        <w:spacing w:line="240" w:lineRule="auto" w:before="102"/>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623"/>
        <w:gridCol w:w="763"/>
        <w:gridCol w:w="762"/>
        <w:gridCol w:w="762"/>
        <w:gridCol w:w="762"/>
        <w:gridCol w:w="790"/>
        <w:gridCol w:w="654"/>
        <w:gridCol w:w="762"/>
        <w:gridCol w:w="813"/>
        <w:gridCol w:w="932"/>
        <w:gridCol w:w="932"/>
      </w:tblGrid>
      <w:tr>
        <w:trPr>
          <w:trHeight w:val="403" w:hRule="exact"/>
        </w:trPr>
        <w:tc>
          <w:tcPr>
            <w:tcW w:w="1623"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1" w:hRule="exact"/>
        </w:trPr>
        <w:tc>
          <w:tcPr>
            <w:tcW w:w="1623"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9" w:hRule="exact"/>
        </w:trPr>
        <w:tc>
          <w:tcPr>
            <w:tcW w:w="1623"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2"/>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23"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1" w:hRule="exact"/>
        </w:trPr>
        <w:tc>
          <w:tcPr>
            <w:tcW w:w="1623"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23"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7" w:hRule="exact"/>
        </w:trPr>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60"/>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应收账款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7" w:right="0"/>
              <w:jc w:val="left"/>
              <w:rPr>
                <w:rFonts w:ascii="Times New Roman" w:hAnsi="Times New Roman" w:cs="Times New Roman" w:eastAsia="Times New Roman" w:hint="default"/>
                <w:sz w:val="18"/>
                <w:szCs w:val="18"/>
              </w:rPr>
            </w:pPr>
            <w:r>
              <w:rPr>
                <w:rFonts w:ascii="Times New Roman"/>
                <w:sz w:val="18"/>
              </w:rPr>
              <w:t>5,122,49</w:t>
            </w:r>
          </w:p>
          <w:p>
            <w:pPr>
              <w:pStyle w:val="TableParagraph"/>
              <w:spacing w:line="240" w:lineRule="auto" w:before="105"/>
              <w:ind w:left="403" w:right="0"/>
              <w:jc w:val="left"/>
              <w:rPr>
                <w:rFonts w:ascii="Times New Roman" w:hAnsi="Times New Roman" w:cs="Times New Roman" w:eastAsia="Times New Roman" w:hint="default"/>
                <w:sz w:val="18"/>
                <w:szCs w:val="18"/>
              </w:rPr>
            </w:pPr>
            <w:r>
              <w:rPr>
                <w:rFonts w:ascii="Times New Roman"/>
                <w:sz w:val="18"/>
              </w:rPr>
              <w:t>9.04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63" w:right="0"/>
              <w:jc w:val="left"/>
              <w:rPr>
                <w:rFonts w:ascii="Times New Roman" w:hAnsi="Times New Roman" w:cs="Times New Roman" w:eastAsia="Times New Roman" w:hint="default"/>
                <w:sz w:val="18"/>
                <w:szCs w:val="18"/>
              </w:rPr>
            </w:pPr>
            <w:r>
              <w:rPr>
                <w:rFonts w:ascii="Times New Roman"/>
                <w:sz w:val="18"/>
              </w:rPr>
              <w:t>1.71%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5,122,49</w:t>
            </w:r>
          </w:p>
          <w:p>
            <w:pPr>
              <w:pStyle w:val="TableParagraph"/>
              <w:spacing w:line="240" w:lineRule="auto" w:before="105"/>
              <w:ind w:left="413" w:right="0"/>
              <w:jc w:val="left"/>
              <w:rPr>
                <w:rFonts w:ascii="Times New Roman" w:hAnsi="Times New Roman" w:cs="Times New Roman" w:eastAsia="Times New Roman" w:hint="default"/>
                <w:sz w:val="18"/>
                <w:szCs w:val="18"/>
              </w:rPr>
            </w:pPr>
            <w:r>
              <w:rPr>
                <w:rFonts w:ascii="Times New Roman"/>
                <w:sz w:val="18"/>
              </w:rPr>
              <w:t>9.04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100.00%</w:t>
            </w:r>
          </w:p>
        </w:tc>
        <w:tc>
          <w:tcPr>
            <w:tcW w:w="790"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813"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48"/>
          <w:pgSz w:w="11910" w:h="16840"/>
          <w:pgMar w:footer="979" w:header="747" w:top="1060" w:bottom="1160" w:left="980" w:right="0"/>
          <w:pgNumType w:start="13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634"/>
        <w:gridCol w:w="764"/>
        <w:gridCol w:w="762"/>
        <w:gridCol w:w="762"/>
        <w:gridCol w:w="762"/>
        <w:gridCol w:w="790"/>
        <w:gridCol w:w="654"/>
        <w:gridCol w:w="762"/>
        <w:gridCol w:w="813"/>
        <w:gridCol w:w="932"/>
        <w:gridCol w:w="932"/>
      </w:tblGrid>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59"/>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6" w:right="0"/>
              <w:jc w:val="center"/>
              <w:rPr>
                <w:rFonts w:ascii="Times New Roman" w:hAnsi="Times New Roman" w:cs="Times New Roman" w:eastAsia="Times New Roman" w:hint="default"/>
                <w:sz w:val="18"/>
                <w:szCs w:val="18"/>
              </w:rPr>
            </w:pPr>
            <w:r>
              <w:rPr>
                <w:rFonts w:ascii="Times New Roman"/>
                <w:sz w:val="18"/>
              </w:rPr>
              <w:t>294,323,</w:t>
            </w:r>
          </w:p>
          <w:p>
            <w:pPr>
              <w:pStyle w:val="TableParagraph"/>
              <w:spacing w:line="240" w:lineRule="auto" w:before="106"/>
              <w:ind w:left="212" w:right="0"/>
              <w:jc w:val="center"/>
              <w:rPr>
                <w:rFonts w:ascii="Times New Roman" w:hAnsi="Times New Roman" w:cs="Times New Roman" w:eastAsia="Times New Roman" w:hint="default"/>
                <w:sz w:val="18"/>
                <w:szCs w:val="18"/>
              </w:rPr>
            </w:pPr>
            <w:r>
              <w:rPr>
                <w:rFonts w:ascii="Times New Roman"/>
                <w:sz w:val="18"/>
              </w:rPr>
              <w:t>818.29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98.21%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18,542,6</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60.84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6.30%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275,781,1</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57.45</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177,471</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,986.97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99.64%</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3" w:right="0"/>
              <w:jc w:val="left"/>
              <w:rPr>
                <w:rFonts w:ascii="Times New Roman" w:hAnsi="Times New Roman" w:cs="Times New Roman" w:eastAsia="Times New Roman" w:hint="default"/>
                <w:sz w:val="18"/>
                <w:szCs w:val="18"/>
              </w:rPr>
            </w:pPr>
            <w:r>
              <w:rPr>
                <w:rFonts w:ascii="Times New Roman"/>
                <w:sz w:val="18"/>
              </w:rPr>
              <w:t>11,763,11</w:t>
            </w:r>
          </w:p>
          <w:p>
            <w:pPr>
              <w:pStyle w:val="TableParagraph"/>
              <w:spacing w:line="240" w:lineRule="auto" w:before="106"/>
              <w:ind w:left="465" w:right="0"/>
              <w:jc w:val="left"/>
              <w:rPr>
                <w:rFonts w:ascii="Times New Roman" w:hAnsi="Times New Roman" w:cs="Times New Roman" w:eastAsia="Times New Roman" w:hint="default"/>
                <w:sz w:val="18"/>
                <w:szCs w:val="18"/>
              </w:rPr>
            </w:pPr>
            <w:r>
              <w:rPr>
                <w:rFonts w:ascii="Times New Roman"/>
                <w:sz w:val="18"/>
              </w:rPr>
              <w:t>4.05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6.63%</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165,708,87</w:t>
            </w:r>
          </w:p>
          <w:p>
            <w:pPr>
              <w:pStyle w:val="TableParagraph"/>
              <w:spacing w:line="240" w:lineRule="auto" w:before="106"/>
              <w:ind w:left="584" w:right="0"/>
              <w:jc w:val="left"/>
              <w:rPr>
                <w:rFonts w:ascii="Times New Roman" w:hAnsi="Times New Roman" w:cs="Times New Roman" w:eastAsia="Times New Roman" w:hint="default"/>
                <w:sz w:val="18"/>
                <w:szCs w:val="18"/>
              </w:rPr>
            </w:pPr>
            <w:r>
              <w:rPr>
                <w:rFonts w:ascii="Times New Roman"/>
                <w:sz w:val="18"/>
              </w:rPr>
              <w:t>2.92</w:t>
            </w: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159"/>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的应收账款</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254,000.</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254,000.</w:t>
            </w:r>
          </w:p>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z w:val="18"/>
              </w:rPr>
              <w:t>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790"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633,255</w:t>
            </w:r>
          </w:p>
          <w:p>
            <w:pPr>
              <w:pStyle w:val="TableParagraph"/>
              <w:spacing w:line="240" w:lineRule="auto" w:before="106"/>
              <w:ind w:left="396" w:right="0"/>
              <w:jc w:val="left"/>
              <w:rPr>
                <w:rFonts w:ascii="Times New Roman" w:hAnsi="Times New Roman" w:cs="Times New Roman" w:eastAsia="Times New Roman" w:hint="default"/>
                <w:sz w:val="18"/>
                <w:szCs w:val="18"/>
              </w:rPr>
            </w:pPr>
            <w:r>
              <w:rPr>
                <w:rFonts w:ascii="Times New Roman"/>
                <w:sz w:val="18"/>
              </w:rPr>
              <w:t>.00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0.36%</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633,255.0</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6" w:right="0"/>
              <w:jc w:val="center"/>
              <w:rPr>
                <w:rFonts w:ascii="Times New Roman" w:hAnsi="Times New Roman" w:cs="Times New Roman" w:eastAsia="Times New Roman" w:hint="default"/>
                <w:sz w:val="18"/>
                <w:szCs w:val="18"/>
              </w:rPr>
            </w:pPr>
            <w:r>
              <w:rPr>
                <w:rFonts w:ascii="Times New Roman"/>
                <w:sz w:val="18"/>
              </w:rPr>
              <w:t>299,700,</w:t>
            </w:r>
          </w:p>
          <w:p>
            <w:pPr>
              <w:pStyle w:val="TableParagraph"/>
              <w:spacing w:line="240" w:lineRule="auto" w:before="106"/>
              <w:ind w:left="212" w:right="0"/>
              <w:jc w:val="center"/>
              <w:rPr>
                <w:rFonts w:ascii="Times New Roman" w:hAnsi="Times New Roman" w:cs="Times New Roman" w:eastAsia="Times New Roman" w:hint="default"/>
                <w:sz w:val="18"/>
                <w:szCs w:val="18"/>
              </w:rPr>
            </w:pPr>
            <w:r>
              <w:rPr>
                <w:rFonts w:ascii="Times New Roman"/>
                <w:sz w:val="18"/>
              </w:rPr>
              <w:t>317.33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8" w:right="0"/>
              <w:jc w:val="left"/>
              <w:rPr>
                <w:rFonts w:ascii="Times New Roman" w:hAnsi="Times New Roman" w:cs="Times New Roman" w:eastAsia="Times New Roman" w:hint="default"/>
                <w:sz w:val="18"/>
                <w:szCs w:val="18"/>
              </w:rPr>
            </w:pPr>
            <w:r>
              <w:rPr>
                <w:rFonts w:ascii="Times New Roman"/>
                <w:sz w:val="18"/>
              </w:rPr>
              <w:t>23,919,1</w:t>
            </w:r>
          </w:p>
          <w:p>
            <w:pPr>
              <w:pStyle w:val="TableParagraph"/>
              <w:spacing w:line="240" w:lineRule="auto" w:before="106"/>
              <w:ind w:left="323" w:right="0"/>
              <w:jc w:val="left"/>
              <w:rPr>
                <w:rFonts w:ascii="Times New Roman" w:hAnsi="Times New Roman" w:cs="Times New Roman" w:eastAsia="Times New Roman" w:hint="default"/>
                <w:sz w:val="18"/>
                <w:szCs w:val="18"/>
              </w:rPr>
            </w:pPr>
            <w:r>
              <w:rPr>
                <w:rFonts w:ascii="Times New Roman"/>
                <w:sz w:val="18"/>
              </w:rPr>
              <w:t>59.88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7.98%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275,781,1</w:t>
            </w:r>
          </w:p>
          <w:p>
            <w:pPr>
              <w:pStyle w:val="TableParagraph"/>
              <w:spacing w:line="240" w:lineRule="auto" w:before="106"/>
              <w:ind w:left="352" w:right="0"/>
              <w:jc w:val="left"/>
              <w:rPr>
                <w:rFonts w:ascii="Times New Roman" w:hAnsi="Times New Roman" w:cs="Times New Roman" w:eastAsia="Times New Roman" w:hint="default"/>
                <w:sz w:val="18"/>
                <w:szCs w:val="18"/>
              </w:rPr>
            </w:pPr>
            <w:r>
              <w:rPr>
                <w:rFonts w:ascii="Times New Roman"/>
                <w:sz w:val="18"/>
              </w:rPr>
              <w:t>57.45</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6" w:right="0"/>
              <w:jc w:val="left"/>
              <w:rPr>
                <w:rFonts w:ascii="Times New Roman" w:hAnsi="Times New Roman" w:cs="Times New Roman" w:eastAsia="Times New Roman" w:hint="default"/>
                <w:sz w:val="18"/>
                <w:szCs w:val="18"/>
              </w:rPr>
            </w:pPr>
            <w:r>
              <w:rPr>
                <w:rFonts w:ascii="Times New Roman"/>
                <w:sz w:val="18"/>
              </w:rPr>
              <w:t>178,105</w:t>
            </w:r>
          </w:p>
          <w:p>
            <w:pPr>
              <w:pStyle w:val="TableParagraph"/>
              <w:spacing w:line="240" w:lineRule="auto" w:before="106"/>
              <w:ind w:left="80" w:right="0"/>
              <w:jc w:val="left"/>
              <w:rPr>
                <w:rFonts w:ascii="Times New Roman" w:hAnsi="Times New Roman" w:cs="Times New Roman" w:eastAsia="Times New Roman" w:hint="default"/>
                <w:sz w:val="18"/>
                <w:szCs w:val="18"/>
              </w:rPr>
            </w:pPr>
            <w:r>
              <w:rPr>
                <w:rFonts w:ascii="Times New Roman"/>
                <w:sz w:val="18"/>
              </w:rPr>
              <w:t>,241.97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left"/>
              <w:rPr>
                <w:rFonts w:ascii="Times New Roman" w:hAnsi="Times New Roman" w:cs="Times New Roman" w:eastAsia="Times New Roman" w:hint="default"/>
                <w:sz w:val="18"/>
                <w:szCs w:val="18"/>
              </w:rPr>
            </w:pPr>
            <w:r>
              <w:rPr>
                <w:rFonts w:ascii="Times New Roman"/>
                <w:sz w:val="18"/>
              </w:rPr>
              <w:t>12,396,36</w:t>
            </w:r>
          </w:p>
          <w:p>
            <w:pPr>
              <w:pStyle w:val="TableParagraph"/>
              <w:spacing w:line="240" w:lineRule="auto" w:before="106"/>
              <w:ind w:left="465" w:right="0"/>
              <w:jc w:val="left"/>
              <w:rPr>
                <w:rFonts w:ascii="Times New Roman" w:hAnsi="Times New Roman" w:cs="Times New Roman" w:eastAsia="Times New Roman" w:hint="default"/>
                <w:sz w:val="18"/>
                <w:szCs w:val="18"/>
              </w:rPr>
            </w:pPr>
            <w:r>
              <w:rPr>
                <w:rFonts w:ascii="Times New Roman"/>
                <w:sz w:val="18"/>
              </w:rPr>
              <w:t>9.05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6.96%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left"/>
              <w:rPr>
                <w:rFonts w:ascii="Times New Roman" w:hAnsi="Times New Roman" w:cs="Times New Roman" w:eastAsia="Times New Roman" w:hint="default"/>
                <w:sz w:val="18"/>
                <w:szCs w:val="18"/>
              </w:rPr>
            </w:pPr>
            <w:r>
              <w:rPr>
                <w:rFonts w:ascii="Times New Roman"/>
                <w:sz w:val="18"/>
              </w:rPr>
              <w:t>165,708,87</w:t>
            </w:r>
          </w:p>
          <w:p>
            <w:pPr>
              <w:pStyle w:val="TableParagraph"/>
              <w:spacing w:line="240" w:lineRule="auto" w:before="106"/>
              <w:ind w:left="584" w:right="0"/>
              <w:jc w:val="left"/>
              <w:rPr>
                <w:rFonts w:ascii="Times New Roman" w:hAnsi="Times New Roman" w:cs="Times New Roman" w:eastAsia="Times New Roman" w:hint="default"/>
                <w:sz w:val="18"/>
                <w:szCs w:val="18"/>
              </w:rPr>
            </w:pPr>
            <w:r>
              <w:rPr>
                <w:rFonts w:ascii="Times New Roman"/>
                <w:sz w:val="18"/>
              </w:rPr>
              <w:t>2.92</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pStyle w:val="BodyText"/>
        <w:spacing w:line="240" w:lineRule="auto" w:before="51"/>
        <w:ind w:right="-20"/>
        <w:jc w:val="left"/>
      </w:pPr>
      <w:r>
        <w:rPr/>
        <w:t>期末单项金额重大并单项计提坏账准备的应收账款：</w:t>
      </w:r>
    </w:p>
    <w:p>
      <w:pPr>
        <w:pStyle w:val="BodyText"/>
        <w:spacing w:line="240" w:lineRule="auto" w:before="117"/>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060" w:bottom="1160" w:left="980" w:right="0"/>
          <w:cols w:num="2" w:equalWidth="0">
            <w:col w:w="4295" w:space="4535"/>
            <w:col w:w="210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3"/>
        <w:gridCol w:w="1206"/>
        <w:gridCol w:w="1134"/>
        <w:gridCol w:w="992"/>
        <w:gridCol w:w="4325"/>
      </w:tblGrid>
      <w:tr>
        <w:trPr>
          <w:trHeight w:val="402" w:hRule="exact"/>
        </w:trPr>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应收账款（按单位）</w:t>
            </w:r>
          </w:p>
        </w:tc>
        <w:tc>
          <w:tcPr>
            <w:tcW w:w="7658"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3" w:type="dxa"/>
            <w:vMerge/>
            <w:tcBorders>
              <w:left w:val="single" w:sz="4" w:space="0" w:color="000000"/>
              <w:bottom w:val="single" w:sz="4" w:space="0" w:color="000000"/>
              <w:right w:val="single" w:sz="4" w:space="0" w:color="000000"/>
            </w:tcBorders>
            <w:shd w:val="clear" w:color="auto" w:fill="D2D2D2"/>
          </w:tcPr>
          <w:p>
            <w:pPr/>
          </w:p>
        </w:tc>
        <w:tc>
          <w:tcPr>
            <w:tcW w:w="1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7"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1"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4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1650"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22" w:right="78"/>
              <w:jc w:val="left"/>
              <w:rPr>
                <w:rFonts w:ascii="宋体" w:hAnsi="宋体" w:cs="宋体" w:eastAsia="宋体" w:hint="default"/>
                <w:sz w:val="18"/>
                <w:szCs w:val="18"/>
              </w:rPr>
            </w:pPr>
            <w:r>
              <w:rPr>
                <w:rFonts w:ascii="宋体" w:hAnsi="宋体" w:cs="宋体" w:eastAsia="宋体" w:hint="default"/>
                <w:sz w:val="18"/>
                <w:szCs w:val="18"/>
              </w:rPr>
              <w:t>北京全峰快递有限责任 公司</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27" w:right="0"/>
              <w:jc w:val="left"/>
              <w:rPr>
                <w:rFonts w:ascii="Times New Roman" w:hAnsi="Times New Roman" w:cs="Times New Roman" w:eastAsia="Times New Roman" w:hint="default"/>
                <w:sz w:val="18"/>
                <w:szCs w:val="18"/>
              </w:rPr>
            </w:pPr>
            <w:r>
              <w:rPr>
                <w:rFonts w:ascii="Times New Roman"/>
                <w:sz w:val="18"/>
              </w:rPr>
              <w:t>2,423,199.04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2,423,199.04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4325"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22"/>
              <w:jc w:val="left"/>
              <w:rPr>
                <w:rFonts w:ascii="宋体" w:hAnsi="宋体" w:cs="宋体" w:eastAsia="宋体" w:hint="default"/>
                <w:sz w:val="18"/>
                <w:szCs w:val="18"/>
              </w:rPr>
            </w:pPr>
            <w:r>
              <w:rPr>
                <w:rFonts w:ascii="宋体" w:hAnsi="宋体" w:cs="宋体" w:eastAsia="宋体" w:hint="default"/>
                <w:sz w:val="18"/>
                <w:szCs w:val="18"/>
              </w:rPr>
              <w:t>根据北京市朝阳区人民法院（</w:t>
            </w:r>
            <w:r>
              <w:rPr>
                <w:rFonts w:ascii="Times New Roman" w:hAnsi="Times New Roman" w:cs="Times New Roman" w:eastAsia="Times New Roman" w:hint="default"/>
                <w:sz w:val="18"/>
                <w:szCs w:val="18"/>
              </w:rPr>
              <w:t>2018</w:t>
            </w:r>
            <w:r>
              <w:rPr>
                <w:rFonts w:ascii="宋体" w:hAnsi="宋体" w:cs="宋体" w:eastAsia="宋体" w:hint="default"/>
                <w:sz w:val="18"/>
                <w:szCs w:val="18"/>
              </w:rPr>
              <w:t>）京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执</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13945 </w:t>
            </w:r>
            <w:r>
              <w:rPr>
                <w:rFonts w:ascii="宋体" w:hAnsi="宋体" w:cs="宋体" w:eastAsia="宋体" w:hint="default"/>
                <w:spacing w:val="-3"/>
                <w:sz w:val="18"/>
                <w:szCs w:val="18"/>
              </w:rPr>
              <w:t>号执行裁定书，未发现北京全峰快递有限责任公司有足</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3"/>
                <w:sz w:val="18"/>
                <w:szCs w:val="18"/>
              </w:rPr>
              <w:t>额可供执行的财产，北京市朝阳区人民法院已对北京全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3"/>
                <w:sz w:val="18"/>
                <w:szCs w:val="18"/>
              </w:rPr>
              <w:t>峰快递有限责任公司采取限制消费措施，同时裁定终结</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执行程序，本公司预计无法收回。</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8"/>
              <w:jc w:val="left"/>
              <w:rPr>
                <w:rFonts w:ascii="宋体" w:hAnsi="宋体" w:cs="宋体" w:eastAsia="宋体" w:hint="default"/>
                <w:sz w:val="18"/>
                <w:szCs w:val="18"/>
              </w:rPr>
            </w:pPr>
            <w:r>
              <w:rPr>
                <w:rFonts w:ascii="宋体" w:hAnsi="宋体" w:cs="宋体" w:eastAsia="宋体" w:hint="default"/>
                <w:sz w:val="18"/>
                <w:szCs w:val="18"/>
              </w:rPr>
              <w:t>东峡大通（北京）管理 咨询有限公司</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27" w:right="0"/>
              <w:jc w:val="left"/>
              <w:rPr>
                <w:rFonts w:ascii="Times New Roman" w:hAnsi="Times New Roman" w:cs="Times New Roman" w:eastAsia="Times New Roman" w:hint="default"/>
                <w:sz w:val="18"/>
                <w:szCs w:val="18"/>
              </w:rPr>
            </w:pPr>
            <w:r>
              <w:rPr>
                <w:rFonts w:ascii="Times New Roman"/>
                <w:sz w:val="18"/>
              </w:rPr>
              <w:t>2,699,300.00</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6" w:right="0"/>
              <w:jc w:val="left"/>
              <w:rPr>
                <w:rFonts w:ascii="Times New Roman" w:hAnsi="Times New Roman" w:cs="Times New Roman" w:eastAsia="Times New Roman" w:hint="default"/>
                <w:sz w:val="18"/>
                <w:szCs w:val="18"/>
              </w:rPr>
            </w:pPr>
            <w:r>
              <w:rPr>
                <w:rFonts w:ascii="Times New Roman"/>
                <w:sz w:val="18"/>
              </w:rPr>
              <w:t>2,699,300.00</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43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21"/>
              <w:jc w:val="left"/>
              <w:rPr>
                <w:rFonts w:ascii="宋体" w:hAnsi="宋体" w:cs="宋体" w:eastAsia="宋体" w:hint="default"/>
                <w:sz w:val="18"/>
                <w:szCs w:val="18"/>
              </w:rPr>
            </w:pPr>
            <w:r>
              <w:rPr>
                <w:rFonts w:ascii="宋体" w:hAnsi="宋体" w:cs="宋体" w:eastAsia="宋体" w:hint="default"/>
                <w:spacing w:val="-3"/>
                <w:sz w:val="18"/>
                <w:szCs w:val="18"/>
              </w:rPr>
              <w:t>经营状况不善，被多家公司起诉，法院判决赔偿仍无力</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z w:val="18"/>
                <w:szCs w:val="18"/>
              </w:rPr>
              <w:t>偿还债务，本公司预计无法收回。</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7" w:right="0"/>
              <w:jc w:val="left"/>
              <w:rPr>
                <w:rFonts w:ascii="Times New Roman" w:hAnsi="Times New Roman" w:cs="Times New Roman" w:eastAsia="Times New Roman" w:hint="default"/>
                <w:sz w:val="18"/>
                <w:szCs w:val="18"/>
              </w:rPr>
            </w:pPr>
            <w:r>
              <w:rPr>
                <w:rFonts w:ascii="Times New Roman"/>
                <w:sz w:val="18"/>
              </w:rPr>
              <w:t>5,122,499.04</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6" w:right="0"/>
              <w:jc w:val="left"/>
              <w:rPr>
                <w:rFonts w:ascii="Times New Roman" w:hAnsi="Times New Roman" w:cs="Times New Roman" w:eastAsia="Times New Roman" w:hint="default"/>
                <w:sz w:val="18"/>
                <w:szCs w:val="18"/>
              </w:rPr>
            </w:pPr>
            <w:r>
              <w:rPr>
                <w:rFonts w:ascii="Times New Roman"/>
                <w:sz w:val="18"/>
              </w:rPr>
              <w:t>5,122,499.04</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43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type w:val="continuous"/>
          <w:pgSz w:w="11910" w:h="16840"/>
          <w:pgMar w:top="1060" w:bottom="1160" w:left="980" w:right="0"/>
        </w:sectPr>
      </w:pPr>
    </w:p>
    <w:p>
      <w:pPr>
        <w:pStyle w:val="BodyText"/>
        <w:spacing w:line="240" w:lineRule="auto" w:before="51"/>
        <w:ind w:right="-20"/>
        <w:jc w:val="left"/>
      </w:pPr>
      <w:r>
        <w:rPr/>
        <w:t>组合中，按账龄分析法计提坏账准备的应收账款：</w:t>
      </w:r>
    </w:p>
    <w:p>
      <w:pPr>
        <w:pStyle w:val="BodyText"/>
        <w:spacing w:line="240" w:lineRule="auto" w:before="117"/>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060" w:bottom="1160" w:left="980" w:right="0"/>
          <w:cols w:num="2" w:equalWidth="0">
            <w:col w:w="4115" w:space="4715"/>
            <w:col w:w="2100"/>
          </w:cols>
        </w:sectPr>
      </w:pPr>
    </w:p>
    <w:p>
      <w:pPr>
        <w:spacing w:line="240" w:lineRule="auto" w:before="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81"/>
        <w:gridCol w:w="2393"/>
        <w:gridCol w:w="2392"/>
        <w:gridCol w:w="2392"/>
      </w:tblGrid>
      <w:tr>
        <w:trPr>
          <w:trHeight w:val="206" w:hRule="exact"/>
        </w:trPr>
        <w:tc>
          <w:tcPr>
            <w:tcW w:w="2381" w:type="dxa"/>
            <w:tcBorders>
              <w:top w:val="single" w:sz="4" w:space="0" w:color="000000"/>
              <w:left w:val="single" w:sz="4" w:space="0" w:color="000000"/>
              <w:bottom w:val="nil" w:sz="6" w:space="0" w:color="auto"/>
              <w:right w:val="single" w:sz="4" w:space="0" w:color="000000"/>
            </w:tcBorders>
            <w:shd w:val="clear" w:color="auto" w:fill="D2D2D2"/>
          </w:tcPr>
          <w:p>
            <w:pPr/>
          </w:p>
        </w:tc>
        <w:tc>
          <w:tcPr>
            <w:tcW w:w="717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238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2381" w:type="dxa"/>
            <w:vMerge/>
            <w:tcBorders>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381"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396" w:hRule="exact"/>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274,290,341.83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13,714,517.09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10,361,308.94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828,904.72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8.00%</w:t>
            </w:r>
          </w:p>
        </w:tc>
      </w:tr>
      <w:tr>
        <w:trPr>
          <w:trHeight w:val="402"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5,542,589.75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1,108,517.94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2"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1,629,206.39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814,603.20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2,121,267.45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1,697,013.96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379,103.93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379,103.93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3" w:hRule="exact"/>
        </w:trPr>
        <w:tc>
          <w:tcPr>
            <w:tcW w:w="238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294,323,818.29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18,542,660.84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6.30%</w:t>
            </w:r>
          </w:p>
        </w:tc>
      </w:tr>
    </w:tbl>
    <w:p>
      <w:pPr>
        <w:pStyle w:val="BodyText"/>
        <w:spacing w:line="357" w:lineRule="auto" w:before="51"/>
        <w:ind w:right="2112"/>
        <w:jc w:val="left"/>
      </w:pPr>
      <w:r>
        <w:rPr/>
        <w:t>确定该组合依据的说明： 本公司根据以往的历史经验对应收款项计提比例作出最佳估计，参考应收款项的账龄进行信用风险组合分类。 组合中，采用余额百分比法计提坏账准备的应收账款：</w:t>
      </w:r>
    </w:p>
    <w:p>
      <w:pPr>
        <w:pStyle w:val="BodyText"/>
        <w:spacing w:line="240" w:lineRule="auto" w:before="29"/>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after="0" w:line="240" w:lineRule="auto"/>
        <w:jc w:val="left"/>
        <w:sectPr>
          <w:type w:val="continuous"/>
          <w:pgSz w:w="11910" w:h="16840"/>
          <w:pgMar w:top="1060" w:bottom="1160" w:left="980" w:right="0"/>
        </w:sectPr>
      </w:pPr>
    </w:p>
    <w:p>
      <w:pPr>
        <w:spacing w:line="240" w:lineRule="auto" w:before="13"/>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pgSz w:w="11910" w:h="16840"/>
          <w:pgMar w:header="747" w:footer="979" w:top="1060" w:bottom="1160" w:left="980" w:right="0"/>
        </w:sectPr>
      </w:pPr>
    </w:p>
    <w:p>
      <w:pPr>
        <w:pStyle w:val="BodyText"/>
        <w:spacing w:line="357" w:lineRule="auto" w:before="44"/>
        <w:ind w:right="2409"/>
        <w:jc w:val="left"/>
      </w:pPr>
      <w:r>
        <w:rPr/>
        <w:t>组合中，采用其他方法计提坏账准备的应收账款： 无</w:t>
      </w:r>
    </w:p>
    <w:p>
      <w:pPr>
        <w:pStyle w:val="BodyText"/>
        <w:spacing w:line="240" w:lineRule="auto" w:before="29"/>
        <w:ind w:right="2409"/>
        <w:jc w:val="left"/>
      </w:pPr>
      <w:r>
        <w:rPr>
          <w:rFonts w:ascii="Times New Roman" w:hAnsi="Times New Roman" w:cs="Times New Roman" w:eastAsia="Times New Roman" w:hint="default"/>
        </w:rPr>
        <w:t>2)</w:t>
      </w:r>
      <w:r>
        <w:rPr/>
        <w:t>本期计提、收回或转回的坏账准备情况</w:t>
      </w:r>
    </w:p>
    <w:p>
      <w:pPr>
        <w:pStyle w:val="BodyText"/>
        <w:spacing w:line="338" w:lineRule="auto" w:before="103"/>
        <w:ind w:right="-14"/>
        <w:jc w:val="left"/>
      </w:pPr>
      <w:r>
        <w:rPr/>
        <w:t>本期计提坏账准备金额</w:t>
      </w:r>
      <w:r>
        <w:rPr>
          <w:spacing w:val="-47"/>
        </w:rPr>
        <w:t> </w:t>
      </w:r>
      <w:r>
        <w:rPr>
          <w:rFonts w:ascii="Times New Roman" w:hAnsi="Times New Roman" w:cs="Times New Roman" w:eastAsia="Times New Roman" w:hint="default"/>
        </w:rPr>
        <w:t>12,156,717.83</w:t>
      </w:r>
      <w:r>
        <w:rPr>
          <w:rFonts w:ascii="Times New Roman" w:hAnsi="Times New Roman" w:cs="Times New Roman" w:eastAsia="Times New Roman" w:hint="default"/>
          <w:spacing w:val="-1"/>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 其中本期坏账准备收回或转回金额重要的：无</w:t>
      </w:r>
    </w:p>
    <w:p>
      <w:pPr>
        <w:pStyle w:val="BodyText"/>
        <w:spacing w:line="240" w:lineRule="auto" w:before="42"/>
        <w:ind w:right="2409"/>
        <w:jc w:val="left"/>
      </w:pPr>
      <w:r>
        <w:rPr>
          <w:rFonts w:ascii="Times New Roman" w:hAnsi="Times New Roman" w:cs="Times New Roman" w:eastAsia="Times New Roman" w:hint="default"/>
        </w:rPr>
        <w:t>3)</w:t>
      </w:r>
      <w:r>
        <w:rPr/>
        <w:t>本期实际核销的应收账款情况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0"/>
          <w:szCs w:val="20"/>
        </w:rPr>
      </w:pPr>
    </w:p>
    <w:p>
      <w:pPr>
        <w:pStyle w:val="BodyText"/>
        <w:spacing w:line="240" w:lineRule="auto"/>
        <w:ind w:left="153" w:right="0"/>
        <w:jc w:val="left"/>
      </w:pPr>
      <w:r>
        <w:rPr/>
        <w:t>单位： 元</w:t>
      </w:r>
    </w:p>
    <w:p>
      <w:pPr>
        <w:spacing w:after="0" w:line="240" w:lineRule="auto"/>
        <w:jc w:val="left"/>
        <w:sectPr>
          <w:type w:val="continuous"/>
          <w:pgSz w:w="11910" w:h="16840"/>
          <w:pgMar w:top="1060" w:bottom="1160" w:left="980" w:right="0"/>
          <w:cols w:num="2" w:equalWidth="0">
            <w:col w:w="6544" w:space="2285"/>
            <w:col w:w="2101"/>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1"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3"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实际核销的应收账款</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633,927.00</w:t>
            </w:r>
          </w:p>
        </w:tc>
      </w:tr>
    </w:tbl>
    <w:p>
      <w:pPr>
        <w:pStyle w:val="BodyText"/>
        <w:spacing w:line="240" w:lineRule="auto" w:before="51"/>
        <w:ind w:right="1134"/>
        <w:jc w:val="left"/>
      </w:pPr>
      <w:r>
        <w:rPr/>
        <w:t>其中重要的应收账款核销情况：</w:t>
      </w:r>
    </w:p>
    <w:p>
      <w:pPr>
        <w:pStyle w:val="BodyText"/>
        <w:spacing w:line="240" w:lineRule="auto" w:before="116"/>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714"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2"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23" w:right="71" w:hanging="450"/>
              <w:jc w:val="left"/>
              <w:rPr>
                <w:rFonts w:ascii="宋体" w:hAnsi="宋体" w:cs="宋体" w:eastAsia="宋体" w:hint="default"/>
                <w:sz w:val="18"/>
                <w:szCs w:val="18"/>
              </w:rPr>
            </w:pPr>
            <w:r>
              <w:rPr>
                <w:rFonts w:ascii="宋体" w:hAnsi="宋体" w:cs="宋体" w:eastAsia="宋体" w:hint="default"/>
                <w:sz w:val="18"/>
                <w:szCs w:val="18"/>
              </w:rPr>
              <w:t>款项是否由关联交 易产生</w:t>
            </w:r>
          </w:p>
        </w:tc>
      </w:tr>
    </w:tbl>
    <w:p>
      <w:pPr>
        <w:pStyle w:val="BodyText"/>
        <w:spacing w:line="348" w:lineRule="auto" w:before="51"/>
        <w:ind w:right="6822"/>
        <w:jc w:val="left"/>
      </w:pPr>
      <w:r>
        <w:rPr/>
        <w:t>应收账款核销说明： </w:t>
      </w:r>
      <w:r>
        <w:rPr>
          <w:rFonts w:ascii="Times New Roman" w:hAnsi="Times New Roman" w:cs="Times New Roman" w:eastAsia="Times New Roman" w:hint="default"/>
        </w:rPr>
        <w:t>4)</w:t>
      </w:r>
      <w:r>
        <w:rPr/>
        <w:t>按欠款方归集的期末余额前五名的应收账款情况 公司是否需要遵守特殊行业的披露要求</w:t>
      </w:r>
    </w:p>
    <w:p>
      <w:pPr>
        <w:pStyle w:val="BodyText"/>
        <w:spacing w:line="240" w:lineRule="auto" w:before="35"/>
        <w:ind w:right="1134"/>
        <w:jc w:val="left"/>
      </w:pPr>
      <w:r>
        <w:rPr/>
        <w:t>否</w:t>
      </w:r>
    </w:p>
    <w:p>
      <w:pPr>
        <w:spacing w:line="240" w:lineRule="auto" w:before="1"/>
        <w:rPr>
          <w:rFonts w:ascii="宋体" w:hAnsi="宋体" w:cs="宋体" w:eastAsia="宋体" w:hint="default"/>
          <w:sz w:val="8"/>
          <w:szCs w:val="8"/>
        </w:rPr>
      </w:pPr>
    </w:p>
    <w:tbl>
      <w:tblPr>
        <w:tblW w:w="0" w:type="auto"/>
        <w:jc w:val="left"/>
        <w:tblInd w:w="146" w:type="dxa"/>
        <w:tblLayout w:type="fixed"/>
        <w:tblCellMar>
          <w:top w:w="0" w:type="dxa"/>
          <w:left w:w="0" w:type="dxa"/>
          <w:bottom w:w="0" w:type="dxa"/>
          <w:right w:w="0" w:type="dxa"/>
        </w:tblCellMar>
        <w:tblLook w:val="01E0"/>
      </w:tblPr>
      <w:tblGrid>
        <w:gridCol w:w="2410"/>
        <w:gridCol w:w="2410"/>
        <w:gridCol w:w="2836"/>
        <w:gridCol w:w="1985"/>
      </w:tblGrid>
      <w:tr>
        <w:trPr>
          <w:trHeight w:val="346" w:hRule="exact"/>
        </w:trPr>
        <w:tc>
          <w:tcPr>
            <w:tcW w:w="241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41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83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19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占应收账款期末余额的比例</w:t>
            </w:r>
            <w:r>
              <w:rPr>
                <w:rFonts w:ascii="Times New Roman" w:hAnsi="Times New Roman" w:cs="Times New Roman" w:eastAsia="Times New Roman" w:hint="default"/>
                <w:sz w:val="18"/>
                <w:szCs w:val="18"/>
              </w:rPr>
              <w:t>(%)</w:t>
            </w:r>
          </w:p>
        </w:tc>
        <w:tc>
          <w:tcPr>
            <w:tcW w:w="19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353" w:right="0"/>
              <w:jc w:val="left"/>
              <w:rPr>
                <w:rFonts w:ascii="宋体" w:hAnsi="宋体" w:cs="宋体" w:eastAsia="宋体" w:hint="default"/>
                <w:sz w:val="18"/>
                <w:szCs w:val="18"/>
              </w:rPr>
            </w:pPr>
            <w:r>
              <w:rPr>
                <w:rFonts w:ascii="宋体" w:hAnsi="宋体" w:cs="宋体" w:eastAsia="宋体" w:hint="default"/>
                <w:sz w:val="18"/>
                <w:szCs w:val="18"/>
              </w:rPr>
              <w:t>已计提坏账准备</w:t>
            </w:r>
          </w:p>
        </w:tc>
      </w:tr>
      <w:tr>
        <w:trPr>
          <w:trHeight w:val="34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 w:right="0"/>
              <w:jc w:val="left"/>
              <w:rPr>
                <w:rFonts w:ascii="宋体" w:hAnsi="宋体" w:cs="宋体" w:eastAsia="宋体" w:hint="default"/>
                <w:sz w:val="18"/>
                <w:szCs w:val="18"/>
              </w:rPr>
            </w:pPr>
            <w:r>
              <w:rPr>
                <w:rFonts w:ascii="宋体" w:hAnsi="宋体" w:cs="宋体" w:eastAsia="宋体" w:hint="default"/>
                <w:sz w:val="18"/>
                <w:szCs w:val="18"/>
              </w:rPr>
              <w:t>客户一</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70,938,531.20</w:t>
            </w:r>
          </w:p>
        </w:tc>
        <w:tc>
          <w:tcPr>
            <w:tcW w:w="2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23.67</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3,546,926.56</w:t>
            </w:r>
          </w:p>
        </w:tc>
      </w:tr>
      <w:tr>
        <w:trPr>
          <w:trHeight w:val="34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客户二</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43,282,960.02</w:t>
            </w:r>
          </w:p>
        </w:tc>
        <w:tc>
          <w:tcPr>
            <w:tcW w:w="2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14.44</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2,164,148.00</w:t>
            </w:r>
          </w:p>
        </w:tc>
      </w:tr>
      <w:tr>
        <w:trPr>
          <w:trHeight w:val="34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客户三</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30,760,609.68</w:t>
            </w:r>
          </w:p>
        </w:tc>
        <w:tc>
          <w:tcPr>
            <w:tcW w:w="2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10.26</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1,540,206.87</w:t>
            </w:r>
          </w:p>
        </w:tc>
      </w:tr>
      <w:tr>
        <w:trPr>
          <w:trHeight w:val="34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客户四</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20,864,000.00</w:t>
            </w:r>
          </w:p>
        </w:tc>
        <w:tc>
          <w:tcPr>
            <w:tcW w:w="2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6.96</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1,043,200.00</w:t>
            </w:r>
          </w:p>
        </w:tc>
      </w:tr>
      <w:tr>
        <w:trPr>
          <w:trHeight w:val="348"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客户五</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11,298,407.96</w:t>
            </w:r>
          </w:p>
        </w:tc>
        <w:tc>
          <w:tcPr>
            <w:tcW w:w="2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3.77</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618,926.01</w:t>
            </w:r>
          </w:p>
        </w:tc>
      </w:tr>
      <w:tr>
        <w:trPr>
          <w:trHeight w:val="347" w:hRule="exact"/>
        </w:trPr>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177,144,508.86</w:t>
            </w:r>
          </w:p>
        </w:tc>
        <w:tc>
          <w:tcPr>
            <w:tcW w:w="28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z w:val="18"/>
              </w:rPr>
              <w:t>59.10</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8,913,407.44</w:t>
            </w:r>
          </w:p>
        </w:tc>
      </w:tr>
    </w:tbl>
    <w:p>
      <w:pPr>
        <w:pStyle w:val="BodyText"/>
        <w:spacing w:line="240" w:lineRule="auto" w:before="51"/>
        <w:ind w:right="1134"/>
        <w:jc w:val="left"/>
      </w:pPr>
      <w:r>
        <w:rPr>
          <w:rFonts w:ascii="Times New Roman" w:hAnsi="Times New Roman" w:cs="Times New Roman" w:eastAsia="Times New Roman" w:hint="default"/>
        </w:rPr>
        <w:t>5)</w:t>
      </w:r>
      <w:r>
        <w:rPr/>
        <w:t>因金融资产转移而终止确认的应收账款</w:t>
      </w:r>
    </w:p>
    <w:p>
      <w:pPr>
        <w:spacing w:line="240" w:lineRule="auto" w:before="0"/>
        <w:rPr>
          <w:rFonts w:ascii="宋体" w:hAnsi="宋体" w:cs="宋体" w:eastAsia="宋体" w:hint="default"/>
          <w:sz w:val="7"/>
          <w:szCs w:val="7"/>
        </w:rPr>
      </w:pPr>
    </w:p>
    <w:tbl>
      <w:tblPr>
        <w:tblW w:w="0" w:type="auto"/>
        <w:jc w:val="left"/>
        <w:tblInd w:w="146" w:type="dxa"/>
        <w:tblLayout w:type="fixed"/>
        <w:tblCellMar>
          <w:top w:w="0" w:type="dxa"/>
          <w:left w:w="0" w:type="dxa"/>
          <w:bottom w:w="0" w:type="dxa"/>
          <w:right w:w="0" w:type="dxa"/>
        </w:tblCellMar>
        <w:tblLook w:val="01E0"/>
      </w:tblPr>
      <w:tblGrid>
        <w:gridCol w:w="2412"/>
        <w:gridCol w:w="2414"/>
        <w:gridCol w:w="2412"/>
        <w:gridCol w:w="2413"/>
      </w:tblGrid>
      <w:tr>
        <w:trPr>
          <w:trHeight w:val="347" w:hRule="exact"/>
        </w:trPr>
        <w:tc>
          <w:tcPr>
            <w:tcW w:w="241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41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388" w:right="0"/>
              <w:jc w:val="left"/>
              <w:rPr>
                <w:rFonts w:ascii="宋体" w:hAnsi="宋体" w:cs="宋体" w:eastAsia="宋体" w:hint="default"/>
                <w:sz w:val="18"/>
                <w:szCs w:val="18"/>
              </w:rPr>
            </w:pPr>
            <w:r>
              <w:rPr>
                <w:rFonts w:ascii="宋体" w:hAnsi="宋体" w:cs="宋体" w:eastAsia="宋体" w:hint="default"/>
                <w:sz w:val="18"/>
                <w:szCs w:val="18"/>
              </w:rPr>
              <w:t>金融资产转移的方式</w:t>
            </w:r>
          </w:p>
        </w:tc>
        <w:tc>
          <w:tcPr>
            <w:tcW w:w="241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387" w:right="0"/>
              <w:jc w:val="left"/>
              <w:rPr>
                <w:rFonts w:ascii="宋体" w:hAnsi="宋体" w:cs="宋体" w:eastAsia="宋体" w:hint="default"/>
                <w:sz w:val="18"/>
                <w:szCs w:val="18"/>
              </w:rPr>
            </w:pPr>
            <w:r>
              <w:rPr>
                <w:rFonts w:ascii="宋体" w:hAnsi="宋体" w:cs="宋体" w:eastAsia="宋体" w:hint="default"/>
                <w:sz w:val="18"/>
                <w:szCs w:val="18"/>
              </w:rPr>
              <w:t>本年度终止确认金额</w:t>
            </w:r>
          </w:p>
        </w:tc>
        <w:tc>
          <w:tcPr>
            <w:tcW w:w="241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29"/>
              <w:jc w:val="right"/>
              <w:rPr>
                <w:rFonts w:ascii="宋体" w:hAnsi="宋体" w:cs="宋体" w:eastAsia="宋体" w:hint="default"/>
                <w:sz w:val="18"/>
                <w:szCs w:val="18"/>
              </w:rPr>
            </w:pPr>
            <w:r>
              <w:rPr>
                <w:rFonts w:ascii="宋体" w:hAnsi="宋体" w:cs="宋体" w:eastAsia="宋体" w:hint="default"/>
                <w:sz w:val="18"/>
                <w:szCs w:val="18"/>
              </w:rPr>
              <w:t>与终止确认相关的利得或损失</w:t>
            </w:r>
          </w:p>
        </w:tc>
      </w:tr>
      <w:tr>
        <w:trPr>
          <w:trHeight w:val="430"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left="2" w:right="0"/>
              <w:jc w:val="left"/>
              <w:rPr>
                <w:rFonts w:ascii="宋体" w:hAnsi="宋体" w:cs="宋体" w:eastAsia="宋体" w:hint="default"/>
                <w:sz w:val="18"/>
                <w:szCs w:val="18"/>
              </w:rPr>
            </w:pPr>
            <w:r>
              <w:rPr>
                <w:rFonts w:ascii="宋体" w:hAnsi="宋体" w:cs="宋体" w:eastAsia="宋体" w:hint="default"/>
                <w:sz w:val="18"/>
                <w:szCs w:val="18"/>
              </w:rPr>
              <w:t>不附追索权的应收账款保理</w:t>
            </w:r>
          </w:p>
        </w:tc>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28,567,082.32</w:t>
            </w:r>
          </w:p>
        </w:tc>
        <w:tc>
          <w:tcPr>
            <w:tcW w:w="2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right"/>
              <w:rPr>
                <w:rFonts w:ascii="Times New Roman" w:hAnsi="Times New Roman" w:cs="Times New Roman" w:eastAsia="Times New Roman" w:hint="default"/>
                <w:sz w:val="18"/>
                <w:szCs w:val="18"/>
              </w:rPr>
            </w:pPr>
            <w:r>
              <w:rPr>
                <w:rFonts w:ascii="Times New Roman"/>
                <w:sz w:val="18"/>
              </w:rPr>
              <w:t>807,734.25</w:t>
            </w:r>
          </w:p>
        </w:tc>
      </w:tr>
      <w:tr>
        <w:trPr>
          <w:trHeight w:val="427" w:hRule="exact"/>
        </w:trPr>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14" w:type="dxa"/>
            <w:tcBorders>
              <w:top w:val="single" w:sz="6" w:space="0" w:color="000000"/>
              <w:left w:val="single" w:sz="6" w:space="0" w:color="000000"/>
              <w:bottom w:val="single" w:sz="6" w:space="0" w:color="000000"/>
              <w:right w:val="single" w:sz="6" w:space="0" w:color="000000"/>
            </w:tcBorders>
          </w:tcPr>
          <w:p>
            <w:pPr/>
          </w:p>
        </w:tc>
        <w:tc>
          <w:tcPr>
            <w:tcW w:w="241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1"/>
              <w:jc w:val="right"/>
              <w:rPr>
                <w:rFonts w:ascii="Times New Roman" w:hAnsi="Times New Roman" w:cs="Times New Roman" w:eastAsia="Times New Roman" w:hint="default"/>
                <w:sz w:val="18"/>
                <w:szCs w:val="18"/>
              </w:rPr>
            </w:pPr>
            <w:r>
              <w:rPr>
                <w:rFonts w:ascii="Times New Roman"/>
                <w:spacing w:val="-1"/>
                <w:sz w:val="18"/>
              </w:rPr>
              <w:t>28,567,082.32</w:t>
            </w:r>
          </w:p>
        </w:tc>
        <w:tc>
          <w:tcPr>
            <w:tcW w:w="24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0"/>
              <w:ind w:right="0"/>
              <w:jc w:val="right"/>
              <w:rPr>
                <w:rFonts w:ascii="Times New Roman" w:hAnsi="Times New Roman" w:cs="Times New Roman" w:eastAsia="Times New Roman" w:hint="default"/>
                <w:sz w:val="18"/>
                <w:szCs w:val="18"/>
              </w:rPr>
            </w:pPr>
            <w:r>
              <w:rPr>
                <w:rFonts w:ascii="Times New Roman"/>
                <w:sz w:val="18"/>
              </w:rPr>
              <w:t>807,734.25</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4、预付款项" w:id="219"/>
      <w:bookmarkEnd w:id="219"/>
      <w:r>
        <w:rPr>
          <w:b w:val="0"/>
          <w:bCs w:val="0"/>
        </w:rPr>
      </w:r>
      <w:r>
        <w:rPr>
          <w:rFonts w:ascii="Times New Roman" w:hAnsi="Times New Roman" w:cs="Times New Roman" w:eastAsia="Times New Roman" w:hint="default"/>
        </w:rPr>
        <w:t>4</w:t>
      </w:r>
      <w:r>
        <w:rPr/>
        <w:t>、预付款项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预付款项按账龄列示" w:id="220"/>
      <w:bookmarkEnd w:id="220"/>
      <w:r>
        <w:rPr>
          <w:b w:val="0"/>
          <w:bCs w:val="0"/>
        </w:rPr>
      </w:r>
      <w:r>
        <w:rPr/>
        <w:t>（</w:t>
      </w:r>
      <w:r>
        <w:rPr>
          <w:rFonts w:ascii="Times New Roman" w:hAnsi="Times New Roman" w:cs="Times New Roman" w:eastAsia="Times New Roman" w:hint="default"/>
        </w:rPr>
        <w:t>1</w:t>
      </w:r>
      <w:r>
        <w:rPr/>
        <w:t>）预付款项按账龄列示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01"/>
        <w:gridCol w:w="1916"/>
        <w:gridCol w:w="1914"/>
        <w:gridCol w:w="1914"/>
        <w:gridCol w:w="1915"/>
      </w:tblGrid>
      <w:tr>
        <w:trPr>
          <w:trHeight w:val="206"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9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账龄</w:t>
            </w:r>
          </w:p>
        </w:tc>
        <w:tc>
          <w:tcPr>
            <w:tcW w:w="3830" w:type="dxa"/>
            <w:gridSpan w:val="2"/>
            <w:vMerge/>
            <w:tcBorders>
              <w:left w:val="single" w:sz="4" w:space="0" w:color="000000"/>
              <w:bottom w:val="single" w:sz="4" w:space="0" w:color="000000"/>
              <w:right w:val="single" w:sz="4" w:space="0" w:color="000000"/>
            </w:tcBorders>
            <w:shd w:val="clear" w:color="auto" w:fill="D2D2D2"/>
          </w:tcPr>
          <w:p>
            <w:pPr/>
          </w:p>
        </w:tc>
        <w:tc>
          <w:tcPr>
            <w:tcW w:w="3830" w:type="dxa"/>
            <w:gridSpan w:val="2"/>
            <w:vMerge/>
            <w:tcBorders>
              <w:left w:val="single" w:sz="4" w:space="0" w:color="000000"/>
              <w:bottom w:val="single" w:sz="4" w:space="0" w:color="000000"/>
              <w:right w:val="single" w:sz="4" w:space="0" w:color="000000"/>
            </w:tcBorders>
            <w:shd w:val="clear" w:color="auto" w:fill="D2D2D2"/>
          </w:tcPr>
          <w:p>
            <w:pPr/>
          </w:p>
        </w:tc>
      </w:tr>
      <w:tr>
        <w:trPr>
          <w:trHeight w:val="197" w:hRule="exact"/>
        </w:trPr>
        <w:tc>
          <w:tcPr>
            <w:tcW w:w="1901" w:type="dxa"/>
            <w:vMerge/>
            <w:tcBorders>
              <w:left w:val="single" w:sz="4" w:space="0" w:color="000000"/>
              <w:bottom w:val="nil" w:sz="6" w:space="0" w:color="auto"/>
              <w:right w:val="single" w:sz="4" w:space="0" w:color="000000"/>
            </w:tcBorders>
            <w:shd w:val="clear" w:color="auto" w:fill="D2D2D2"/>
          </w:tcPr>
          <w:p>
            <w:pPr/>
          </w:p>
        </w:tc>
        <w:tc>
          <w:tcPr>
            <w:tcW w:w="19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205"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6"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5"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21,904,467.19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95.25%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14,262,587.70</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92.48%</w:t>
            </w:r>
          </w:p>
        </w:tc>
      </w:tr>
      <w:tr>
        <w:trPr>
          <w:trHeight w:val="403"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232,279.27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1.01%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549,854.48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3.56%</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12"/>
        <w:gridCol w:w="1916"/>
        <w:gridCol w:w="1914"/>
        <w:gridCol w:w="1914"/>
        <w:gridCol w:w="1915"/>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443,280.48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466,431.72</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3.02%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416,214.57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144,870.55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0.94%</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1"/>
              <w:ind w:right="9"/>
              <w:jc w:val="right"/>
              <w:rPr>
                <w:rFonts w:ascii="Times New Roman" w:hAnsi="Times New Roman" w:cs="Times New Roman" w:eastAsia="Times New Roman" w:hint="default"/>
                <w:sz w:val="18"/>
                <w:szCs w:val="18"/>
              </w:rPr>
            </w:pPr>
            <w:r>
              <w:rPr>
                <w:rFonts w:ascii="Times New Roman"/>
                <w:spacing w:val="-1"/>
                <w:sz w:val="18"/>
              </w:rPr>
              <w:t>22,996,241.51</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15,423,744.45</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38" w:lineRule="auto" w:before="51"/>
        <w:ind w:right="5894"/>
        <w:jc w:val="left"/>
      </w:pPr>
      <w:r>
        <w:rPr/>
        <w:t>账龄超过</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年且金额重要的预付款项未及时结算原因的说明： 无账龄超过</w:t>
      </w:r>
      <w:r>
        <w:rPr>
          <w:rFonts w:ascii="Times New Roman" w:hAnsi="Times New Roman" w:cs="Times New Roman" w:eastAsia="Times New Roman" w:hint="default"/>
        </w:rPr>
        <w:t>1</w:t>
      </w:r>
      <w:r>
        <w:rPr/>
        <w:t>年且金额重要未及时结算的预付款项。</w:t>
      </w:r>
    </w:p>
    <w:p>
      <w:pPr>
        <w:spacing w:line="240" w:lineRule="auto" w:before="8"/>
        <w:rPr>
          <w:rFonts w:ascii="宋体" w:hAnsi="宋体" w:cs="宋体" w:eastAsia="宋体" w:hint="default"/>
          <w:sz w:val="19"/>
          <w:szCs w:val="19"/>
        </w:rPr>
      </w:pPr>
    </w:p>
    <w:p>
      <w:pPr>
        <w:pStyle w:val="Heading3"/>
        <w:spacing w:line="240" w:lineRule="auto"/>
        <w:ind w:right="1134"/>
        <w:jc w:val="left"/>
        <w:rPr>
          <w:b w:val="0"/>
          <w:bCs w:val="0"/>
        </w:rPr>
      </w:pPr>
      <w:bookmarkStart w:name="（2）按预付对象归集的期末余额前五名的预付款情况" w:id="221"/>
      <w:bookmarkEnd w:id="221"/>
      <w:r>
        <w:rPr>
          <w:b w:val="0"/>
          <w:bCs w:val="0"/>
        </w:rPr>
      </w:r>
      <w:r>
        <w:rPr/>
        <w:t>（</w:t>
      </w:r>
      <w:r>
        <w:rPr>
          <w:rFonts w:ascii="Times New Roman" w:hAnsi="Times New Roman" w:cs="Times New Roman" w:eastAsia="Times New Roman" w:hint="default"/>
        </w:rPr>
        <w:t>2</w:t>
      </w:r>
      <w:r>
        <w:rPr/>
        <w:t>）按预付对象归集的期末余额前五名的预付款情况</w:t>
      </w:r>
      <w:r>
        <w:rPr>
          <w:b w:val="0"/>
          <w:bCs w:val="0"/>
        </w:rPr>
      </w:r>
    </w:p>
    <w:p>
      <w:pPr>
        <w:spacing w:line="240" w:lineRule="auto" w:before="9"/>
        <w:rPr>
          <w:rFonts w:ascii="宋体" w:hAnsi="宋体" w:cs="宋体" w:eastAsia="宋体" w:hint="default"/>
          <w:b/>
          <w:bCs/>
          <w:sz w:val="25"/>
          <w:szCs w:val="25"/>
        </w:rPr>
      </w:pPr>
    </w:p>
    <w:tbl>
      <w:tblPr>
        <w:tblW w:w="0" w:type="auto"/>
        <w:jc w:val="left"/>
        <w:tblInd w:w="146" w:type="dxa"/>
        <w:tblLayout w:type="fixed"/>
        <w:tblCellMar>
          <w:top w:w="0" w:type="dxa"/>
          <w:left w:w="0" w:type="dxa"/>
          <w:bottom w:w="0" w:type="dxa"/>
          <w:right w:w="0" w:type="dxa"/>
        </w:tblCellMar>
        <w:tblLook w:val="01E0"/>
      </w:tblPr>
      <w:tblGrid>
        <w:gridCol w:w="2458"/>
        <w:gridCol w:w="1762"/>
        <w:gridCol w:w="2160"/>
        <w:gridCol w:w="1134"/>
        <w:gridCol w:w="1985"/>
      </w:tblGrid>
      <w:tr>
        <w:trPr>
          <w:trHeight w:val="347" w:hRule="exact"/>
        </w:trPr>
        <w:tc>
          <w:tcPr>
            <w:tcW w:w="245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76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513" w:right="0"/>
              <w:jc w:val="left"/>
              <w:rPr>
                <w:rFonts w:ascii="宋体" w:hAnsi="宋体" w:cs="宋体" w:eastAsia="宋体" w:hint="default"/>
                <w:sz w:val="18"/>
                <w:szCs w:val="18"/>
              </w:rPr>
            </w:pPr>
            <w:r>
              <w:rPr>
                <w:rFonts w:ascii="宋体" w:hAnsi="宋体" w:cs="宋体" w:eastAsia="宋体" w:hint="default"/>
                <w:sz w:val="18"/>
                <w:szCs w:val="18"/>
              </w:rPr>
              <w:t>期末金额</w:t>
            </w:r>
          </w:p>
        </w:tc>
        <w:tc>
          <w:tcPr>
            <w:tcW w:w="216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36"/>
              <w:jc w:val="right"/>
              <w:rPr>
                <w:rFonts w:ascii="Times New Roman" w:hAnsi="Times New Roman" w:cs="Times New Roman" w:eastAsia="Times New Roman" w:hint="default"/>
                <w:sz w:val="18"/>
                <w:szCs w:val="18"/>
              </w:rPr>
            </w:pPr>
            <w:r>
              <w:rPr>
                <w:rFonts w:ascii="宋体" w:hAnsi="宋体" w:cs="宋体" w:eastAsia="宋体" w:hint="default"/>
                <w:sz w:val="18"/>
                <w:szCs w:val="18"/>
              </w:rPr>
              <w:t>占预付款项总额的比例</w:t>
            </w:r>
            <w:r>
              <w:rPr>
                <w:rFonts w:ascii="Times New Roman" w:hAnsi="Times New Roman" w:cs="Times New Roman" w:eastAsia="Times New Roman" w:hint="default"/>
                <w:sz w:val="18"/>
                <w:szCs w:val="18"/>
              </w:rPr>
              <w:t>(%)</w:t>
            </w:r>
          </w:p>
        </w:tc>
        <w:tc>
          <w:tcPr>
            <w:tcW w:w="113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预付款时间</w:t>
            </w:r>
          </w:p>
        </w:tc>
        <w:tc>
          <w:tcPr>
            <w:tcW w:w="19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未结算原因</w:t>
            </w:r>
          </w:p>
        </w:tc>
      </w:tr>
      <w:tr>
        <w:trPr>
          <w:trHeight w:val="347" w:hRule="exact"/>
        </w:trPr>
        <w:tc>
          <w:tcPr>
            <w:tcW w:w="24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供应商一</w:t>
            </w:r>
          </w:p>
        </w:tc>
        <w:tc>
          <w:tcPr>
            <w:tcW w:w="17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6,956,862.08</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30.25</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合同未完成</w:t>
            </w:r>
          </w:p>
        </w:tc>
      </w:tr>
      <w:tr>
        <w:trPr>
          <w:trHeight w:val="348" w:hRule="exact"/>
        </w:trPr>
        <w:tc>
          <w:tcPr>
            <w:tcW w:w="24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供应商二</w:t>
            </w:r>
          </w:p>
        </w:tc>
        <w:tc>
          <w:tcPr>
            <w:tcW w:w="17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2,992,344.83</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13.01</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合同未完成</w:t>
            </w:r>
          </w:p>
        </w:tc>
      </w:tr>
      <w:tr>
        <w:trPr>
          <w:trHeight w:val="347" w:hRule="exact"/>
        </w:trPr>
        <w:tc>
          <w:tcPr>
            <w:tcW w:w="24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供应商三</w:t>
            </w:r>
          </w:p>
        </w:tc>
        <w:tc>
          <w:tcPr>
            <w:tcW w:w="17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2,481,470.54</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z w:val="18"/>
              </w:rPr>
              <w:t>10.79</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合同未完成</w:t>
            </w:r>
          </w:p>
        </w:tc>
      </w:tr>
      <w:tr>
        <w:trPr>
          <w:trHeight w:val="347" w:hRule="exact"/>
        </w:trPr>
        <w:tc>
          <w:tcPr>
            <w:tcW w:w="24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供应商四</w:t>
            </w:r>
          </w:p>
        </w:tc>
        <w:tc>
          <w:tcPr>
            <w:tcW w:w="17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2,197,968.55</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9.56</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合同未完成</w:t>
            </w:r>
          </w:p>
        </w:tc>
      </w:tr>
      <w:tr>
        <w:trPr>
          <w:trHeight w:val="347" w:hRule="exact"/>
        </w:trPr>
        <w:tc>
          <w:tcPr>
            <w:tcW w:w="24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供应商五</w:t>
            </w:r>
          </w:p>
        </w:tc>
        <w:tc>
          <w:tcPr>
            <w:tcW w:w="17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1,460,242.72</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6.35</w:t>
            </w:r>
          </w:p>
        </w:tc>
        <w:tc>
          <w:tcPr>
            <w:tcW w:w="11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年以内</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合同未完成</w:t>
            </w:r>
          </w:p>
        </w:tc>
      </w:tr>
      <w:tr>
        <w:trPr>
          <w:trHeight w:val="348" w:hRule="exact"/>
        </w:trPr>
        <w:tc>
          <w:tcPr>
            <w:tcW w:w="245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76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16,088,888.72</w:t>
            </w:r>
          </w:p>
        </w:tc>
        <w:tc>
          <w:tcPr>
            <w:tcW w:w="21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69.96</w:t>
            </w:r>
          </w:p>
        </w:tc>
        <w:tc>
          <w:tcPr>
            <w:tcW w:w="1134" w:type="dxa"/>
            <w:tcBorders>
              <w:top w:val="single" w:sz="6" w:space="0" w:color="000000"/>
              <w:left w:val="single" w:sz="6" w:space="0" w:color="000000"/>
              <w:bottom w:val="single" w:sz="6" w:space="0" w:color="000000"/>
              <w:right w:val="single" w:sz="6" w:space="0" w:color="000000"/>
            </w:tcBorders>
          </w:tcPr>
          <w:p>
            <w:pPr/>
          </w:p>
        </w:tc>
        <w:tc>
          <w:tcPr>
            <w:tcW w:w="1985" w:type="dxa"/>
            <w:tcBorders>
              <w:top w:val="single" w:sz="6" w:space="0" w:color="000000"/>
              <w:left w:val="single" w:sz="6" w:space="0" w:color="000000"/>
              <w:bottom w:val="single" w:sz="6" w:space="0" w:color="000000"/>
              <w:right w:val="single" w:sz="6" w:space="0" w:color="000000"/>
            </w:tcBorders>
          </w:tcPr>
          <w:p>
            <w:pPr/>
          </w:p>
        </w:tc>
      </w:tr>
    </w:tbl>
    <w:p>
      <w:pPr>
        <w:spacing w:line="240" w:lineRule="auto" w:before="2"/>
        <w:rPr>
          <w:rFonts w:ascii="宋体" w:hAnsi="宋体" w:cs="宋体" w:eastAsia="宋体" w:hint="default"/>
          <w:b/>
          <w:bCs/>
          <w:sz w:val="19"/>
          <w:szCs w:val="19"/>
        </w:rPr>
      </w:pPr>
    </w:p>
    <w:p>
      <w:pPr>
        <w:pStyle w:val="Heading3"/>
        <w:spacing w:line="240" w:lineRule="auto" w:before="35"/>
        <w:ind w:right="1134"/>
        <w:jc w:val="left"/>
        <w:rPr>
          <w:b w:val="0"/>
          <w:bCs w:val="0"/>
        </w:rPr>
      </w:pPr>
      <w:bookmarkStart w:name="5、其他应收款" w:id="222"/>
      <w:bookmarkEnd w:id="222"/>
      <w:r>
        <w:rPr>
          <w:b w:val="0"/>
          <w:bCs w:val="0"/>
        </w:rPr>
      </w:r>
      <w:r>
        <w:rPr>
          <w:rFonts w:ascii="Times New Roman" w:hAnsi="Times New Roman" w:cs="Times New Roman" w:eastAsia="Times New Roman" w:hint="default"/>
        </w:rPr>
        <w:t>5</w:t>
      </w:r>
      <w:r>
        <w:rPr/>
        <w:t>、其他应收款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418,002.87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345,640.30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3,774,583.43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9,496,645.17</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4,192,586.30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9,842,285.47</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1）应收利息" w:id="223"/>
      <w:bookmarkEnd w:id="223"/>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right="1134"/>
        <w:jc w:val="left"/>
      </w:pPr>
      <w:r>
        <w:rPr>
          <w:rFonts w:ascii="Times New Roman" w:hAnsi="Times New Roman" w:cs="Times New Roman" w:eastAsia="Times New Roman" w:hint="default"/>
        </w:rPr>
        <w:t>1)</w:t>
      </w:r>
      <w:r>
        <w:rPr/>
        <w:t>应收利息分类</w:t>
      </w:r>
    </w:p>
    <w:p>
      <w:pPr>
        <w:pStyle w:val="BodyText"/>
        <w:spacing w:line="240" w:lineRule="auto" w:before="102"/>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3"/>
        <w:gridCol w:w="3189"/>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定期存款</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418,002.87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345,640.30</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418,002.87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345,640.30</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其他应收款" w:id="224"/>
      <w:bookmarkEnd w:id="224"/>
      <w:r>
        <w:rPr>
          <w:b w:val="0"/>
          <w:bCs w:val="0"/>
        </w:rPr>
      </w:r>
      <w:r>
        <w:rPr/>
        <w:t>（</w:t>
      </w:r>
      <w:r>
        <w:rPr>
          <w:rFonts w:ascii="Times New Roman" w:hAnsi="Times New Roman" w:cs="Times New Roman" w:eastAsia="Times New Roman" w:hint="default"/>
        </w:rPr>
        <w:t>2</w:t>
      </w:r>
      <w:r>
        <w:rPr/>
        <w:t>）其他应收款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1134"/>
        <w:jc w:val="left"/>
      </w:pPr>
      <w:r>
        <w:rPr>
          <w:rFonts w:ascii="Times New Roman" w:hAnsi="Times New Roman" w:cs="Times New Roman" w:eastAsia="Times New Roman" w:hint="default"/>
        </w:rPr>
        <w:t>1)</w:t>
      </w:r>
      <w:r>
        <w:rPr/>
        <w:t>其他应收款分类披露</w:t>
      </w:r>
    </w:p>
    <w:p>
      <w:pPr>
        <w:pStyle w:val="BodyText"/>
        <w:spacing w:line="240" w:lineRule="auto" w:before="102"/>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1049"/>
        <w:gridCol w:w="696"/>
        <w:gridCol w:w="932"/>
      </w:tblGrid>
      <w:tr>
        <w:trPr>
          <w:trHeight w:val="402"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05" w:right="0"/>
              <w:jc w:val="left"/>
              <w:rPr>
                <w:rFonts w:ascii="宋体" w:hAnsi="宋体" w:cs="宋体" w:eastAsia="宋体" w:hint="default"/>
                <w:sz w:val="18"/>
                <w:szCs w:val="18"/>
              </w:rPr>
            </w:pPr>
            <w:r>
              <w:rPr>
                <w:rFonts w:ascii="宋体" w:hAnsi="宋体" w:cs="宋体" w:eastAsia="宋体" w:hint="default"/>
                <w:sz w:val="18"/>
                <w:szCs w:val="18"/>
              </w:rPr>
              <w:t>计提比</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38"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71" w:right="0"/>
              <w:jc w:val="left"/>
              <w:rPr>
                <w:rFonts w:ascii="宋体" w:hAnsi="宋体" w:cs="宋体" w:eastAsia="宋体" w:hint="default"/>
                <w:sz w:val="18"/>
                <w:szCs w:val="18"/>
              </w:rPr>
            </w:pPr>
            <w:r>
              <w:rPr>
                <w:rFonts w:ascii="宋体" w:hAnsi="宋体" w:cs="宋体" w:eastAsia="宋体" w:hint="default"/>
                <w:sz w:val="18"/>
                <w:szCs w:val="18"/>
              </w:rPr>
              <w:t>计提比</w:t>
            </w:r>
          </w:p>
        </w:tc>
        <w:tc>
          <w:tcPr>
            <w:tcW w:w="932"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60" w:type="dxa"/>
        <w:tblLayout w:type="fixed"/>
        <w:tblCellMar>
          <w:top w:w="0" w:type="dxa"/>
          <w:left w:w="0" w:type="dxa"/>
          <w:bottom w:w="0" w:type="dxa"/>
          <w:right w:w="0" w:type="dxa"/>
        </w:tblCellMar>
        <w:tblLook w:val="01E0"/>
      </w:tblPr>
      <w:tblGrid>
        <w:gridCol w:w="1611"/>
        <w:gridCol w:w="775"/>
        <w:gridCol w:w="762"/>
        <w:gridCol w:w="762"/>
        <w:gridCol w:w="762"/>
        <w:gridCol w:w="790"/>
        <w:gridCol w:w="654"/>
        <w:gridCol w:w="762"/>
        <w:gridCol w:w="1049"/>
        <w:gridCol w:w="696"/>
        <w:gridCol w:w="932"/>
      </w:tblGrid>
      <w:tr>
        <w:trPr>
          <w:trHeight w:val="362"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7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例</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04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例</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6" w:hRule="exact"/>
        </w:trPr>
        <w:tc>
          <w:tcPr>
            <w:tcW w:w="16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148"/>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75"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99" w:right="0"/>
              <w:jc w:val="left"/>
              <w:rPr>
                <w:rFonts w:ascii="Times New Roman" w:hAnsi="Times New Roman" w:cs="Times New Roman" w:eastAsia="Times New Roman" w:hint="default"/>
                <w:sz w:val="18"/>
                <w:szCs w:val="18"/>
              </w:rPr>
            </w:pPr>
            <w:r>
              <w:rPr>
                <w:rFonts w:ascii="Times New Roman"/>
                <w:sz w:val="18"/>
              </w:rPr>
              <w:t>4,388,90</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0.77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614,317.</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34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14.00%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3,774,583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.43</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10,699,</w:t>
            </w:r>
          </w:p>
          <w:p>
            <w:pPr>
              <w:pStyle w:val="TableParagraph"/>
              <w:spacing w:line="240" w:lineRule="auto" w:before="105"/>
              <w:ind w:left="126" w:right="0"/>
              <w:jc w:val="left"/>
              <w:rPr>
                <w:rFonts w:ascii="Times New Roman" w:hAnsi="Times New Roman" w:cs="Times New Roman" w:eastAsia="Times New Roman" w:hint="default"/>
                <w:sz w:val="18"/>
                <w:szCs w:val="18"/>
              </w:rPr>
            </w:pPr>
            <w:r>
              <w:rPr>
                <w:rFonts w:ascii="Times New Roman"/>
                <w:sz w:val="18"/>
              </w:rPr>
              <w:t>019.97</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1,202,374.80</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9" w:right="0"/>
              <w:jc w:val="center"/>
              <w:rPr>
                <w:rFonts w:ascii="Times New Roman" w:hAnsi="Times New Roman" w:cs="Times New Roman" w:eastAsia="Times New Roman" w:hint="default"/>
                <w:sz w:val="18"/>
                <w:szCs w:val="18"/>
              </w:rPr>
            </w:pPr>
            <w:r>
              <w:rPr>
                <w:rFonts w:ascii="Times New Roman"/>
                <w:sz w:val="18"/>
              </w:rPr>
              <w:t>11.24%</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9,496,645.1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r>
      <w:tr>
        <w:trPr>
          <w:trHeight w:val="161" w:hRule="exact"/>
        </w:trPr>
        <w:tc>
          <w:tcPr>
            <w:tcW w:w="1611" w:type="dxa"/>
            <w:tcBorders>
              <w:top w:val="single" w:sz="4" w:space="0" w:color="000000"/>
              <w:left w:val="single" w:sz="4" w:space="0" w:color="000000"/>
              <w:bottom w:val="nil" w:sz="6" w:space="0" w:color="auto"/>
              <w:right w:val="single" w:sz="4" w:space="0" w:color="000000"/>
            </w:tcBorders>
            <w:shd w:val="clear" w:color="auto" w:fill="D2D2D2"/>
          </w:tcPr>
          <w:p>
            <w:pPr/>
          </w:p>
        </w:tc>
        <w:tc>
          <w:tcPr>
            <w:tcW w:w="775" w:type="dxa"/>
            <w:vMerge w:val="restart"/>
            <w:tcBorders>
              <w:top w:val="single" w:sz="4" w:space="0" w:color="000000"/>
              <w:left w:val="single" w:sz="9" w:space="0" w:color="D2D2D2"/>
              <w:right w:val="single" w:sz="4" w:space="0" w:color="000000"/>
            </w:tcBorders>
          </w:tcPr>
          <w:p>
            <w:pPr>
              <w:pStyle w:val="TableParagraph"/>
              <w:spacing w:line="240" w:lineRule="auto" w:before="91"/>
              <w:ind w:left="105" w:right="0"/>
              <w:jc w:val="left"/>
              <w:rPr>
                <w:rFonts w:ascii="Times New Roman" w:hAnsi="Times New Roman" w:cs="Times New Roman" w:eastAsia="Times New Roman" w:hint="default"/>
                <w:sz w:val="18"/>
                <w:szCs w:val="18"/>
              </w:rPr>
            </w:pPr>
            <w:r>
              <w:rPr>
                <w:rFonts w:ascii="Times New Roman"/>
                <w:sz w:val="18"/>
              </w:rPr>
              <w:t>4,388,90</w:t>
            </w:r>
          </w:p>
          <w:p>
            <w:pPr>
              <w:pStyle w:val="TableParagraph"/>
              <w:spacing w:line="240" w:lineRule="auto" w:before="105"/>
              <w:ind w:left="420" w:right="0"/>
              <w:jc w:val="left"/>
              <w:rPr>
                <w:rFonts w:ascii="Times New Roman" w:hAnsi="Times New Roman" w:cs="Times New Roman" w:eastAsia="Times New Roman" w:hint="default"/>
                <w:sz w:val="18"/>
                <w:szCs w:val="18"/>
              </w:rPr>
            </w:pPr>
            <w:r>
              <w:rPr>
                <w:rFonts w:ascii="Times New Roman"/>
                <w:sz w:val="18"/>
              </w:rPr>
              <w:t>0.77</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614,317.</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34</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5" w:right="0"/>
              <w:jc w:val="left"/>
              <w:rPr>
                <w:rFonts w:ascii="Times New Roman" w:hAnsi="Times New Roman" w:cs="Times New Roman" w:eastAsia="Times New Roman" w:hint="default"/>
                <w:sz w:val="18"/>
                <w:szCs w:val="18"/>
              </w:rPr>
            </w:pPr>
            <w:r>
              <w:rPr>
                <w:rFonts w:ascii="Times New Roman"/>
                <w:sz w:val="18"/>
              </w:rPr>
              <w:t>14.00%</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3,774,583</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.43</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10,699,</w:t>
            </w:r>
          </w:p>
          <w:p>
            <w:pPr>
              <w:pStyle w:val="TableParagraph"/>
              <w:spacing w:line="240" w:lineRule="auto" w:before="105"/>
              <w:ind w:left="126" w:right="0"/>
              <w:jc w:val="left"/>
              <w:rPr>
                <w:rFonts w:ascii="Times New Roman" w:hAnsi="Times New Roman" w:cs="Times New Roman" w:eastAsia="Times New Roman" w:hint="default"/>
                <w:sz w:val="18"/>
                <w:szCs w:val="18"/>
              </w:rPr>
            </w:pPr>
            <w:r>
              <w:rPr>
                <w:rFonts w:ascii="Times New Roman"/>
                <w:sz w:val="18"/>
              </w:rPr>
              <w:t>019.97</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1049"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0" w:right="0"/>
              <w:jc w:val="left"/>
              <w:rPr>
                <w:rFonts w:ascii="Times New Roman" w:hAnsi="Times New Roman" w:cs="Times New Roman" w:eastAsia="Times New Roman" w:hint="default"/>
                <w:sz w:val="18"/>
                <w:szCs w:val="18"/>
              </w:rPr>
            </w:pPr>
            <w:r>
              <w:rPr>
                <w:rFonts w:ascii="Times New Roman"/>
                <w:sz w:val="18"/>
              </w:rPr>
              <w:t>1,202,374.80</w:t>
            </w:r>
          </w:p>
        </w:tc>
        <w:tc>
          <w:tcPr>
            <w:tcW w:w="696"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3" w:right="0"/>
              <w:jc w:val="left"/>
              <w:rPr>
                <w:rFonts w:ascii="Times New Roman" w:hAnsi="Times New Roman" w:cs="Times New Roman" w:eastAsia="Times New Roman" w:hint="default"/>
                <w:sz w:val="18"/>
                <w:szCs w:val="18"/>
              </w:rPr>
            </w:pPr>
            <w:r>
              <w:rPr>
                <w:rFonts w:ascii="Times New Roman"/>
                <w:sz w:val="18"/>
              </w:rPr>
              <w:t>11.24%</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9,496,645.1</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7</w:t>
            </w:r>
          </w:p>
        </w:tc>
      </w:tr>
      <w:tr>
        <w:trPr>
          <w:trHeight w:val="392" w:hRule="exact"/>
        </w:trPr>
        <w:tc>
          <w:tcPr>
            <w:tcW w:w="1611"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75"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1049" w:type="dxa"/>
            <w:vMerge/>
            <w:tcBorders>
              <w:left w:val="single" w:sz="4" w:space="0" w:color="000000"/>
              <w:right w:val="single" w:sz="4" w:space="0" w:color="000000"/>
            </w:tcBorders>
          </w:tcPr>
          <w:p>
            <w:pPr/>
          </w:p>
        </w:tc>
        <w:tc>
          <w:tcPr>
            <w:tcW w:w="696"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1" w:hRule="exact"/>
        </w:trPr>
        <w:tc>
          <w:tcPr>
            <w:tcW w:w="1611" w:type="dxa"/>
            <w:tcBorders>
              <w:top w:val="nil" w:sz="6" w:space="0" w:color="auto"/>
              <w:left w:val="single" w:sz="4" w:space="0" w:color="000000"/>
              <w:bottom w:val="single" w:sz="4" w:space="0" w:color="000000"/>
              <w:right w:val="single" w:sz="4" w:space="0" w:color="000000"/>
            </w:tcBorders>
            <w:shd w:val="clear" w:color="auto" w:fill="D2D2D2"/>
          </w:tcPr>
          <w:p>
            <w:pPr/>
          </w:p>
        </w:tc>
        <w:tc>
          <w:tcPr>
            <w:tcW w:w="775"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1049" w:type="dxa"/>
            <w:vMerge/>
            <w:tcBorders>
              <w:left w:val="single" w:sz="4" w:space="0" w:color="000000"/>
              <w:bottom w:val="single" w:sz="4" w:space="0" w:color="000000"/>
              <w:right w:val="single" w:sz="4" w:space="0" w:color="000000"/>
            </w:tcBorders>
          </w:tcPr>
          <w:p>
            <w:pPr/>
          </w:p>
        </w:tc>
        <w:tc>
          <w:tcPr>
            <w:tcW w:w="696"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pStyle w:val="BodyText"/>
        <w:spacing w:line="240" w:lineRule="auto" w:before="51"/>
        <w:ind w:right="-20"/>
        <w:jc w:val="left"/>
      </w:pPr>
      <w:r>
        <w:rPr/>
        <w:t>期末单项金额重大并单项计提坏账准备的其他应收款：</w:t>
      </w:r>
    </w:p>
    <w:p>
      <w:pPr>
        <w:pStyle w:val="BodyText"/>
        <w:spacing w:line="338" w:lineRule="auto" w:before="117"/>
        <w:ind w:right="16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组合中，按账龄分析法计提坏账准备的其他应收款：</w:t>
      </w:r>
    </w:p>
    <w:p>
      <w:pPr>
        <w:pStyle w:val="BodyText"/>
        <w:spacing w:line="240" w:lineRule="auto" w:before="42"/>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060" w:bottom="1160" w:left="980" w:right="0"/>
          <w:cols w:num="2" w:equalWidth="0">
            <w:col w:w="4475" w:space="4355"/>
            <w:col w:w="2100"/>
          </w:cols>
        </w:sectPr>
      </w:pP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380"/>
        <w:gridCol w:w="2393"/>
        <w:gridCol w:w="2392"/>
        <w:gridCol w:w="2392"/>
      </w:tblGrid>
      <w:tr>
        <w:trPr>
          <w:trHeight w:val="206" w:hRule="exact"/>
        </w:trPr>
        <w:tc>
          <w:tcPr>
            <w:tcW w:w="2380" w:type="dxa"/>
            <w:tcBorders>
              <w:top w:val="single" w:sz="4" w:space="0" w:color="000000"/>
              <w:left w:val="single" w:sz="4" w:space="0" w:color="000000"/>
              <w:bottom w:val="nil" w:sz="6" w:space="0" w:color="auto"/>
              <w:right w:val="single" w:sz="4" w:space="0" w:color="000000"/>
            </w:tcBorders>
            <w:shd w:val="clear" w:color="auto" w:fill="D2D2D2"/>
          </w:tcPr>
          <w:p>
            <w:pPr/>
          </w:p>
        </w:tc>
        <w:tc>
          <w:tcPr>
            <w:tcW w:w="717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1" w:hRule="exact"/>
        </w:trPr>
        <w:tc>
          <w:tcPr>
            <w:tcW w:w="238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9"/>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gridSpan w:val="3"/>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380" w:type="dxa"/>
            <w:vMerge/>
            <w:tcBorders>
              <w:left w:val="single" w:sz="4" w:space="0" w:color="000000"/>
              <w:bottom w:val="nil" w:sz="6" w:space="0" w:color="auto"/>
              <w:right w:val="single" w:sz="4" w:space="0" w:color="000000"/>
            </w:tcBorders>
            <w:shd w:val="clear" w:color="auto" w:fill="D2D2D2"/>
          </w:tcPr>
          <w:p>
            <w:pPr/>
          </w:p>
        </w:tc>
        <w:tc>
          <w:tcPr>
            <w:tcW w:w="239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74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38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3"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397" w:hRule="exact"/>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1,948,861.92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97,443.10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1,443,831.10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115,506.49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w:t>
            </w:r>
          </w:p>
        </w:tc>
      </w:tr>
      <w:tr>
        <w:trPr>
          <w:trHeight w:val="402"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531,444.55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106,288.90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2"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300,526.30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150,263.15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97,106.00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77,684.80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67,130.90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67,130.90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3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4,388,900.77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614,317.34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14.00%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pStyle w:val="BodyText"/>
        <w:spacing w:line="360" w:lineRule="auto" w:before="51"/>
        <w:ind w:right="-20"/>
        <w:jc w:val="left"/>
      </w:pPr>
      <w:r>
        <w:rPr/>
        <w:t>确定该组合依据的说明： 本公司根据以往的历史经验对应收款项计提比例作出最佳估计，参考应收款项的账龄进行信用风险组合分类。 组合中，采用余额百分比法计提坏账准备的其他应收款：</w:t>
      </w:r>
    </w:p>
    <w:p>
      <w:pPr>
        <w:pStyle w:val="BodyText"/>
        <w:spacing w:line="338" w:lineRule="auto" w:before="27"/>
        <w:ind w:right="448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组合中，采用其他方法计提坏账准备的其他应收款：</w:t>
      </w:r>
    </w:p>
    <w:p>
      <w:pPr>
        <w:pStyle w:val="BodyText"/>
        <w:spacing w:line="240" w:lineRule="auto" w:before="42"/>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345" w:lineRule="auto" w:before="103"/>
        <w:ind w:right="2863"/>
        <w:jc w:val="left"/>
      </w:pPr>
      <w:r>
        <w:rPr>
          <w:rFonts w:ascii="Times New Roman" w:hAnsi="Times New Roman" w:cs="Times New Roman" w:eastAsia="Times New Roman" w:hint="default"/>
        </w:rPr>
        <w:t>2)</w:t>
      </w:r>
      <w:r>
        <w:rPr/>
        <w:t>本期计提、收回或转回的坏账准备情况</w:t>
      </w:r>
      <w:r>
        <w:rPr>
          <w:w w:val="99"/>
        </w:rPr>
        <w:t> </w:t>
      </w:r>
      <w:r>
        <w:rPr/>
        <w:t>本期计提坏账准备金额元；本期收回或转回坏账准备金额</w:t>
      </w:r>
      <w:r>
        <w:rPr>
          <w:spacing w:val="-46"/>
        </w:rPr>
        <w:t> </w:t>
      </w:r>
      <w:r>
        <w:rPr>
          <w:rFonts w:ascii="Times New Roman" w:hAnsi="Times New Roman" w:cs="Times New Roman" w:eastAsia="Times New Roman" w:hint="default"/>
        </w:rPr>
        <w:t>338,057.46</w:t>
      </w:r>
      <w:r>
        <w:rPr>
          <w:rFonts w:ascii="Times New Roman" w:hAnsi="Times New Roman" w:cs="Times New Roman" w:eastAsia="Times New Roman" w:hint="default"/>
          <w:spacing w:val="-2"/>
        </w:rPr>
        <w:t> </w:t>
      </w:r>
      <w:r>
        <w:rPr/>
        <w:t>元。</w:t>
      </w:r>
      <w:r>
        <w:rPr>
          <w:w w:val="99"/>
        </w:rPr>
        <w:t> </w:t>
      </w:r>
      <w:r>
        <w:rPr/>
        <w:t>其中本期坏账准备转回或收回金额重要的：无</w:t>
      </w:r>
      <w:r>
        <w:rPr>
          <w:w w:val="99"/>
        </w:rPr>
        <w:t> </w:t>
      </w:r>
      <w:r>
        <w:rPr>
          <w:rFonts w:ascii="Times New Roman" w:hAnsi="Times New Roman" w:cs="Times New Roman" w:eastAsia="Times New Roman" w:hint="default"/>
        </w:rPr>
        <w:t>3)</w:t>
      </w:r>
      <w:r>
        <w:rPr/>
        <w:t>本期实际核销的其他应收款情况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20"/>
          <w:szCs w:val="20"/>
        </w:rPr>
      </w:pPr>
    </w:p>
    <w:p>
      <w:pPr>
        <w:pStyle w:val="BodyText"/>
        <w:spacing w:line="240" w:lineRule="auto"/>
        <w:ind w:left="149" w:right="0"/>
        <w:jc w:val="left"/>
      </w:pPr>
      <w:r>
        <w:rPr/>
        <w:t>单位： 元</w:t>
      </w:r>
    </w:p>
    <w:p>
      <w:pPr>
        <w:spacing w:after="0" w:line="240" w:lineRule="auto"/>
        <w:jc w:val="left"/>
        <w:sectPr>
          <w:type w:val="continuous"/>
          <w:pgSz w:w="11910" w:h="16840"/>
          <w:pgMar w:top="1060" w:bottom="1160" w:left="980" w:right="0"/>
          <w:cols w:num="2" w:equalWidth="0">
            <w:col w:w="8795" w:space="40"/>
            <w:col w:w="2095"/>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780"/>
        <w:gridCol w:w="4788"/>
      </w:tblGrid>
      <w:tr>
        <w:trPr>
          <w:trHeight w:val="401"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4" w:hRule="exact"/>
        </w:trPr>
        <w:tc>
          <w:tcPr>
            <w:tcW w:w="4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实际核销的其他应收款</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250,000.00</w:t>
            </w:r>
          </w:p>
        </w:tc>
      </w:tr>
    </w:tbl>
    <w:p>
      <w:pPr>
        <w:pStyle w:val="BodyText"/>
        <w:spacing w:line="240" w:lineRule="auto" w:before="51"/>
        <w:ind w:right="1134"/>
        <w:jc w:val="left"/>
      </w:pPr>
      <w:r>
        <w:rPr>
          <w:rFonts w:ascii="Times New Roman" w:hAnsi="Times New Roman" w:cs="Times New Roman" w:eastAsia="Times New Roman" w:hint="default"/>
        </w:rPr>
        <w:t>4)</w:t>
      </w:r>
      <w:r>
        <w:rPr/>
        <w:t>其他应收款按款项性质分类情况</w:t>
      </w:r>
    </w:p>
    <w:p>
      <w:pPr>
        <w:pStyle w:val="BodyText"/>
        <w:spacing w:line="240" w:lineRule="auto" w:before="102"/>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80"/>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bl>
    <w:p>
      <w:pPr>
        <w:spacing w:after="0" w:line="240"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代扣代缴款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280,756.23</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245,418.27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1,894,360.00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3,947,736.75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1,567,409.82</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1,684,562.02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员工备用金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430,299.73</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431,122.83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应收出口退税</w:t>
            </w:r>
          </w:p>
        </w:tc>
        <w:tc>
          <w:tcPr>
            <w:tcW w:w="3191" w:type="dxa"/>
            <w:tcBorders>
              <w:top w:val="single" w:sz="4" w:space="0" w:color="000000"/>
              <w:left w:val="single" w:sz="4" w:space="0" w:color="000000"/>
              <w:bottom w:val="single" w:sz="4" w:space="0" w:color="000000"/>
              <w:right w:val="single" w:sz="4" w:space="0" w:color="000000"/>
            </w:tcBorders>
          </w:tcPr>
          <w:p>
            <w:pP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4,073,304.17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216,074.99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316,875.93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4,388,900.77</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10,699,019.97</w:t>
            </w:r>
          </w:p>
        </w:tc>
      </w:tr>
    </w:tbl>
    <w:p>
      <w:pPr>
        <w:pStyle w:val="BodyText"/>
        <w:spacing w:line="240" w:lineRule="auto" w:before="51"/>
        <w:ind w:right="1134"/>
        <w:jc w:val="left"/>
      </w:pPr>
      <w:r>
        <w:rPr>
          <w:rFonts w:ascii="Times New Roman" w:hAnsi="Times New Roman" w:cs="Times New Roman" w:eastAsia="Times New Roman" w:hint="default"/>
        </w:rPr>
        <w:t>5)</w:t>
      </w:r>
      <w:r>
        <w:rPr/>
        <w:t>按欠款方归集的期末余额前五名的其他应收款情况</w:t>
      </w:r>
    </w:p>
    <w:p>
      <w:pPr>
        <w:pStyle w:val="BodyText"/>
        <w:spacing w:line="240" w:lineRule="auto" w:before="103"/>
        <w:ind w:left="5856"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128"/>
        <w:gridCol w:w="1061"/>
        <w:gridCol w:w="1594"/>
        <w:gridCol w:w="1594"/>
        <w:gridCol w:w="1596"/>
        <w:gridCol w:w="1595"/>
      </w:tblGrid>
      <w:tr>
        <w:trPr>
          <w:trHeight w:val="713" w:hRule="exact"/>
        </w:trPr>
        <w:tc>
          <w:tcPr>
            <w:tcW w:w="21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698"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5"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3" w:right="7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71"/>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深圳市公安局</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807,010.00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18.39%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64,560.80</w:t>
            </w:r>
          </w:p>
        </w:tc>
      </w:tr>
      <w:tr>
        <w:trPr>
          <w:trHeight w:val="402" w:hRule="exact"/>
        </w:trPr>
        <w:tc>
          <w:tcPr>
            <w:tcW w:w="2128"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316" w:lineRule="auto"/>
              <w:ind w:left="22" w:right="113"/>
              <w:jc w:val="left"/>
              <w:rPr>
                <w:rFonts w:ascii="宋体" w:hAnsi="宋体" w:cs="宋体" w:eastAsia="宋体" w:hint="default"/>
                <w:sz w:val="18"/>
                <w:szCs w:val="18"/>
              </w:rPr>
            </w:pPr>
            <w:r>
              <w:rPr>
                <w:rFonts w:ascii="宋体" w:hAnsi="宋体" w:cs="宋体" w:eastAsia="宋体" w:hint="default"/>
                <w:sz w:val="18"/>
                <w:szCs w:val="18"/>
              </w:rPr>
              <w:t>杭州思创汇联科技有限公 司</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29,250.00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0.67%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1,462.50</w:t>
            </w:r>
          </w:p>
        </w:tc>
      </w:tr>
      <w:tr>
        <w:trPr>
          <w:trHeight w:val="402" w:hRule="exact"/>
        </w:trPr>
        <w:tc>
          <w:tcPr>
            <w:tcW w:w="2128"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404,000.00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9.21%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32,320.00</w:t>
            </w:r>
          </w:p>
        </w:tc>
      </w:tr>
      <w:tr>
        <w:trPr>
          <w:trHeight w:val="402" w:hRule="exact"/>
        </w:trPr>
        <w:tc>
          <w:tcPr>
            <w:tcW w:w="2128"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187,500.00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4.27%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37,500.00</w:t>
            </w:r>
          </w:p>
        </w:tc>
      </w:tr>
      <w:tr>
        <w:trPr>
          <w:trHeight w:val="402" w:hRule="exact"/>
        </w:trPr>
        <w:tc>
          <w:tcPr>
            <w:tcW w:w="2128"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316" w:lineRule="auto"/>
              <w:ind w:left="22" w:right="113"/>
              <w:jc w:val="left"/>
              <w:rPr>
                <w:rFonts w:ascii="宋体" w:hAnsi="宋体" w:cs="宋体" w:eastAsia="宋体" w:hint="default"/>
                <w:sz w:val="18"/>
                <w:szCs w:val="18"/>
              </w:rPr>
            </w:pPr>
            <w:r>
              <w:rPr>
                <w:rFonts w:ascii="宋体" w:hAnsi="宋体" w:cs="宋体" w:eastAsia="宋体" w:hint="default"/>
                <w:sz w:val="18"/>
                <w:szCs w:val="18"/>
              </w:rPr>
              <w:t>深圳市恒昌荣投资有限公 司</w:t>
            </w:r>
          </w:p>
        </w:tc>
        <w:tc>
          <w:tcPr>
            <w:tcW w:w="106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257,858.00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5.88%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12,892.90</w:t>
            </w:r>
          </w:p>
        </w:tc>
      </w:tr>
      <w:tr>
        <w:trPr>
          <w:trHeight w:val="402" w:hRule="exact"/>
        </w:trPr>
        <w:tc>
          <w:tcPr>
            <w:tcW w:w="2128" w:type="dxa"/>
            <w:vMerge/>
            <w:tcBorders>
              <w:left w:val="single" w:sz="4" w:space="0" w:color="000000"/>
              <w:right w:val="single" w:sz="4" w:space="0" w:color="000000"/>
            </w:tcBorders>
          </w:tcPr>
          <w:p>
            <w:pPr/>
          </w:p>
        </w:tc>
        <w:tc>
          <w:tcPr>
            <w:tcW w:w="1061" w:type="dxa"/>
            <w:vMerge/>
            <w:tcBorders>
              <w:left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201,366.00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4.59%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40,273.20</w:t>
            </w:r>
          </w:p>
        </w:tc>
      </w:tr>
      <w:tr>
        <w:trPr>
          <w:trHeight w:val="402" w:hRule="exact"/>
        </w:trPr>
        <w:tc>
          <w:tcPr>
            <w:tcW w:w="2128" w:type="dxa"/>
            <w:vMerge/>
            <w:tcBorders>
              <w:left w:val="single" w:sz="4" w:space="0" w:color="000000"/>
              <w:bottom w:val="single" w:sz="4" w:space="0" w:color="000000"/>
              <w:right w:val="single" w:sz="4" w:space="0" w:color="000000"/>
            </w:tcBorders>
          </w:tcPr>
          <w:p>
            <w:pPr/>
          </w:p>
        </w:tc>
        <w:tc>
          <w:tcPr>
            <w:tcW w:w="1061" w:type="dxa"/>
            <w:vMerge/>
            <w:tcBorders>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93,710.00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2.14%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46,855.00</w:t>
            </w:r>
          </w:p>
        </w:tc>
      </w:tr>
      <w:tr>
        <w:trPr>
          <w:trHeight w:val="402" w:hRule="exact"/>
        </w:trPr>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深圳市科技评审管理中心</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336,182.40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7.66%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16,809.12</w:t>
            </w:r>
          </w:p>
        </w:tc>
      </w:tr>
      <w:tr>
        <w:trPr>
          <w:trHeight w:val="714" w:hRule="exact"/>
        </w:trPr>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113"/>
              <w:jc w:val="left"/>
              <w:rPr>
                <w:rFonts w:ascii="宋体" w:hAnsi="宋体" w:cs="宋体" w:eastAsia="宋体" w:hint="default"/>
                <w:sz w:val="18"/>
                <w:szCs w:val="18"/>
              </w:rPr>
            </w:pPr>
            <w:r>
              <w:rPr>
                <w:rFonts w:ascii="宋体" w:hAnsi="宋体" w:cs="宋体" w:eastAsia="宋体" w:hint="default"/>
                <w:sz w:val="18"/>
                <w:szCs w:val="18"/>
              </w:rPr>
              <w:t>中国邮政速递物流股份有 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150,000.00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3.42%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12,000.00</w:t>
            </w:r>
          </w:p>
        </w:tc>
      </w:tr>
      <w:tr>
        <w:trPr>
          <w:trHeight w:val="403" w:hRule="exact"/>
        </w:trPr>
        <w:tc>
          <w:tcPr>
            <w:tcW w:w="21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13" w:space="0" w:color="D2D2D2"/>
            </w:tcBorders>
          </w:tcPr>
          <w:p>
            <w:pPr>
              <w:pStyle w:val="TableParagraph"/>
              <w:spacing w:line="240" w:lineRule="auto" w:before="92"/>
              <w:ind w:right="8"/>
              <w:jc w:val="right"/>
              <w:rPr>
                <w:rFonts w:ascii="Times New Roman" w:hAnsi="Times New Roman" w:cs="Times New Roman" w:eastAsia="Times New Roman" w:hint="default"/>
                <w:sz w:val="18"/>
                <w:szCs w:val="18"/>
              </w:rPr>
            </w:pPr>
            <w:r>
              <w:rPr>
                <w:rFonts w:ascii="Times New Roman"/>
                <w:spacing w:val="-1"/>
                <w:sz w:val="18"/>
              </w:rPr>
              <w:t>2,466,876.40</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56.23%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264,673.52</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6、存货" w:id="225"/>
      <w:bookmarkEnd w:id="225"/>
      <w:r>
        <w:rPr>
          <w:b w:val="0"/>
          <w:bCs w:val="0"/>
        </w:rPr>
      </w:r>
      <w:r>
        <w:rPr>
          <w:rFonts w:ascii="Times New Roman" w:hAnsi="Times New Roman" w:cs="Times New Roman" w:eastAsia="Times New Roman" w:hint="default"/>
        </w:rPr>
        <w:t>6</w:t>
      </w:r>
      <w:r>
        <w:rPr/>
        <w:t>、存货</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right="7512"/>
        <w:jc w:val="left"/>
      </w:pPr>
      <w:r>
        <w:rPr/>
        <w:t>公司是否需要遵守房地产行业的披露要求 否</w:t>
      </w:r>
    </w:p>
    <w:p>
      <w:pPr>
        <w:spacing w:line="240" w:lineRule="auto" w:before="13"/>
        <w:rPr>
          <w:rFonts w:ascii="宋体" w:hAnsi="宋体" w:cs="宋体" w:eastAsia="宋体" w:hint="default"/>
          <w:sz w:val="19"/>
          <w:szCs w:val="19"/>
        </w:rPr>
      </w:pPr>
    </w:p>
    <w:p>
      <w:pPr>
        <w:pStyle w:val="Heading3"/>
        <w:spacing w:line="240" w:lineRule="auto"/>
        <w:ind w:right="1134"/>
        <w:jc w:val="left"/>
        <w:rPr>
          <w:b w:val="0"/>
          <w:bCs w:val="0"/>
        </w:rPr>
      </w:pPr>
      <w:bookmarkStart w:name="（1）存货分类" w:id="226"/>
      <w:bookmarkEnd w:id="226"/>
      <w:r>
        <w:rPr>
          <w:b w:val="0"/>
          <w:bCs w:val="0"/>
        </w:rPr>
      </w:r>
      <w:r>
        <w:rPr/>
        <w:t>（</w:t>
      </w:r>
      <w:r>
        <w:rPr>
          <w:rFonts w:ascii="Times New Roman" w:hAnsi="Times New Roman" w:cs="Times New Roman" w:eastAsia="Times New Roman" w:hint="default"/>
        </w:rPr>
        <w:t>1</w:t>
      </w:r>
      <w:r>
        <w:rPr/>
        <w:t>）存货分类</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357"/>
        <w:gridCol w:w="1368"/>
        <w:gridCol w:w="1367"/>
        <w:gridCol w:w="1367"/>
        <w:gridCol w:w="1368"/>
        <w:gridCol w:w="1367"/>
        <w:gridCol w:w="1367"/>
      </w:tblGrid>
      <w:tr>
        <w:trPr>
          <w:trHeight w:val="206"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35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357" w:type="dxa"/>
            <w:vMerge/>
            <w:tcBorders>
              <w:left w:val="single" w:sz="4" w:space="0" w:color="000000"/>
              <w:bottom w:val="nil" w:sz="6" w:space="0" w:color="auto"/>
              <w:right w:val="single" w:sz="4" w:space="0" w:color="000000"/>
            </w:tcBorders>
            <w:shd w:val="clear" w:color="auto" w:fill="D2D2D2"/>
          </w:tcPr>
          <w:p>
            <w:pP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5" w:hRule="exact"/>
        </w:trPr>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132,152,577.87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12,378,527.80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119,774,050.07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66,539,985.28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6,062,943.80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60,477,041.48</w:t>
            </w: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5,565,672.25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5,565,672.25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1,969,346.82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1,969,346.82</w:t>
            </w: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48,107,183.78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6,648,124.51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41,459,059.27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43,365,321.42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4,221,602.45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39,143,718.97</w:t>
            </w:r>
          </w:p>
        </w:tc>
      </w:tr>
      <w:tr>
        <w:trPr>
          <w:trHeight w:val="403" w:hRule="exact"/>
        </w:trPr>
        <w:tc>
          <w:tcPr>
            <w:tcW w:w="13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31,047,917.68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406,175.21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30,641,742.47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29,373,560.67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185,821.21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29,187,739.46</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委托加工物资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62,835,246.86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62,835,246.86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2,344,073.84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2,344,073.84</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279,708,598.44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00" w:right="0"/>
              <w:jc w:val="left"/>
              <w:rPr>
                <w:rFonts w:ascii="Times New Roman" w:hAnsi="Times New Roman" w:cs="Times New Roman" w:eastAsia="Times New Roman" w:hint="default"/>
                <w:sz w:val="18"/>
                <w:szCs w:val="18"/>
              </w:rPr>
            </w:pPr>
            <w:r>
              <w:rPr>
                <w:rFonts w:ascii="Times New Roman"/>
                <w:sz w:val="18"/>
              </w:rPr>
              <w:t>19,432,827.52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260,275,770.92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143,592,288.03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00" w:right="0"/>
              <w:jc w:val="left"/>
              <w:rPr>
                <w:rFonts w:ascii="Times New Roman" w:hAnsi="Times New Roman" w:cs="Times New Roman" w:eastAsia="Times New Roman" w:hint="default"/>
                <w:sz w:val="18"/>
                <w:szCs w:val="18"/>
              </w:rPr>
            </w:pPr>
            <w:r>
              <w:rPr>
                <w:rFonts w:ascii="Times New Roman"/>
                <w:sz w:val="18"/>
              </w:rPr>
              <w:t>10,470,367.46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133,121,920.57</w:t>
            </w:r>
          </w:p>
        </w:tc>
      </w:tr>
    </w:tbl>
    <w:p>
      <w:pPr>
        <w:pStyle w:val="BodyText"/>
        <w:spacing w:line="340" w:lineRule="auto" w:before="51"/>
        <w:ind w:right="2473"/>
        <w:jc w:val="left"/>
      </w:pPr>
      <w:r>
        <w:rPr/>
        <w:t>公司是否需遵守《深圳证券交易所行业信息披露指引第</w:t>
      </w:r>
      <w:r>
        <w:rPr>
          <w:spacing w:val="-45"/>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上市公司从事种业、种植业务》的披露要求 否</w:t>
      </w:r>
    </w:p>
    <w:p>
      <w:pPr>
        <w:pStyle w:val="BodyText"/>
        <w:spacing w:line="340" w:lineRule="auto" w:before="40"/>
        <w:ind w:right="1573"/>
        <w:jc w:val="left"/>
      </w:pPr>
      <w:r>
        <w:rPr/>
        <w:t>公司是否需遵守《深圳证券交易所创业板行业信息披露指引第</w:t>
      </w:r>
      <w:r>
        <w:rPr>
          <w:spacing w:val="-45"/>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上市公司从事广播电影电视业务》的披露要求 否</w:t>
      </w:r>
    </w:p>
    <w:p>
      <w:pPr>
        <w:pStyle w:val="BodyText"/>
        <w:spacing w:line="338" w:lineRule="auto" w:before="40"/>
        <w:ind w:right="1753"/>
        <w:jc w:val="left"/>
      </w:pPr>
      <w:r>
        <w:rPr/>
        <w:t>公司是否需遵守《深圳证券交易所创业板行业信息披露指引第</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上市公司从事互联网游戏业务》的披露要求 否</w:t>
      </w:r>
    </w:p>
    <w:p>
      <w:pPr>
        <w:pStyle w:val="BodyText"/>
        <w:spacing w:line="338" w:lineRule="auto" w:before="43"/>
        <w:ind w:right="2751"/>
        <w:jc w:val="left"/>
      </w:pPr>
      <w:r>
        <w:rPr/>
        <w:t>公司需遵守《深圳证券交易所行业信息披露指引第</w:t>
      </w:r>
      <w:r>
        <w:rPr>
          <w:spacing w:val="-45"/>
        </w:rPr>
        <w:t> </w:t>
      </w:r>
      <w:r>
        <w:rPr>
          <w:rFonts w:ascii="Times New Roman" w:hAnsi="Times New Roman" w:cs="Times New Roman" w:eastAsia="Times New Roman" w:hint="default"/>
          <w:spacing w:val="-4"/>
        </w:rPr>
        <w:t>11</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上市公司从事珠宝相关业务》的披露要求 否</w:t>
      </w:r>
    </w:p>
    <w:p>
      <w:pPr>
        <w:spacing w:line="240" w:lineRule="auto" w:before="1"/>
        <w:rPr>
          <w:rFonts w:ascii="宋体" w:hAnsi="宋体" w:cs="宋体" w:eastAsia="宋体" w:hint="default"/>
          <w:sz w:val="21"/>
          <w:szCs w:val="21"/>
        </w:rPr>
      </w:pPr>
    </w:p>
    <w:p>
      <w:pPr>
        <w:pStyle w:val="Heading3"/>
        <w:spacing w:line="240" w:lineRule="auto"/>
        <w:ind w:right="1134"/>
        <w:jc w:val="left"/>
        <w:rPr>
          <w:b w:val="0"/>
          <w:bCs w:val="0"/>
        </w:rPr>
      </w:pPr>
      <w:bookmarkStart w:name="（2）存货跌价准备" w:id="227"/>
      <w:bookmarkEnd w:id="227"/>
      <w:r>
        <w:rPr>
          <w:b w:val="0"/>
          <w:bCs w:val="0"/>
        </w:rPr>
      </w:r>
      <w:r>
        <w:rPr/>
        <w:t>（</w:t>
      </w:r>
      <w:r>
        <w:rPr>
          <w:rFonts w:ascii="Times New Roman" w:hAnsi="Times New Roman" w:cs="Times New Roman" w:eastAsia="Times New Roman" w:hint="default"/>
        </w:rPr>
        <w:t>2</w:t>
      </w:r>
      <w:r>
        <w:rPr/>
        <w:t>）存货跌价准备</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206" w:hRule="exact"/>
        </w:trPr>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1368" w:type="dxa"/>
            <w:tcBorders>
              <w:top w:val="single" w:sz="4" w:space="0" w:color="000000"/>
              <w:left w:val="single" w:sz="4" w:space="0" w:color="000000"/>
              <w:bottom w:val="nil" w:sz="6" w:space="0" w:color="auto"/>
              <w:right w:val="single" w:sz="4" w:space="0" w:color="000000"/>
            </w:tcBorders>
            <w:shd w:val="clear" w:color="auto" w:fill="D2D2D2"/>
          </w:tcPr>
          <w:p>
            <w:pPr/>
          </w:p>
        </w:tc>
        <w:tc>
          <w:tcPr>
            <w:tcW w:w="273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822"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823"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vMerge/>
            <w:tcBorders>
              <w:left w:val="single" w:sz="4" w:space="0" w:color="000000"/>
              <w:bottom w:val="single" w:sz="4" w:space="0" w:color="000000"/>
              <w:right w:val="single" w:sz="4" w:space="0" w:color="000000"/>
            </w:tcBorders>
            <w:shd w:val="clear" w:color="auto" w:fill="D2D2D2"/>
          </w:tcPr>
          <w:p>
            <w:pPr/>
          </w:p>
        </w:tc>
        <w:tc>
          <w:tcPr>
            <w:tcW w:w="2735" w:type="dxa"/>
            <w:gridSpan w:val="2"/>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right w:val="single" w:sz="4" w:space="0" w:color="000000"/>
            </w:tcBorders>
            <w:shd w:val="clear" w:color="auto" w:fill="D2D2D2"/>
          </w:tcPr>
          <w:p>
            <w:pPr/>
          </w:p>
        </w:tc>
      </w:tr>
      <w:tr>
        <w:trPr>
          <w:trHeight w:val="196" w:hRule="exact"/>
        </w:trPr>
        <w:tc>
          <w:tcPr>
            <w:tcW w:w="1368" w:type="dxa"/>
            <w:vMerge/>
            <w:tcBorders>
              <w:left w:val="single" w:sz="4" w:space="0" w:color="000000"/>
              <w:bottom w:val="nil" w:sz="6" w:space="0" w:color="auto"/>
              <w:right w:val="single" w:sz="4" w:space="0" w:color="000000"/>
            </w:tcBorders>
            <w:shd w:val="clear" w:color="auto" w:fill="D2D2D2"/>
          </w:tcPr>
          <w:p>
            <w:pPr/>
          </w:p>
        </w:tc>
        <w:tc>
          <w:tcPr>
            <w:tcW w:w="1368" w:type="dxa"/>
            <w:vMerge/>
            <w:tcBorders>
              <w:left w:val="single" w:sz="4" w:space="0" w:color="000000"/>
              <w:bottom w:val="nil" w:sz="6" w:space="0" w:color="auto"/>
              <w:right w:val="single" w:sz="4" w:space="0" w:color="000000"/>
            </w:tcBorders>
            <w:shd w:val="clear" w:color="auto" w:fill="D2D2D2"/>
          </w:tcPr>
          <w:p>
            <w:pP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计提</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29"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vMerge/>
            <w:tcBorders>
              <w:left w:val="single" w:sz="4" w:space="0" w:color="000000"/>
              <w:right w:val="single" w:sz="4" w:space="0" w:color="000000"/>
            </w:tcBorders>
            <w:shd w:val="clear" w:color="auto" w:fill="D2D2D2"/>
          </w:tcPr>
          <w:p>
            <w:pPr/>
          </w:p>
        </w:tc>
      </w:tr>
      <w:tr>
        <w:trPr>
          <w:trHeight w:val="205" w:hRule="exact"/>
        </w:trPr>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8" w:type="dxa"/>
            <w:tcBorders>
              <w:top w:val="nil" w:sz="6" w:space="0" w:color="auto"/>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6,062,943.80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12,385,034.15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6,069,450.15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12,378,527.80</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4,221,602.45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5,286,450.31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2,859,928.25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6,648,124.51</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185,821.21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403,330.24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182,976.24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406,175.21</w:t>
            </w:r>
          </w:p>
        </w:tc>
      </w:tr>
      <w:tr>
        <w:trPr>
          <w:trHeight w:val="40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10,470,367.46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18,074,814.70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9,112,354.64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19,432,827.52</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3）存货期末余额含有借款费用资本化金额的说明" w:id="228"/>
      <w:bookmarkEnd w:id="228"/>
      <w:r>
        <w:rPr>
          <w:b w:val="0"/>
          <w:bCs w:val="0"/>
        </w:rPr>
      </w:r>
      <w:r>
        <w:rPr/>
        <w:t>（</w:t>
      </w:r>
      <w:r>
        <w:rPr>
          <w:rFonts w:ascii="Times New Roman" w:hAnsi="Times New Roman" w:cs="Times New Roman" w:eastAsia="Times New Roman" w:hint="default"/>
        </w:rPr>
        <w:t>3</w:t>
      </w:r>
      <w:r>
        <w:rPr/>
        <w:t>）存货期末余额含有借款费用资本化金额的说明</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4"/>
        <w:jc w:val="left"/>
      </w:pPr>
      <w:r>
        <w:rPr/>
        <w:t>不适用。</w:t>
      </w:r>
    </w:p>
    <w:p>
      <w:pPr>
        <w:spacing w:line="240" w:lineRule="auto" w:before="12"/>
        <w:rPr>
          <w:rFonts w:ascii="宋体" w:hAnsi="宋体" w:cs="宋体" w:eastAsia="宋体" w:hint="default"/>
          <w:sz w:val="26"/>
          <w:szCs w:val="26"/>
        </w:rPr>
      </w:pPr>
    </w:p>
    <w:p>
      <w:pPr>
        <w:pStyle w:val="Heading3"/>
        <w:spacing w:line="240" w:lineRule="auto"/>
        <w:ind w:right="1134"/>
        <w:jc w:val="left"/>
        <w:rPr>
          <w:b w:val="0"/>
          <w:bCs w:val="0"/>
        </w:rPr>
      </w:pPr>
      <w:bookmarkStart w:name="（4）期末建造合同形成的已完工未结算资产情况" w:id="229"/>
      <w:bookmarkEnd w:id="229"/>
      <w:r>
        <w:rPr>
          <w:b w:val="0"/>
          <w:bCs w:val="0"/>
        </w:rPr>
      </w:r>
      <w:r>
        <w:rPr/>
        <w:t>（</w:t>
      </w:r>
      <w:r>
        <w:rPr>
          <w:rFonts w:ascii="Times New Roman" w:hAnsi="Times New Roman" w:cs="Times New Roman" w:eastAsia="Times New Roman" w:hint="default"/>
        </w:rPr>
        <w:t>4</w:t>
      </w:r>
      <w:r>
        <w:rPr/>
        <w:t>）期末建造合同形成的已完工未结算资产情况</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4"/>
        <w:jc w:val="left"/>
      </w:pPr>
      <w:r>
        <w:rPr/>
        <w:t>不适用。</w:t>
      </w:r>
    </w:p>
    <w:p>
      <w:pPr>
        <w:spacing w:line="240" w:lineRule="auto" w:before="12"/>
        <w:rPr>
          <w:rFonts w:ascii="宋体" w:hAnsi="宋体" w:cs="宋体" w:eastAsia="宋体" w:hint="default"/>
          <w:sz w:val="26"/>
          <w:szCs w:val="26"/>
        </w:rPr>
      </w:pPr>
    </w:p>
    <w:p>
      <w:pPr>
        <w:pStyle w:val="Heading3"/>
        <w:spacing w:line="240" w:lineRule="auto"/>
        <w:ind w:right="1134"/>
        <w:jc w:val="left"/>
        <w:rPr>
          <w:b w:val="0"/>
          <w:bCs w:val="0"/>
        </w:rPr>
      </w:pPr>
      <w:bookmarkStart w:name="7、其他流动资产" w:id="230"/>
      <w:bookmarkEnd w:id="230"/>
      <w:r>
        <w:rPr>
          <w:b w:val="0"/>
          <w:bCs w:val="0"/>
        </w:rPr>
      </w:r>
      <w:r>
        <w:rPr>
          <w:rFonts w:ascii="Times New Roman" w:hAnsi="Times New Roman" w:cs="Times New Roman" w:eastAsia="Times New Roman" w:hint="default"/>
        </w:rPr>
        <w:t>7</w:t>
      </w:r>
      <w:r>
        <w:rPr/>
        <w:t>、其他流动资产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1"/>
        <w:gridCol w:w="3191"/>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增值税待抵扣额</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1,894,745.17</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1,051,309.96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预缴企业所得税</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1,684,305.09</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1,054,874.90</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3,579,050.26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2,106,184.86</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8、长期股权投资" w:id="231"/>
      <w:bookmarkEnd w:id="231"/>
      <w:r>
        <w:rPr>
          <w:b w:val="0"/>
          <w:bCs w:val="0"/>
        </w:rPr>
      </w:r>
      <w:r>
        <w:rPr>
          <w:rFonts w:ascii="Times New Roman" w:hAnsi="Times New Roman" w:cs="Times New Roman" w:eastAsia="Times New Roman" w:hint="default"/>
        </w:rPr>
        <w:t>8</w:t>
      </w:r>
      <w:r>
        <w:rPr/>
        <w:t>、长期股权投资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after="0" w:line="240" w:lineRule="auto"/>
        <w:jc w:val="righ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302" w:right="33" w:hanging="270"/>
              <w:jc w:val="left"/>
              <w:rPr>
                <w:rFonts w:ascii="宋体" w:hAnsi="宋体" w:cs="宋体" w:eastAsia="宋体" w:hint="default"/>
                <w:sz w:val="18"/>
                <w:szCs w:val="18"/>
              </w:rPr>
            </w:pPr>
            <w:r>
              <w:rPr>
                <w:rFonts w:ascii="宋体" w:hAnsi="宋体" w:cs="宋体" w:eastAsia="宋体" w:hint="default"/>
                <w:sz w:val="18"/>
                <w:szCs w:val="18"/>
              </w:rPr>
              <w:t>被投资单 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6"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3" w:right="33"/>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3" w:right="3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13" w:right="33"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上海芝柯 智能科技 有限公司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17,053,99</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9.72</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4,140,487</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.37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1,375,000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19,819,48</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7.09</w:t>
            </w:r>
          </w:p>
        </w:tc>
      </w:tr>
      <w:tr>
        <w:trPr>
          <w:trHeight w:val="1338" w:hRule="exact"/>
        </w:trPr>
        <w:tc>
          <w:tcPr>
            <w:tcW w:w="796" w:type="dxa"/>
            <w:tcBorders>
              <w:top w:val="single" w:sz="4" w:space="0" w:color="000000"/>
              <w:left w:val="single" w:sz="4" w:space="0" w:color="000000"/>
              <w:bottom w:val="single" w:sz="4" w:space="0" w:color="000000"/>
              <w:right w:val="single" w:sz="13" w:space="0" w:color="FFFFFF"/>
            </w:tcBorders>
          </w:tcPr>
          <w:p>
            <w:pPr>
              <w:pStyle w:val="TableParagraph"/>
              <w:spacing w:line="319"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中世顺科 </w:t>
            </w:r>
            <w:r>
              <w:rPr>
                <w:rFonts w:ascii="宋体" w:hAnsi="宋体" w:cs="宋体" w:eastAsia="宋体" w:hint="default"/>
                <w:spacing w:val="-18"/>
                <w:sz w:val="18"/>
                <w:szCs w:val="18"/>
              </w:rPr>
              <w:t>技（北京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股份有限 公司</w:t>
            </w:r>
          </w:p>
        </w:tc>
        <w:tc>
          <w:tcPr>
            <w:tcW w:w="798"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24,750,00</w:t>
            </w:r>
          </w:p>
          <w:p>
            <w:pPr>
              <w:pStyle w:val="TableParagraph"/>
              <w:spacing w:line="240" w:lineRule="auto" w:before="104"/>
              <w:ind w:left="439"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1"/>
              <w:ind w:right="0"/>
              <w:jc w:val="left"/>
              <w:rPr>
                <w:rFonts w:ascii="宋体" w:hAnsi="宋体" w:cs="宋体" w:eastAsia="宋体" w:hint="default"/>
                <w:sz w:val="23"/>
                <w:szCs w:val="23"/>
              </w:rPr>
            </w:pPr>
          </w:p>
          <w:p>
            <w:pPr>
              <w:pStyle w:val="TableParagraph"/>
              <w:spacing w:line="352" w:lineRule="exact"/>
              <w:ind w:left="12" w:right="-27"/>
              <w:jc w:val="left"/>
              <w:rPr>
                <w:rFonts w:ascii="宋体" w:hAnsi="宋体" w:cs="宋体" w:eastAsia="宋体" w:hint="default"/>
                <w:sz w:val="20"/>
                <w:szCs w:val="20"/>
              </w:rPr>
            </w:pPr>
            <w:r>
              <w:rPr>
                <w:rFonts w:ascii="宋体" w:hAnsi="宋体" w:cs="宋体" w:eastAsia="宋体" w:hint="default"/>
                <w:position w:val="-6"/>
                <w:sz w:val="20"/>
                <w:szCs w:val="20"/>
              </w:rPr>
              <w:pict>
                <v:group style="width:37.050pt;height:17.650pt;mso-position-horizontal-relative:char;mso-position-vertical-relative:line" coordorigin="0,0" coordsize="741,353">
                  <v:group style="position:absolute;left:0;top:0;width:741;height:353" coordorigin="0,0" coordsize="741,353">
                    <v:shape style="position:absolute;left:0;top:0;width:741;height:353" coordorigin="0,0" coordsize="741,353" path="m0,353l740,353,740,0,0,0,0,353xe" filled="true" fillcolor="#ffffff" stroked="false">
                      <v:path arrowok="t"/>
                      <v:fill type="solid"/>
                    </v:shape>
                  </v:group>
                </v:group>
              </w:pict>
            </w:r>
            <w:r>
              <w:rPr>
                <w:rFonts w:ascii="宋体" w:hAnsi="宋体" w:cs="宋体" w:eastAsia="宋体" w:hint="default"/>
                <w:position w:val="-6"/>
                <w:sz w:val="20"/>
                <w:szCs w:val="20"/>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3,233,982</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.83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27,983,98</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2.83</w:t>
            </w: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深圳市天 眼智通科 技有限公 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2,771,384</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.92</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-724,358.</w:t>
            </w:r>
            <w:r>
              <w:rPr>
                <w:rFonts w:ascii="Times New Roman"/>
                <w:sz w:val="18"/>
              </w:rPr>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92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2,047,026</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湖南爱买 单信息技 术有限公 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2,445,980</w:t>
            </w:r>
          </w:p>
          <w:p>
            <w:pPr>
              <w:pStyle w:val="TableParagraph"/>
              <w:spacing w:line="240" w:lineRule="auto" w:before="106"/>
              <w:ind w:right="19"/>
              <w:jc w:val="right"/>
              <w:rPr>
                <w:rFonts w:ascii="Times New Roman" w:hAnsi="Times New Roman" w:cs="Times New Roman" w:eastAsia="Times New Roman" w:hint="default"/>
                <w:sz w:val="18"/>
                <w:szCs w:val="18"/>
              </w:rPr>
            </w:pPr>
            <w:r>
              <w:rPr>
                <w:rFonts w:ascii="Times New Roman"/>
                <w:sz w:val="18"/>
              </w:rPr>
              <w:t>.80</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-127,487.</w:t>
            </w:r>
            <w:r>
              <w:rPr>
                <w:rFonts w:ascii="Times New Roman"/>
                <w:sz w:val="18"/>
              </w:rPr>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46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2,318,493</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.34</w:t>
            </w: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47,021,36</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5.44</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6,522,623</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.82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1,375,000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52,168,98</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9.26</w:t>
            </w: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47,021,36</w:t>
            </w:r>
          </w:p>
          <w:p>
            <w:pPr>
              <w:pStyle w:val="TableParagraph"/>
              <w:spacing w:line="240" w:lineRule="auto" w:before="106"/>
              <w:ind w:left="451" w:right="0"/>
              <w:jc w:val="left"/>
              <w:rPr>
                <w:rFonts w:ascii="Times New Roman" w:hAnsi="Times New Roman" w:cs="Times New Roman" w:eastAsia="Times New Roman" w:hint="default"/>
                <w:sz w:val="18"/>
                <w:szCs w:val="18"/>
              </w:rPr>
            </w:pPr>
            <w:r>
              <w:rPr>
                <w:rFonts w:ascii="Times New Roman"/>
                <w:sz w:val="18"/>
              </w:rPr>
              <w:t>5.44</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6,522,623</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.82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1,375,000</w:t>
            </w:r>
          </w:p>
          <w:p>
            <w:pPr>
              <w:pStyle w:val="TableParagraph"/>
              <w:spacing w:line="240" w:lineRule="auto" w:before="106"/>
              <w:ind w:right="21"/>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52,168,98</w:t>
            </w:r>
          </w:p>
          <w:p>
            <w:pPr>
              <w:pStyle w:val="TableParagraph"/>
              <w:spacing w:line="240" w:lineRule="auto" w:before="106"/>
              <w:ind w:left="449" w:right="0"/>
              <w:jc w:val="left"/>
              <w:rPr>
                <w:rFonts w:ascii="Times New Roman" w:hAnsi="Times New Roman" w:cs="Times New Roman" w:eastAsia="Times New Roman" w:hint="default"/>
                <w:sz w:val="18"/>
                <w:szCs w:val="18"/>
              </w:rPr>
            </w:pPr>
            <w:r>
              <w:rPr>
                <w:rFonts w:ascii="Times New Roman"/>
                <w:sz w:val="18"/>
              </w:rPr>
              <w:t>9.26</w:t>
            </w:r>
          </w:p>
        </w:tc>
      </w:tr>
    </w:tbl>
    <w:p>
      <w:pPr>
        <w:pStyle w:val="BodyText"/>
        <w:spacing w:line="240" w:lineRule="auto" w:before="51"/>
        <w:ind w:right="1134"/>
        <w:jc w:val="left"/>
      </w:pPr>
      <w:r>
        <w:rPr/>
        <w:t>其他说明</w:t>
      </w:r>
    </w:p>
    <w:p>
      <w:pPr>
        <w:pStyle w:val="BodyText"/>
        <w:spacing w:line="319" w:lineRule="auto" w:before="116"/>
        <w:ind w:right="1132" w:firstLine="360"/>
        <w:jc w:val="both"/>
      </w:pPr>
      <w:r>
        <w:rPr>
          <w:rFonts w:ascii="宋体" w:hAnsi="宋体" w:cs="宋体" w:eastAsia="宋体" w:hint="default"/>
          <w:spacing w:val="-2"/>
        </w:rPr>
        <w:t>2017</w:t>
      </w:r>
      <w:r>
        <w:rPr>
          <w:spacing w:val="-2"/>
        </w:rPr>
        <w:t>年</w:t>
      </w:r>
      <w:r>
        <w:rPr>
          <w:rFonts w:ascii="宋体" w:hAnsi="宋体" w:cs="宋体" w:eastAsia="宋体" w:hint="default"/>
          <w:spacing w:val="-2"/>
        </w:rPr>
        <w:t>9</w:t>
      </w:r>
      <w:r>
        <w:rPr>
          <w:spacing w:val="-2"/>
        </w:rPr>
        <w:t>月</w:t>
      </w:r>
      <w:r>
        <w:rPr>
          <w:rFonts w:ascii="宋体" w:hAnsi="宋体" w:cs="宋体" w:eastAsia="宋体" w:hint="default"/>
          <w:spacing w:val="-2"/>
        </w:rPr>
        <w:t>1</w:t>
      </w:r>
      <w:r>
        <w:rPr>
          <w:spacing w:val="-2"/>
        </w:rPr>
        <w:t>日，本公司、葛学敏、牛素侠与上海芝柯智能科技有限公司（以下简称“上海芝柯”）股东蒋武靖、岳跃军</w:t>
      </w:r>
      <w:r>
        <w:rPr/>
        <w:t> </w:t>
      </w:r>
      <w:r>
        <w:rPr>
          <w:spacing w:val="-2"/>
        </w:rPr>
        <w:t>签署了《关于上海芝柯智能科技有限公司之股权转让协议》，本公司以人民币</w:t>
      </w:r>
      <w:r>
        <w:rPr>
          <w:rFonts w:ascii="宋体" w:hAnsi="宋体" w:cs="宋体" w:eastAsia="宋体" w:hint="default"/>
          <w:spacing w:val="-2"/>
        </w:rPr>
        <w:t>1,650.00</w:t>
      </w:r>
      <w:r>
        <w:rPr>
          <w:spacing w:val="-2"/>
        </w:rPr>
        <w:t>万元的价格受让上海芝柯</w:t>
      </w:r>
      <w:r>
        <w:rPr>
          <w:rFonts w:ascii="宋体" w:hAnsi="宋体" w:cs="宋体" w:eastAsia="宋体" w:hint="default"/>
          <w:spacing w:val="-2"/>
        </w:rPr>
        <w:t>27.50%</w:t>
      </w:r>
      <w:r>
        <w:rPr>
          <w:spacing w:val="-2"/>
        </w:rPr>
        <w:t>的股</w:t>
      </w:r>
      <w:r>
        <w:rPr>
          <w:spacing w:val="-52"/>
        </w:rPr>
        <w:t> </w:t>
      </w:r>
      <w:r>
        <w:rPr/>
        <w:t>权。</w:t>
      </w:r>
      <w:r>
        <w:rPr>
          <w:rFonts w:ascii="宋体" w:hAnsi="宋体" w:cs="宋体" w:eastAsia="宋体" w:hint="default"/>
        </w:rPr>
        <w:t>2017</w:t>
      </w:r>
      <w:r>
        <w:rPr/>
        <w:t>年</w:t>
      </w:r>
      <w:r>
        <w:rPr>
          <w:rFonts w:ascii="宋体" w:hAnsi="宋体" w:cs="宋体" w:eastAsia="宋体" w:hint="default"/>
        </w:rPr>
        <w:t>9</w:t>
      </w:r>
      <w:r>
        <w:rPr/>
        <w:t>月</w:t>
      </w:r>
      <w:r>
        <w:rPr>
          <w:rFonts w:ascii="宋体" w:hAnsi="宋体" w:cs="宋体" w:eastAsia="宋体" w:hint="default"/>
        </w:rPr>
        <w:t>20</w:t>
      </w:r>
      <w:r>
        <w:rPr/>
        <w:t>日上海芝柯完成了工商变更。截止</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日已支付人民币</w:t>
      </w:r>
      <w:r>
        <w:rPr>
          <w:rFonts w:ascii="宋体" w:hAnsi="宋体" w:cs="宋体" w:eastAsia="宋体" w:hint="default"/>
        </w:rPr>
        <w:t>1,650.00</w:t>
      </w:r>
      <w:r>
        <w:rPr/>
        <w:t>万元。</w:t>
      </w:r>
    </w:p>
    <w:p>
      <w:pPr>
        <w:pStyle w:val="BodyText"/>
        <w:spacing w:line="319" w:lineRule="auto" w:before="55"/>
        <w:ind w:right="1038" w:firstLine="360"/>
        <w:jc w:val="left"/>
      </w:pPr>
      <w:r>
        <w:rPr>
          <w:rFonts w:ascii="宋体" w:hAnsi="宋体" w:cs="宋体" w:eastAsia="宋体" w:hint="default"/>
          <w:spacing w:val="-2"/>
        </w:rPr>
        <w:t>2017</w:t>
      </w:r>
      <w:r>
        <w:rPr>
          <w:spacing w:val="-2"/>
        </w:rPr>
        <w:t>年</w:t>
      </w:r>
      <w:r>
        <w:rPr>
          <w:rFonts w:ascii="宋体" w:hAnsi="宋体" w:cs="宋体" w:eastAsia="宋体" w:hint="default"/>
          <w:spacing w:val="-2"/>
        </w:rPr>
        <w:t>9</w:t>
      </w:r>
      <w:r>
        <w:rPr>
          <w:spacing w:val="-2"/>
        </w:rPr>
        <w:t>月</w:t>
      </w:r>
      <w:r>
        <w:rPr>
          <w:rFonts w:ascii="宋体" w:hAnsi="宋体" w:cs="宋体" w:eastAsia="宋体" w:hint="default"/>
          <w:spacing w:val="-2"/>
        </w:rPr>
        <w:t>1</w:t>
      </w:r>
      <w:r>
        <w:rPr>
          <w:spacing w:val="-2"/>
        </w:rPr>
        <w:t>日，本公司与天眼智通（香港）有限公司（以下简称“天眼智通香港”）签署了《关于合资经营深圳市天眼</w:t>
      </w:r>
      <w:r>
        <w:rPr/>
        <w:t> </w:t>
      </w:r>
      <w:r>
        <w:rPr>
          <w:spacing w:val="-3"/>
        </w:rPr>
        <w:t>智通科技有限公司之合资合同》，本公司认缴出资人民币</w:t>
      </w:r>
      <w:r>
        <w:rPr>
          <w:rFonts w:ascii="宋体" w:hAnsi="宋体" w:cs="宋体" w:eastAsia="宋体" w:hint="default"/>
          <w:spacing w:val="-3"/>
        </w:rPr>
        <w:t>1,000.00</w:t>
      </w:r>
      <w:r>
        <w:rPr>
          <w:spacing w:val="-3"/>
        </w:rPr>
        <w:t>万元，占深圳市天眼智通科技有限公司注册资本的</w:t>
      </w:r>
      <w:r>
        <w:rPr>
          <w:rFonts w:ascii="宋体" w:hAnsi="宋体" w:cs="宋体" w:eastAsia="宋体" w:hint="default"/>
          <w:spacing w:val="-3"/>
        </w:rPr>
        <w:t>40.00%</w:t>
      </w:r>
      <w:r>
        <w:rPr>
          <w:spacing w:val="-3"/>
        </w:rPr>
        <w:t>。</w:t>
      </w:r>
      <w:r>
        <w:rPr>
          <w:spacing w:val="-78"/>
        </w:rPr>
        <w:t> </w:t>
      </w:r>
      <w:r>
        <w:rPr/>
        <w:t>截止</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日已支付人民币</w:t>
      </w:r>
      <w:r>
        <w:rPr>
          <w:rFonts w:ascii="宋体" w:hAnsi="宋体" w:cs="宋体" w:eastAsia="宋体" w:hint="default"/>
        </w:rPr>
        <w:t>300.00</w:t>
      </w:r>
      <w:r>
        <w:rPr/>
        <w:t>万元。</w:t>
      </w:r>
    </w:p>
    <w:p>
      <w:pPr>
        <w:pStyle w:val="BodyText"/>
        <w:spacing w:line="319" w:lineRule="auto" w:before="56"/>
        <w:ind w:right="1032" w:firstLine="360"/>
        <w:jc w:val="left"/>
      </w:pPr>
      <w:r>
        <w:rPr>
          <w:rFonts w:ascii="宋体" w:hAnsi="宋体" w:cs="宋体" w:eastAsia="宋体" w:hint="default"/>
        </w:rPr>
        <w:t>2017</w:t>
      </w:r>
      <w:r>
        <w:rPr/>
        <w:t>年</w:t>
      </w:r>
      <w:r>
        <w:rPr>
          <w:rFonts w:ascii="宋体" w:hAnsi="宋体" w:cs="宋体" w:eastAsia="宋体" w:hint="default"/>
        </w:rPr>
        <w:t>10</w:t>
      </w:r>
      <w:r>
        <w:rPr/>
        <w:t>月</w:t>
      </w:r>
      <w:r>
        <w:rPr>
          <w:rFonts w:ascii="宋体" w:hAnsi="宋体" w:cs="宋体" w:eastAsia="宋体" w:hint="default"/>
        </w:rPr>
        <w:t>19</w:t>
      </w:r>
      <w:r>
        <w:rPr/>
        <w:t>日本公司与中世顺科技（北京）股份有限公司（以下简称“北京中世顺”）股东李远模、高慧、付万明、 </w:t>
      </w:r>
      <w:r>
        <w:rPr>
          <w:spacing w:val="-6"/>
        </w:rPr>
        <w:t>王冬签署了《关于中世顺科技（北京）股份有限公司之股份投资协议》，本公司以人民币</w:t>
      </w:r>
      <w:r>
        <w:rPr>
          <w:rFonts w:ascii="宋体" w:hAnsi="宋体" w:cs="宋体" w:eastAsia="宋体" w:hint="default"/>
          <w:spacing w:val="-6"/>
        </w:rPr>
        <w:t>1,100.00</w:t>
      </w:r>
      <w:r>
        <w:rPr>
          <w:spacing w:val="-6"/>
        </w:rPr>
        <w:t>万元受让现有股东</w:t>
      </w:r>
      <w:r>
        <w:rPr>
          <w:rFonts w:ascii="宋体" w:hAnsi="宋体" w:cs="宋体" w:eastAsia="宋体" w:hint="default"/>
          <w:spacing w:val="-6"/>
        </w:rPr>
        <w:t>1,111,100</w:t>
      </w:r>
      <w:r>
        <w:rPr>
          <w:rFonts w:ascii="宋体" w:hAnsi="宋体" w:cs="宋体" w:eastAsia="宋体" w:hint="default"/>
          <w:spacing w:val="-60"/>
        </w:rPr>
        <w:t> </w:t>
      </w:r>
      <w:r>
        <w:rPr>
          <w:spacing w:val="-2"/>
        </w:rPr>
        <w:t>股股份，以人民币</w:t>
      </w:r>
      <w:r>
        <w:rPr>
          <w:rFonts w:ascii="宋体" w:hAnsi="宋体" w:cs="宋体" w:eastAsia="宋体" w:hint="default"/>
          <w:spacing w:val="-2"/>
        </w:rPr>
        <w:t>1,375</w:t>
      </w:r>
      <w:r>
        <w:rPr>
          <w:spacing w:val="-2"/>
        </w:rPr>
        <w:t>万元认购北京中世顺新增股本</w:t>
      </w:r>
      <w:r>
        <w:rPr>
          <w:rFonts w:ascii="宋体" w:hAnsi="宋体" w:cs="宋体" w:eastAsia="宋体" w:hint="default"/>
          <w:spacing w:val="-2"/>
        </w:rPr>
        <w:t>1,388,900</w:t>
      </w:r>
      <w:r>
        <w:rPr>
          <w:spacing w:val="-2"/>
        </w:rPr>
        <w:t>股，通过本次受让原股东股份及认购新增股份，本公司持有</w:t>
      </w:r>
      <w:r>
        <w:rPr>
          <w:spacing w:val="-52"/>
        </w:rPr>
        <w:t> </w:t>
      </w:r>
      <w:r>
        <w:rPr>
          <w:spacing w:val="-52"/>
        </w:rPr>
      </w:r>
      <w:r>
        <w:rPr/>
        <w:t>北京中世顺</w:t>
      </w:r>
      <w:r>
        <w:rPr>
          <w:rFonts w:ascii="宋体" w:hAnsi="宋体" w:cs="宋体" w:eastAsia="宋体" w:hint="default"/>
        </w:rPr>
        <w:t>20.00%</w:t>
      </w:r>
      <w:r>
        <w:rPr/>
        <w:t>的股权。截止</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日共支付人民币</w:t>
      </w:r>
      <w:r>
        <w:rPr>
          <w:rFonts w:ascii="宋体" w:hAnsi="宋体" w:cs="宋体" w:eastAsia="宋体" w:hint="default"/>
        </w:rPr>
        <w:t>2,475.00</w:t>
      </w:r>
      <w:r>
        <w:rPr/>
        <w:t>万元。</w:t>
      </w:r>
    </w:p>
    <w:p>
      <w:pPr>
        <w:pStyle w:val="BodyText"/>
        <w:spacing w:line="319" w:lineRule="auto" w:before="55"/>
        <w:ind w:right="0" w:firstLine="360"/>
        <w:jc w:val="left"/>
      </w:pPr>
      <w:r>
        <w:rPr>
          <w:rFonts w:ascii="宋体" w:hAnsi="宋体" w:cs="宋体" w:eastAsia="宋体" w:hint="default"/>
          <w:spacing w:val="-2"/>
        </w:rPr>
        <w:t>2017</w:t>
      </w:r>
      <w:r>
        <w:rPr>
          <w:spacing w:val="-2"/>
        </w:rPr>
        <w:t>年</w:t>
      </w:r>
      <w:r>
        <w:rPr>
          <w:rFonts w:ascii="宋体" w:hAnsi="宋体" w:cs="宋体" w:eastAsia="宋体" w:hint="default"/>
          <w:spacing w:val="-2"/>
        </w:rPr>
        <w:t>10</w:t>
      </w:r>
      <w:r>
        <w:rPr>
          <w:spacing w:val="-2"/>
        </w:rPr>
        <w:t>月</w:t>
      </w:r>
      <w:r>
        <w:rPr>
          <w:rFonts w:ascii="宋体" w:hAnsi="宋体" w:cs="宋体" w:eastAsia="宋体" w:hint="default"/>
          <w:spacing w:val="-2"/>
        </w:rPr>
        <w:t>10</w:t>
      </w:r>
      <w:r>
        <w:rPr>
          <w:spacing w:val="-2"/>
        </w:rPr>
        <w:t>日，本公司之子公司瑞柏泰公司与周瑜、陈贤政、永州亿科互联信息网络有限公司签署了《关于湖南爱买</w:t>
      </w:r>
      <w:r>
        <w:rPr/>
        <w:t> </w:t>
      </w:r>
      <w:r>
        <w:rPr>
          <w:spacing w:val="-2"/>
        </w:rPr>
        <w:t>单信息技术有限公司之投资协议》，瑞柏泰公司以人民币</w:t>
      </w:r>
      <w:r>
        <w:rPr>
          <w:rFonts w:ascii="宋体" w:hAnsi="宋体" w:cs="宋体" w:eastAsia="宋体" w:hint="default"/>
          <w:spacing w:val="-2"/>
        </w:rPr>
        <w:t>250.00</w:t>
      </w:r>
      <w:r>
        <w:rPr>
          <w:spacing w:val="-2"/>
        </w:rPr>
        <w:t>万元的价格认购湖南爱买单信息技术有限公司</w:t>
      </w:r>
      <w:r>
        <w:rPr>
          <w:rFonts w:ascii="宋体" w:hAnsi="宋体" w:cs="宋体" w:eastAsia="宋体" w:hint="default"/>
          <w:spacing w:val="-2"/>
        </w:rPr>
        <w:t>5.56%</w:t>
      </w:r>
      <w:r>
        <w:rPr>
          <w:spacing w:val="-2"/>
        </w:rPr>
        <w:t>的股权，</w:t>
      </w:r>
      <w:r>
        <w:rPr>
          <w:spacing w:val="-52"/>
        </w:rPr>
        <w:t> </w:t>
      </w:r>
      <w:r>
        <w:rPr>
          <w:rFonts w:ascii="宋体" w:hAnsi="宋体" w:cs="宋体" w:eastAsia="宋体" w:hint="default"/>
          <w:spacing w:val="-2"/>
        </w:rPr>
        <w:t>2017</w:t>
      </w:r>
      <w:r>
        <w:rPr>
          <w:spacing w:val="-2"/>
        </w:rPr>
        <w:t>年</w:t>
      </w:r>
      <w:r>
        <w:rPr>
          <w:rFonts w:ascii="宋体" w:hAnsi="宋体" w:cs="宋体" w:eastAsia="宋体" w:hint="default"/>
          <w:spacing w:val="-2"/>
        </w:rPr>
        <w:t>10</w:t>
      </w:r>
      <w:r>
        <w:rPr>
          <w:spacing w:val="-2"/>
        </w:rPr>
        <w:t>月</w:t>
      </w:r>
      <w:r>
        <w:rPr>
          <w:rFonts w:ascii="宋体" w:hAnsi="宋体" w:cs="宋体" w:eastAsia="宋体" w:hint="default"/>
          <w:spacing w:val="-2"/>
        </w:rPr>
        <w:t>19</w:t>
      </w:r>
      <w:r>
        <w:rPr>
          <w:spacing w:val="-2"/>
        </w:rPr>
        <w:t>日湖南爱买单信息技术有限公司完成工商变更。由于瑞柏泰公司在湖南爱买单信息技术有限公司董事会中派有</w:t>
      </w:r>
      <w:r>
        <w:rPr>
          <w:spacing w:val="-56"/>
        </w:rPr>
        <w:t> </w:t>
      </w:r>
      <w:r>
        <w:rPr>
          <w:spacing w:val="-56"/>
        </w:rPr>
      </w:r>
      <w:r>
        <w:rPr>
          <w:spacing w:val="-2"/>
        </w:rPr>
        <w:t>一名董事并参与对其财务和经营政策的决策，本公司认为控股子公司瑞柏泰公司能够对湖南爱买单信息技术有限公司施加重</w:t>
      </w:r>
      <w:r>
        <w:rPr>
          <w:spacing w:val="-63"/>
        </w:rPr>
        <w:t> </w:t>
      </w:r>
      <w:r>
        <w:rPr>
          <w:spacing w:val="-63"/>
        </w:rPr>
      </w:r>
      <w:r>
        <w:rPr/>
        <w:t>大影响，故按权益法进行核算。</w:t>
      </w:r>
    </w:p>
    <w:p>
      <w:pPr>
        <w:spacing w:after="0" w:line="319"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3"/>
        <w:spacing w:line="240" w:lineRule="auto" w:before="35"/>
        <w:ind w:right="1134"/>
        <w:jc w:val="left"/>
        <w:rPr>
          <w:b w:val="0"/>
          <w:bCs w:val="0"/>
        </w:rPr>
      </w:pPr>
      <w:bookmarkStart w:name="9、固定资产" w:id="232"/>
      <w:bookmarkEnd w:id="232"/>
      <w:r>
        <w:rPr>
          <w:b w:val="0"/>
          <w:bCs w:val="0"/>
        </w:rPr>
      </w:r>
      <w:r>
        <w:rPr>
          <w:rFonts w:ascii="Times New Roman" w:hAnsi="Times New Roman" w:cs="Times New Roman" w:eastAsia="Times New Roman" w:hint="default"/>
        </w:rPr>
        <w:t>9</w:t>
      </w:r>
      <w:r>
        <w:rPr/>
        <w:t>、固定资产</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71"/>
        <w:gridCol w:w="3200"/>
        <w:gridCol w:w="3188"/>
      </w:tblGrid>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2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37,261,854.92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10,691,419.75</w:t>
            </w:r>
          </w:p>
        </w:tc>
      </w:tr>
      <w:tr>
        <w:trPr>
          <w:trHeight w:val="403" w:hRule="exact"/>
        </w:trPr>
        <w:tc>
          <w:tcPr>
            <w:tcW w:w="31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37,261,854.92</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10,691,419.75</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1）固定资产情况" w:id="233"/>
      <w:bookmarkEnd w:id="233"/>
      <w:r>
        <w:rPr>
          <w:b w:val="0"/>
          <w:bCs w:val="0"/>
        </w:rPr>
      </w:r>
      <w:r>
        <w:rPr/>
        <w:t>（</w:t>
      </w:r>
      <w:r>
        <w:rPr>
          <w:rFonts w:ascii="Times New Roman" w:hAnsi="Times New Roman" w:cs="Times New Roman" w:eastAsia="Times New Roman" w:hint="default"/>
        </w:rPr>
        <w:t>1</w:t>
      </w:r>
      <w:r>
        <w:rPr/>
        <w:t>）固定资产情况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344"/>
        <w:gridCol w:w="1378"/>
        <w:gridCol w:w="1368"/>
        <w:gridCol w:w="1367"/>
        <w:gridCol w:w="1367"/>
        <w:gridCol w:w="1367"/>
        <w:gridCol w:w="1367"/>
      </w:tblGrid>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49"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3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47"/>
              <w:jc w:val="right"/>
              <w:rPr>
                <w:rFonts w:ascii="宋体" w:hAnsi="宋体" w:cs="宋体" w:eastAsia="宋体" w:hint="default"/>
                <w:sz w:val="18"/>
                <w:szCs w:val="18"/>
              </w:rPr>
            </w:pPr>
            <w:r>
              <w:rPr>
                <w:rFonts w:ascii="宋体" w:hAnsi="宋体" w:cs="宋体" w:eastAsia="宋体" w:hint="default"/>
                <w:sz w:val="18"/>
                <w:szCs w:val="18"/>
              </w:rPr>
              <w:t>办公及电子设备</w:t>
            </w:r>
          </w:p>
        </w:tc>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98" w:right="0"/>
              <w:jc w:val="left"/>
              <w:rPr>
                <w:rFonts w:ascii="宋体" w:hAnsi="宋体" w:cs="宋体" w:eastAsia="宋体" w:hint="default"/>
                <w:sz w:val="18"/>
                <w:szCs w:val="18"/>
              </w:rPr>
            </w:pPr>
            <w:r>
              <w:rPr>
                <w:rFonts w:ascii="宋体" w:hAnsi="宋体" w:cs="宋体" w:eastAsia="宋体" w:hint="default"/>
                <w:sz w:val="18"/>
                <w:szCs w:val="18"/>
              </w:rPr>
              <w:t>出租</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POS</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机</w:t>
            </w:r>
          </w:p>
        </w:tc>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3,654,175.18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7,094,668.60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9,976,854.51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1,747,435.94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22,473,134.23</w:t>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11"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27,346,197.05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1,079,218.56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1,248,109.10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1,308,226.72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30,981,751.43</w:t>
            </w: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27,346,197.05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1,079,218.56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1,248,109.10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1,308,226.72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30,981,751.43</w:t>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11"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2</w:t>
            </w:r>
            <w:r>
              <w:rPr>
                <w:rFonts w:ascii="宋体" w:hAnsi="宋体" w:cs="宋体" w:eastAsia="宋体" w:hint="default"/>
                <w:spacing w:val="-4"/>
                <w:sz w:val="18"/>
                <w:szCs w:val="18"/>
              </w:rPr>
              <w:t>）在建工</w:t>
            </w:r>
            <w:r>
              <w:rPr>
                <w:rFonts w:ascii="宋体" w:hAnsi="宋体" w:cs="宋体" w:eastAsia="宋体" w:hint="default"/>
                <w:sz w:val="18"/>
                <w:szCs w:val="18"/>
              </w:rPr>
              <w:t> 程转入</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11"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3</w:t>
            </w:r>
            <w:r>
              <w:rPr>
                <w:rFonts w:ascii="宋体" w:hAnsi="宋体" w:cs="宋体" w:eastAsia="宋体" w:hint="default"/>
                <w:spacing w:val="-4"/>
                <w:sz w:val="18"/>
                <w:szCs w:val="18"/>
              </w:rPr>
              <w:t>）企业合</w:t>
            </w:r>
            <w:r>
              <w:rPr>
                <w:rFonts w:ascii="宋体" w:hAnsi="宋体" w:cs="宋体" w:eastAsia="宋体" w:hint="default"/>
                <w:sz w:val="18"/>
                <w:szCs w:val="18"/>
              </w:rPr>
              <w:t> 并增加</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11"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166,174.65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470,021.42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564,206.49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1,200,402.56</w:t>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11"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166,174.65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470,021.42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564,206.49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1,200,402.56</w:t>
            </w: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27,346,197.05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4,567,219.09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7,872,756.28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10,720,874.74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1,747,435.94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52,254,483.10</w:t>
            </w: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9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731,454.67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4,013,460.39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5,883,990.87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1,152,808.55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11,781,714.48</w:t>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11"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546,246.71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722,061.89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829,154.95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1,742,190.99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332,012.76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4,171,667.30</w:t>
            </w: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546,246.71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722,061.89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829,154.95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1,742,190.99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332,012.76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4,171,667.30</w:t>
            </w: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11"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85,441.45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445,798.87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429,513.28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960,753.60</w:t>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11"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85,441.45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445,798.87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429,513.28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960,753.60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9D9D9"/>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546,246.71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1,368,075.11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4,396,816.47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7,196,668.58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1,484,821.31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14,992,628.18</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 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22" w:right="10" w:firstLine="340"/>
              <w:jc w:val="left"/>
              <w:rPr>
                <w:rFonts w:ascii="宋体" w:hAnsi="宋体" w:cs="宋体" w:eastAsia="宋体" w:hint="default"/>
                <w:sz w:val="18"/>
                <w:szCs w:val="18"/>
              </w:rPr>
            </w:pP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）处置或</w:t>
            </w:r>
            <w:r>
              <w:rPr>
                <w:rFonts w:ascii="宋体" w:hAnsi="宋体" w:cs="宋体" w:eastAsia="宋体" w:hint="default"/>
                <w:sz w:val="18"/>
                <w:szCs w:val="18"/>
              </w:rPr>
              <w:t> 报废</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 值</w:t>
            </w:r>
          </w:p>
        </w:tc>
        <w:tc>
          <w:tcPr>
            <w:tcW w:w="137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26,799,950.34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3,199,143.98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3,475,939.81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3,524,206.16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262,614.63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37,261,854.92</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 值</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2,922,720.51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3,081,208.21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4,092,863.64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594,627.39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10,691,419.75</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10、无形资产" w:id="234"/>
      <w:bookmarkEnd w:id="234"/>
      <w:r>
        <w:rPr>
          <w:b w:val="0"/>
          <w:bCs w:val="0"/>
        </w:rPr>
      </w:r>
      <w:r>
        <w:rPr>
          <w:rFonts w:ascii="Times New Roman" w:hAnsi="Times New Roman" w:cs="Times New Roman" w:eastAsia="Times New Roman" w:hint="default"/>
        </w:rPr>
        <w:t>10</w:t>
      </w:r>
      <w:r>
        <w:rPr/>
        <w:t>、无形资产</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无形资产情况" w:id="235"/>
      <w:bookmarkEnd w:id="235"/>
      <w:r>
        <w:rPr>
          <w:b w:val="0"/>
          <w:bCs w:val="0"/>
        </w:rPr>
      </w:r>
      <w:r>
        <w:rPr/>
        <w:t>（</w:t>
      </w:r>
      <w:r>
        <w:rPr>
          <w:rFonts w:ascii="Times New Roman" w:hAnsi="Times New Roman" w:cs="Times New Roman" w:eastAsia="Times New Roman" w:hint="default"/>
        </w:rPr>
        <w:t>1</w:t>
      </w:r>
      <w:r>
        <w:rPr/>
        <w:t>）无形资产情况</w:t>
      </w:r>
      <w:r>
        <w:rPr>
          <w:b w:val="0"/>
          <w:bCs w:val="0"/>
        </w:rPr>
      </w:r>
    </w:p>
    <w:p>
      <w:pPr>
        <w:spacing w:line="240" w:lineRule="auto" w:before="8"/>
        <w:rPr>
          <w:rFonts w:ascii="宋体" w:hAnsi="宋体" w:cs="宋体" w:eastAsia="宋体" w:hint="default"/>
          <w:b/>
          <w:bCs/>
          <w:sz w:val="26"/>
          <w:szCs w:val="26"/>
        </w:rPr>
      </w:pPr>
    </w:p>
    <w:p>
      <w:pPr>
        <w:pStyle w:val="BodyText"/>
        <w:spacing w:line="340" w:lineRule="auto"/>
        <w:ind w:right="1753"/>
        <w:jc w:val="left"/>
      </w:pPr>
      <w:r>
        <w:rPr/>
        <w:t>公司是否需遵守《深圳证券交易所创业板行业信息披露指引第</w:t>
      </w:r>
      <w:r>
        <w:rPr>
          <w:spacing w:val="-45"/>
        </w:rPr>
        <w:t> </w:t>
      </w:r>
      <w:r>
        <w:rPr>
          <w:rFonts w:ascii="Times New Roman" w:hAnsi="Times New Roman" w:cs="Times New Roman" w:eastAsia="Times New Roman" w:hint="default"/>
        </w:rPr>
        <w:t>5</w:t>
      </w:r>
      <w:r>
        <w:rPr>
          <w:rFonts w:ascii="Times New Roman" w:hAnsi="Times New Roman" w:cs="Times New Roman" w:eastAsia="Times New Roman" w:hint="default"/>
          <w:spacing w:val="-1"/>
        </w:rPr>
        <w:t> </w:t>
      </w:r>
      <w:r>
        <w:rPr/>
        <w:t>号</w:t>
      </w:r>
      <w:r>
        <w:rPr>
          <w:rFonts w:ascii="Times New Roman" w:hAnsi="Times New Roman" w:cs="Times New Roman" w:eastAsia="Times New Roman" w:hint="default"/>
        </w:rPr>
        <w:t>——</w:t>
      </w:r>
      <w:r>
        <w:rPr/>
        <w:t>上市公司从事互联网游戏业务》的披露要求 否</w:t>
      </w:r>
    </w:p>
    <w:p>
      <w:pPr>
        <w:pStyle w:val="BodyText"/>
        <w:spacing w:line="240" w:lineRule="auto" w:before="40"/>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344"/>
        <w:gridCol w:w="1378"/>
        <w:gridCol w:w="1368"/>
        <w:gridCol w:w="1367"/>
        <w:gridCol w:w="1367"/>
        <w:gridCol w:w="1367"/>
        <w:gridCol w:w="1367"/>
      </w:tblGrid>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9"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09"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367" w:type="dxa"/>
            <w:tcBorders>
              <w:top w:val="single" w:sz="4" w:space="0" w:color="000000"/>
              <w:left w:val="single" w:sz="4" w:space="0" w:color="000000"/>
              <w:bottom w:val="single" w:sz="4" w:space="0" w:color="000000"/>
              <w:right w:val="single" w:sz="9" w:space="0" w:color="D9D9D9"/>
            </w:tcBorders>
            <w:shd w:val="clear" w:color="auto" w:fill="D2D2D2"/>
          </w:tcPr>
          <w:p>
            <w:pPr>
              <w:pStyle w:val="TableParagraph"/>
              <w:spacing w:line="240" w:lineRule="auto" w:before="52"/>
              <w:ind w:left="227"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367" w:type="dxa"/>
            <w:tcBorders>
              <w:top w:val="single" w:sz="4" w:space="0" w:color="000000"/>
              <w:left w:val="single" w:sz="10" w:space="0" w:color="D2D2D2"/>
              <w:bottom w:val="single" w:sz="4" w:space="0" w:color="000000"/>
              <w:right w:val="single" w:sz="4" w:space="0" w:color="000000"/>
            </w:tcBorders>
            <w:shd w:val="clear" w:color="auto" w:fill="D9D9D9"/>
          </w:tcPr>
          <w:p>
            <w:pPr>
              <w:pStyle w:val="TableParagraph"/>
              <w:spacing w:line="240" w:lineRule="auto" w:before="52"/>
              <w:ind w:right="6"/>
              <w:jc w:val="center"/>
              <w:rPr>
                <w:rFonts w:ascii="宋体" w:hAnsi="宋体" w:cs="宋体" w:eastAsia="宋体" w:hint="default"/>
                <w:sz w:val="18"/>
                <w:szCs w:val="18"/>
              </w:rPr>
            </w:pPr>
            <w:r>
              <w:rPr>
                <w:rFonts w:ascii="宋体" w:hAnsi="宋体" w:cs="宋体" w:eastAsia="宋体" w:hint="default"/>
                <w:sz w:val="18"/>
                <w:szCs w:val="18"/>
              </w:rPr>
              <w:t>软件</w:t>
            </w:r>
          </w:p>
        </w:tc>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8" w:right="0"/>
              <w:jc w:val="left"/>
              <w:rPr>
                <w:rFonts w:ascii="宋体" w:hAnsi="宋体" w:cs="宋体" w:eastAsia="宋体" w:hint="default"/>
                <w:sz w:val="18"/>
                <w:szCs w:val="18"/>
              </w:rPr>
            </w:pPr>
            <w:r>
              <w:rPr>
                <w:rFonts w:ascii="宋体" w:hAnsi="宋体" w:cs="宋体" w:eastAsia="宋体" w:hint="default"/>
                <w:sz w:val="18"/>
                <w:szCs w:val="18"/>
              </w:rPr>
              <w:t>高尔夫会费</w:t>
            </w:r>
          </w:p>
        </w:tc>
        <w:tc>
          <w:tcPr>
            <w:tcW w:w="13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05"/>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2,677,742.54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2,677,742.54</w:t>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1"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970,332.07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2,485,864.08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3,456,196.15</w:t>
            </w:r>
          </w:p>
        </w:tc>
      </w:tr>
      <w:tr>
        <w:trPr>
          <w:trHeight w:val="402"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0"/>
              <w:jc w:val="righ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）购置</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970,332.07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2,485,864.08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3,456,196.15</w:t>
            </w: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32" w:right="0"/>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2</w:t>
            </w:r>
            <w:r>
              <w:rPr>
                <w:rFonts w:ascii="宋体" w:hAnsi="宋体" w:cs="宋体" w:eastAsia="宋体" w:hint="default"/>
                <w:spacing w:val="-5"/>
                <w:sz w:val="18"/>
                <w:szCs w:val="18"/>
              </w:rPr>
              <w:t>）内部</w:t>
            </w:r>
          </w:p>
          <w:p>
            <w:pPr>
              <w:pStyle w:val="TableParagraph"/>
              <w:spacing w:line="240" w:lineRule="auto" w:before="63"/>
              <w:ind w:left="11" w:right="0"/>
              <w:jc w:val="left"/>
              <w:rPr>
                <w:rFonts w:ascii="宋体" w:hAnsi="宋体" w:cs="宋体" w:eastAsia="宋体" w:hint="default"/>
                <w:sz w:val="18"/>
                <w:szCs w:val="18"/>
              </w:rPr>
            </w:pPr>
            <w:r>
              <w:rPr>
                <w:rFonts w:ascii="宋体" w:hAnsi="宋体" w:cs="宋体" w:eastAsia="宋体" w:hint="default"/>
                <w:sz w:val="18"/>
                <w:szCs w:val="18"/>
              </w:rPr>
              <w:t>研发</w:t>
            </w:r>
          </w:p>
        </w:tc>
        <w:tc>
          <w:tcPr>
            <w:tcW w:w="1378" w:type="dxa"/>
            <w:tcBorders>
              <w:top w:val="single" w:sz="4" w:space="0" w:color="000000"/>
              <w:left w:val="single" w:sz="13" w:space="0" w:color="D2D2D2"/>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0" w:lineRule="auto" w:before="52"/>
              <w:ind w:left="11" w:right="10" w:firstLine="521"/>
              <w:jc w:val="lef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）企业</w:t>
            </w:r>
            <w:r>
              <w:rPr>
                <w:rFonts w:ascii="宋体" w:hAnsi="宋体" w:cs="宋体" w:eastAsia="宋体" w:hint="default"/>
                <w:sz w:val="18"/>
                <w:szCs w:val="18"/>
              </w:rPr>
              <w:t> 合并增加</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344"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356"/>
        <w:gridCol w:w="1378"/>
        <w:gridCol w:w="1368"/>
        <w:gridCol w:w="1367"/>
        <w:gridCol w:w="1367"/>
        <w:gridCol w:w="1367"/>
        <w:gridCol w:w="1367"/>
      </w:tblGrid>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22" w:right="105"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）处置</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3,648,074.61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2,485,864.08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6,133,938.69</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1,085,699.85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1,085,699.85</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730,759.39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207,155.33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937,914.72</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）计提</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730,759.39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207,155.33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937,914.72</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）处置</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1,816,459.24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207,155.33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2,023,614.57</w:t>
            </w: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10"/>
              <w:jc w:val="right"/>
              <w:rPr>
                <w:rFonts w:ascii="宋体" w:hAnsi="宋体" w:cs="宋体" w:eastAsia="宋体" w:hint="default"/>
                <w:sz w:val="18"/>
                <w:szCs w:val="18"/>
              </w:rPr>
            </w:pP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1</w:t>
            </w:r>
            <w:r>
              <w:rPr>
                <w:rFonts w:ascii="宋体" w:hAnsi="宋体" w:cs="宋体" w:eastAsia="宋体" w:hint="default"/>
                <w:spacing w:val="-5"/>
                <w:sz w:val="18"/>
                <w:szCs w:val="18"/>
              </w:rPr>
              <w:t>）计提</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8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 价值</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1,831,615.37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2,278,708.75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4,110,324.12</w:t>
            </w:r>
          </w:p>
        </w:tc>
      </w:tr>
      <w:tr>
        <w:trPr>
          <w:trHeight w:val="714" w:hRule="exact"/>
        </w:trPr>
        <w:tc>
          <w:tcPr>
            <w:tcW w:w="13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2" w:lineRule="auto" w:before="51"/>
              <w:ind w:left="22" w:right="105"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 价值</w:t>
            </w:r>
          </w:p>
        </w:tc>
        <w:tc>
          <w:tcPr>
            <w:tcW w:w="1378" w:type="dxa"/>
            <w:tcBorders>
              <w:top w:val="single" w:sz="4" w:space="0" w:color="000000"/>
              <w:left w:val="single" w:sz="13" w:space="0" w:color="D9D9D9"/>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1,592,042.69</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1,592,042.69</w:t>
            </w:r>
          </w:p>
        </w:tc>
      </w:tr>
    </w:tbl>
    <w:p>
      <w:pPr>
        <w:pStyle w:val="BodyText"/>
        <w:spacing w:line="240" w:lineRule="auto" w:before="51"/>
        <w:ind w:right="1134"/>
        <w:jc w:val="left"/>
      </w:pPr>
      <w:r>
        <w:rPr/>
        <w:t>本期末通过公司内部研发形成的无形资产占无形资产余额的比例。</w:t>
      </w:r>
    </w:p>
    <w:p>
      <w:pPr>
        <w:spacing w:after="0" w:line="240" w:lineRule="auto"/>
        <w:jc w:val="left"/>
        <w:sectPr>
          <w:pgSz w:w="11910" w:h="16840"/>
          <w:pgMar w:header="747" w:footer="979" w:top="1060" w:bottom="1160" w:left="980" w:right="0"/>
        </w:sectPr>
      </w:pPr>
    </w:p>
    <w:p>
      <w:pPr>
        <w:spacing w:line="240" w:lineRule="auto" w:before="9"/>
        <w:rPr>
          <w:rFonts w:ascii="宋体" w:hAnsi="宋体" w:cs="宋体" w:eastAsia="宋体" w:hint="default"/>
          <w:sz w:val="24"/>
          <w:szCs w:val="24"/>
        </w:rPr>
      </w:pPr>
    </w:p>
    <w:p>
      <w:pPr>
        <w:pStyle w:val="Heading3"/>
        <w:spacing w:line="240" w:lineRule="auto" w:before="35"/>
        <w:ind w:right="1134"/>
        <w:jc w:val="left"/>
        <w:rPr>
          <w:b w:val="0"/>
          <w:bCs w:val="0"/>
        </w:rPr>
      </w:pPr>
      <w:bookmarkStart w:name="11、商誉" w:id="236"/>
      <w:bookmarkEnd w:id="236"/>
      <w:r>
        <w:rPr>
          <w:b w:val="0"/>
          <w:bCs w:val="0"/>
        </w:rPr>
      </w:r>
      <w:r>
        <w:rPr>
          <w:rFonts w:ascii="Times New Roman" w:hAnsi="Times New Roman" w:cs="Times New Roman" w:eastAsia="Times New Roman" w:hint="default"/>
        </w:rPr>
        <w:t>11</w:t>
      </w:r>
      <w:r>
        <w:rPr/>
        <w:t>、商誉</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1134"/>
        <w:jc w:val="left"/>
        <w:rPr>
          <w:b w:val="0"/>
          <w:bCs w:val="0"/>
        </w:rPr>
      </w:pPr>
      <w:bookmarkStart w:name="（1）商誉账面原值" w:id="237"/>
      <w:bookmarkEnd w:id="237"/>
      <w:r>
        <w:rPr>
          <w:b w:val="0"/>
          <w:bCs w:val="0"/>
        </w:rPr>
      </w:r>
      <w:r>
        <w:rPr/>
        <w:t>（</w:t>
      </w:r>
      <w:r>
        <w:rPr>
          <w:rFonts w:ascii="Times New Roman" w:hAnsi="Times New Roman" w:cs="Times New Roman" w:eastAsia="Times New Roman" w:hint="default"/>
        </w:rPr>
        <w:t>1</w:t>
      </w:r>
      <w:r>
        <w:rPr/>
        <w:t>）商誉账面原值</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08"/>
        <w:gridCol w:w="1625"/>
        <w:gridCol w:w="1613"/>
        <w:gridCol w:w="1612"/>
        <w:gridCol w:w="1613"/>
      </w:tblGrid>
      <w:tr>
        <w:trPr>
          <w:trHeight w:val="401" w:hRule="exact"/>
        </w:trPr>
        <w:tc>
          <w:tcPr>
            <w:tcW w:w="31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04" w:right="0"/>
              <w:jc w:val="left"/>
              <w:rPr>
                <w:rFonts w:ascii="宋体" w:hAnsi="宋体" w:cs="宋体" w:eastAsia="宋体" w:hint="default"/>
                <w:sz w:val="18"/>
                <w:szCs w:val="18"/>
              </w:rPr>
            </w:pPr>
            <w:r>
              <w:rPr>
                <w:rFonts w:ascii="宋体" w:hAnsi="宋体" w:cs="宋体" w:eastAsia="宋体" w:hint="default"/>
                <w:sz w:val="18"/>
                <w:szCs w:val="18"/>
              </w:rPr>
              <w:t>被投资单位名称或形成商誉的事项</w:t>
            </w:r>
          </w:p>
        </w:tc>
        <w:tc>
          <w:tcPr>
            <w:tcW w:w="1625" w:type="dxa"/>
            <w:tcBorders>
              <w:top w:val="single" w:sz="4" w:space="0" w:color="000000"/>
              <w:left w:val="single" w:sz="9" w:space="0" w:color="D9D9D9"/>
              <w:bottom w:val="single" w:sz="4" w:space="0" w:color="000000"/>
              <w:right w:val="single" w:sz="4" w:space="0" w:color="000000"/>
            </w:tcBorders>
            <w:shd w:val="clear" w:color="auto" w:fill="D2D2D2"/>
          </w:tcPr>
          <w:p>
            <w:pPr>
              <w:pStyle w:val="TableParagraph"/>
              <w:spacing w:line="240" w:lineRule="auto" w:before="52"/>
              <w:ind w:left="44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4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6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40"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4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2"/>
              <w:ind w:left="22" w:right="0"/>
              <w:jc w:val="left"/>
              <w:rPr>
                <w:rFonts w:ascii="Times New Roman" w:hAnsi="Times New Roman" w:cs="Times New Roman" w:eastAsia="Times New Roman" w:hint="default"/>
                <w:sz w:val="18"/>
                <w:szCs w:val="18"/>
              </w:rPr>
            </w:pPr>
            <w:r>
              <w:rPr>
                <w:rFonts w:ascii="Times New Roman"/>
                <w:sz w:val="18"/>
              </w:rPr>
              <w:t>UROVO TECHNOLOGY(M)</w:t>
            </w:r>
            <w:r>
              <w:rPr>
                <w:rFonts w:ascii="Times New Roman"/>
                <w:spacing w:val="-8"/>
                <w:sz w:val="18"/>
              </w:rPr>
              <w:t> </w:t>
            </w:r>
            <w:r>
              <w:rPr>
                <w:rFonts w:ascii="Times New Roman"/>
                <w:sz w:val="18"/>
              </w:rPr>
              <w:t>SDN.BHD</w:t>
            </w:r>
          </w:p>
        </w:tc>
        <w:tc>
          <w:tcPr>
            <w:tcW w:w="162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104.78</w:t>
            </w:r>
          </w:p>
        </w:tc>
        <w:tc>
          <w:tcPr>
            <w:tcW w:w="1613" w:type="dxa"/>
            <w:tcBorders>
              <w:top w:val="single" w:sz="4" w:space="0" w:color="000000"/>
              <w:left w:val="single" w:sz="4" w:space="0" w:color="000000"/>
              <w:bottom w:val="single" w:sz="4" w:space="0" w:color="000000"/>
              <w:right w:val="single" w:sz="4" w:space="0" w:color="000000"/>
            </w:tcBorders>
          </w:tcPr>
          <w:p>
            <w:pPr/>
          </w:p>
        </w:tc>
        <w:tc>
          <w:tcPr>
            <w:tcW w:w="1612"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9"/>
              <w:jc w:val="right"/>
              <w:rPr>
                <w:rFonts w:ascii="Times New Roman" w:hAnsi="Times New Roman" w:cs="Times New Roman" w:eastAsia="Times New Roman" w:hint="default"/>
                <w:sz w:val="18"/>
                <w:szCs w:val="18"/>
              </w:rPr>
            </w:pPr>
            <w:r>
              <w:rPr>
                <w:rFonts w:ascii="Times New Roman"/>
                <w:sz w:val="18"/>
              </w:rPr>
              <w:t>104.78</w:t>
            </w:r>
          </w:p>
        </w:tc>
      </w:tr>
      <w:tr>
        <w:trPr>
          <w:trHeight w:val="402" w:hRule="exact"/>
        </w:trPr>
        <w:tc>
          <w:tcPr>
            <w:tcW w:w="31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瑞柏泰公司</w:t>
            </w:r>
          </w:p>
        </w:tc>
        <w:tc>
          <w:tcPr>
            <w:tcW w:w="162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87,063,478.03</w:t>
            </w:r>
          </w:p>
        </w:tc>
        <w:tc>
          <w:tcPr>
            <w:tcW w:w="1613" w:type="dxa"/>
            <w:tcBorders>
              <w:top w:val="single" w:sz="4" w:space="0" w:color="000000"/>
              <w:left w:val="single" w:sz="4" w:space="0" w:color="000000"/>
              <w:bottom w:val="single" w:sz="4" w:space="0" w:color="000000"/>
              <w:right w:val="single" w:sz="4" w:space="0" w:color="000000"/>
            </w:tcBorders>
          </w:tcPr>
          <w:p>
            <w:pPr/>
          </w:p>
        </w:tc>
        <w:tc>
          <w:tcPr>
            <w:tcW w:w="1612"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87,063,478.03</w:t>
            </w:r>
          </w:p>
        </w:tc>
      </w:tr>
      <w:tr>
        <w:trPr>
          <w:trHeight w:val="403" w:hRule="exact"/>
        </w:trPr>
        <w:tc>
          <w:tcPr>
            <w:tcW w:w="31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2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87,063,582.81</w:t>
            </w:r>
          </w:p>
        </w:tc>
        <w:tc>
          <w:tcPr>
            <w:tcW w:w="1613" w:type="dxa"/>
            <w:tcBorders>
              <w:top w:val="single" w:sz="4" w:space="0" w:color="000000"/>
              <w:left w:val="single" w:sz="4" w:space="0" w:color="000000"/>
              <w:bottom w:val="single" w:sz="4" w:space="0" w:color="000000"/>
              <w:right w:val="single" w:sz="4" w:space="0" w:color="000000"/>
            </w:tcBorders>
          </w:tcPr>
          <w:p>
            <w:pPr/>
          </w:p>
        </w:tc>
        <w:tc>
          <w:tcPr>
            <w:tcW w:w="1612" w:type="dxa"/>
            <w:tcBorders>
              <w:top w:val="single" w:sz="4" w:space="0" w:color="000000"/>
              <w:left w:val="single" w:sz="4" w:space="0" w:color="000000"/>
              <w:bottom w:val="single" w:sz="4" w:space="0" w:color="000000"/>
              <w:right w:val="single" w:sz="4" w:space="0" w:color="000000"/>
            </w:tcBorders>
          </w:tcPr>
          <w:p>
            <w:pPr/>
          </w:p>
        </w:tc>
        <w:tc>
          <w:tcPr>
            <w:tcW w:w="1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87,063,582.81</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商誉减值准备" w:id="238"/>
      <w:bookmarkEnd w:id="238"/>
      <w:r>
        <w:rPr>
          <w:b w:val="0"/>
          <w:bCs w:val="0"/>
        </w:rPr>
      </w:r>
      <w:r>
        <w:rPr/>
        <w:t>（</w:t>
      </w:r>
      <w:r>
        <w:rPr>
          <w:rFonts w:ascii="Times New Roman" w:hAnsi="Times New Roman" w:cs="Times New Roman" w:eastAsia="Times New Roman" w:hint="default"/>
        </w:rPr>
        <w:t>2</w:t>
      </w:r>
      <w:r>
        <w:rPr/>
        <w:t>）商誉减值准备</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3"/>
        <w:gridCol w:w="1914"/>
        <w:gridCol w:w="1914"/>
        <w:gridCol w:w="1914"/>
        <w:gridCol w:w="1914"/>
      </w:tblGrid>
      <w:tr>
        <w:trPr>
          <w:trHeight w:val="713"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502" w:right="51" w:hanging="451"/>
              <w:jc w:val="left"/>
              <w:rPr>
                <w:rFonts w:ascii="宋体" w:hAnsi="宋体" w:cs="宋体" w:eastAsia="宋体" w:hint="default"/>
                <w:sz w:val="18"/>
                <w:szCs w:val="18"/>
              </w:rPr>
            </w:pPr>
            <w:r>
              <w:rPr>
                <w:rFonts w:ascii="宋体" w:hAnsi="宋体" w:cs="宋体" w:eastAsia="宋体" w:hint="default"/>
                <w:sz w:val="18"/>
                <w:szCs w:val="18"/>
              </w:rPr>
              <w:t>被投资单位名称或形成 商誉的事项</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瑞柏泰公司</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2,400,390.72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2,400,390.72</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2,400,390.72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2,400,390.72</w:t>
            </w:r>
          </w:p>
        </w:tc>
      </w:tr>
    </w:tbl>
    <w:p>
      <w:pPr>
        <w:pStyle w:val="BodyText"/>
        <w:spacing w:line="357" w:lineRule="auto" w:before="51"/>
        <w:ind w:left="514" w:right="1122" w:hanging="360"/>
        <w:jc w:val="left"/>
      </w:pPr>
      <w:r>
        <w:rPr/>
        <w:t>商誉所在资产组或资产组组合的相关信息 </w:t>
      </w:r>
      <w:r>
        <w:rPr>
          <w:rFonts w:ascii="宋体" w:hAnsi="宋体" w:cs="宋体" w:eastAsia="宋体" w:hint="default"/>
        </w:rPr>
        <w:t>2017</w:t>
      </w:r>
      <w:r>
        <w:rPr/>
        <w:t>年</w:t>
      </w:r>
      <w:r>
        <w:rPr>
          <w:rFonts w:ascii="宋体" w:hAnsi="宋体" w:cs="宋体" w:eastAsia="宋体" w:hint="default"/>
        </w:rPr>
        <w:t>3</w:t>
      </w:r>
      <w:r>
        <w:rPr/>
        <w:t>月</w:t>
      </w:r>
      <w:r>
        <w:rPr>
          <w:rFonts w:ascii="宋体" w:hAnsi="宋体" w:cs="宋体" w:eastAsia="宋体" w:hint="default"/>
        </w:rPr>
        <w:t>13</w:t>
      </w:r>
      <w:r>
        <w:rPr/>
        <w:t>日，本公司与深圳市柏士泰科技有限公司签署了《关于深圳市瑞柏泰电子有限公司之股权转让协议》，本</w:t>
      </w:r>
    </w:p>
    <w:p>
      <w:pPr>
        <w:pStyle w:val="BodyText"/>
        <w:spacing w:line="224" w:lineRule="exact"/>
        <w:ind w:right="0"/>
        <w:jc w:val="left"/>
      </w:pPr>
      <w:r>
        <w:rPr/>
        <w:t>公司以人民币</w:t>
      </w:r>
      <w:r>
        <w:rPr>
          <w:rFonts w:ascii="宋体" w:hAnsi="宋体" w:cs="宋体" w:eastAsia="宋体" w:hint="default"/>
        </w:rPr>
        <w:t>11,220.00</w:t>
      </w:r>
      <w:r>
        <w:rPr/>
        <w:t>万元的价格受让深圳市瑞柏泰电子有限公司</w:t>
      </w:r>
      <w:r>
        <w:rPr>
          <w:rFonts w:ascii="宋体" w:hAnsi="宋体" w:cs="宋体" w:eastAsia="宋体" w:hint="default"/>
        </w:rPr>
        <w:t>51%</w:t>
      </w:r>
      <w:r>
        <w:rPr/>
        <w:t>的股权</w:t>
      </w:r>
      <w:r>
        <w:rPr>
          <w:spacing w:val="-82"/>
        </w:rPr>
        <w:t>，</w:t>
      </w:r>
      <w:r>
        <w:rPr/>
        <w:t>合并日取得的被投资单位可辨认净资产公允</w:t>
      </w:r>
    </w:p>
    <w:p>
      <w:pPr>
        <w:pStyle w:val="BodyText"/>
        <w:spacing w:line="338" w:lineRule="auto" w:before="78"/>
        <w:ind w:right="0"/>
        <w:jc w:val="left"/>
      </w:pPr>
      <w:r>
        <w:rPr/>
        <w:t>价值份额为</w:t>
      </w:r>
      <w:r>
        <w:rPr>
          <w:rFonts w:ascii="宋体" w:hAnsi="宋体" w:cs="宋体" w:eastAsia="宋体" w:hint="default"/>
        </w:rPr>
        <w:t>25,136,521.97</w:t>
      </w:r>
      <w:r>
        <w:rPr/>
        <w:t>元，从而形成商誉</w:t>
      </w:r>
      <w:r>
        <w:rPr>
          <w:rFonts w:ascii="宋体" w:hAnsi="宋体" w:cs="宋体" w:eastAsia="宋体" w:hint="default"/>
        </w:rPr>
        <w:t>87,063,478.03</w:t>
      </w:r>
      <w:r>
        <w:rPr/>
        <w:t>元。 </w:t>
      </w:r>
      <w:r>
        <w:rPr>
          <w:spacing w:val="-2"/>
        </w:rPr>
        <w:t>说明商誉减值测试过程、关键参数（如预计未来现金流量现值时的预测期增长率、稳定期增长率、利润率、折现率、预测期</w:t>
      </w:r>
      <w:r>
        <w:rPr>
          <w:spacing w:val="-68"/>
        </w:rPr>
        <w:t> </w:t>
      </w:r>
      <w:r>
        <w:rPr>
          <w:spacing w:val="-68"/>
        </w:rPr>
      </w:r>
      <w:r>
        <w:rPr/>
        <w:t>等）及商誉减值损失的确认方法：</w:t>
      </w:r>
    </w:p>
    <w:p>
      <w:pPr>
        <w:pStyle w:val="BodyText"/>
        <w:spacing w:line="319" w:lineRule="auto" w:before="41"/>
        <w:ind w:right="0" w:firstLine="360"/>
        <w:jc w:val="left"/>
      </w:pPr>
      <w:r>
        <w:rPr>
          <w:spacing w:val="-2"/>
        </w:rPr>
        <w:t>本公司对企业合并取得的瑞柏泰公司的商誉进行了减值测试，瑞柏泰公司的可回收金额按照预计未来现金流量的现值确</w:t>
      </w:r>
      <w:r>
        <w:rPr/>
        <w:t> </w:t>
      </w:r>
      <w:r>
        <w:rPr>
          <w:spacing w:val="-4"/>
        </w:rPr>
        <w:t>定，其预计未来现金流量根据管理层批准的</w:t>
      </w:r>
      <w:r>
        <w:rPr>
          <w:rFonts w:ascii="宋体" w:hAnsi="宋体" w:cs="宋体" w:eastAsia="宋体" w:hint="default"/>
          <w:spacing w:val="-4"/>
        </w:rPr>
        <w:t>5</w:t>
      </w:r>
      <w:r>
        <w:rPr>
          <w:spacing w:val="-4"/>
        </w:rPr>
        <w:t>年期财务预算为基础的现金流量来确定，</w:t>
      </w:r>
      <w:r>
        <w:rPr>
          <w:rFonts w:ascii="宋体" w:hAnsi="宋体" w:cs="宋体" w:eastAsia="宋体" w:hint="default"/>
          <w:spacing w:val="-4"/>
        </w:rPr>
        <w:t>5</w:t>
      </w:r>
      <w:r>
        <w:rPr>
          <w:spacing w:val="-4"/>
        </w:rPr>
        <w:t>年期后的现金流量以增长率为零推算。</w:t>
      </w:r>
      <w:r>
        <w:rPr>
          <w:spacing w:val="-39"/>
        </w:rPr>
        <w:t> </w:t>
      </w:r>
      <w:r>
        <w:rPr/>
        <w:t>本公司采用未来现金流量折现方法的主要假设：</w:t>
      </w:r>
    </w:p>
    <w:p>
      <w:pPr>
        <w:spacing w:line="240" w:lineRule="auto" w:before="6"/>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4588"/>
        <w:gridCol w:w="1687"/>
        <w:gridCol w:w="1688"/>
        <w:gridCol w:w="1690"/>
      </w:tblGrid>
      <w:tr>
        <w:trPr>
          <w:trHeight w:val="342" w:hRule="exact"/>
        </w:trPr>
        <w:tc>
          <w:tcPr>
            <w:tcW w:w="4588" w:type="dxa"/>
            <w:vMerge w:val="restart"/>
            <w:tcBorders>
              <w:top w:val="single" w:sz="4" w:space="0" w:color="000000"/>
              <w:left w:val="single" w:sz="4" w:space="0" w:color="000000"/>
              <w:right w:val="single" w:sz="4" w:space="0" w:color="000000"/>
            </w:tcBorders>
            <w:shd w:val="clear" w:color="auto" w:fill="D9D9D9"/>
          </w:tcPr>
          <w:p>
            <w:pPr>
              <w:pStyle w:val="TableParagraph"/>
              <w:spacing w:line="316" w:lineRule="auto" w:before="21"/>
              <w:ind w:left="1568" w:right="1569"/>
              <w:jc w:val="center"/>
              <w:rPr>
                <w:rFonts w:ascii="宋体" w:hAnsi="宋体" w:cs="宋体" w:eastAsia="宋体" w:hint="default"/>
                <w:sz w:val="18"/>
                <w:szCs w:val="18"/>
              </w:rPr>
            </w:pPr>
            <w:r>
              <w:rPr>
                <w:rFonts w:ascii="宋体" w:hAnsi="宋体" w:cs="宋体" w:eastAsia="宋体" w:hint="default"/>
                <w:sz w:val="18"/>
                <w:szCs w:val="18"/>
              </w:rPr>
              <w:t>被投资单位名称 或形成商誉的事项</w:t>
            </w:r>
          </w:p>
        </w:tc>
        <w:tc>
          <w:tcPr>
            <w:tcW w:w="5064" w:type="dxa"/>
            <w:gridSpan w:val="3"/>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342" w:hRule="exact"/>
        </w:trPr>
        <w:tc>
          <w:tcPr>
            <w:tcW w:w="4588" w:type="dxa"/>
            <w:vMerge/>
            <w:tcBorders>
              <w:left w:val="single" w:sz="4" w:space="0" w:color="000000"/>
              <w:bottom w:val="single" w:sz="4" w:space="0" w:color="000000"/>
              <w:right w:val="single" w:sz="4" w:space="0" w:color="000000"/>
            </w:tcBorders>
            <w:shd w:val="clear" w:color="auto" w:fill="D9D9D9"/>
          </w:tcPr>
          <w:p>
            <w:pPr/>
          </w:p>
        </w:tc>
        <w:tc>
          <w:tcPr>
            <w:tcW w:w="168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left="1"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增长率</w:t>
            </w:r>
            <w:r>
              <w:rPr>
                <w:rFonts w:ascii="Times New Roman" w:hAnsi="Times New Roman" w:cs="Times New Roman" w:eastAsia="Times New Roman" w:hint="default"/>
                <w:sz w:val="18"/>
                <w:szCs w:val="18"/>
              </w:rPr>
              <w:t>(%)</w:t>
            </w:r>
          </w:p>
        </w:tc>
        <w:tc>
          <w:tcPr>
            <w:tcW w:w="16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毛利率</w:t>
            </w:r>
            <w:r>
              <w:rPr>
                <w:rFonts w:ascii="Times New Roman" w:hAnsi="Times New Roman" w:cs="Times New Roman" w:eastAsia="Times New Roman" w:hint="default"/>
                <w:sz w:val="18"/>
                <w:szCs w:val="18"/>
              </w:rPr>
              <w:t>(%)</w:t>
            </w:r>
          </w:p>
        </w:tc>
        <w:tc>
          <w:tcPr>
            <w:tcW w:w="169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1"/>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折现率</w:t>
            </w:r>
            <w:r>
              <w:rPr>
                <w:rFonts w:ascii="Times New Roman" w:hAnsi="Times New Roman" w:cs="Times New Roman" w:eastAsia="Times New Roman" w:hint="default"/>
                <w:sz w:val="18"/>
                <w:szCs w:val="18"/>
              </w:rPr>
              <w:t>(%)</w:t>
            </w:r>
          </w:p>
        </w:tc>
      </w:tr>
      <w:tr>
        <w:trPr>
          <w:trHeight w:val="343" w:hRule="exact"/>
        </w:trPr>
        <w:tc>
          <w:tcPr>
            <w:tcW w:w="4588" w:type="dxa"/>
            <w:tcBorders>
              <w:top w:val="single" w:sz="8" w:space="0" w:color="000000"/>
              <w:left w:val="single" w:sz="4" w:space="0" w:color="000000"/>
              <w:bottom w:val="single" w:sz="4" w:space="0" w:color="000000"/>
              <w:right w:val="single" w:sz="4" w:space="0" w:color="000000"/>
            </w:tcBorders>
          </w:tcPr>
          <w:p>
            <w:pPr>
              <w:pStyle w:val="TableParagraph"/>
              <w:spacing w:line="240" w:lineRule="auto" w:before="16"/>
              <w:ind w:left="4" w:right="0"/>
              <w:jc w:val="left"/>
              <w:rPr>
                <w:rFonts w:ascii="宋体" w:hAnsi="宋体" w:cs="宋体" w:eastAsia="宋体" w:hint="default"/>
                <w:sz w:val="18"/>
                <w:szCs w:val="18"/>
              </w:rPr>
            </w:pPr>
            <w:r>
              <w:rPr>
                <w:rFonts w:ascii="宋体" w:hAnsi="宋体" w:cs="宋体" w:eastAsia="宋体" w:hint="default"/>
                <w:sz w:val="18"/>
                <w:szCs w:val="18"/>
              </w:rPr>
              <w:t>瑞柏泰公司（</w:t>
            </w:r>
            <w:r>
              <w:rPr>
                <w:rFonts w:ascii="Times New Roman" w:hAnsi="Times New Roman" w:cs="Times New Roman" w:eastAsia="Times New Roman" w:hint="default"/>
                <w:sz w:val="18"/>
                <w:szCs w:val="18"/>
              </w:rPr>
              <w:t>2019</w:t>
            </w:r>
            <w:r>
              <w:rPr>
                <w:rFonts w:ascii="宋体" w:hAnsi="宋体" w:cs="宋体" w:eastAsia="宋体" w:hint="default"/>
                <w:sz w:val="18"/>
                <w:szCs w:val="18"/>
              </w:rPr>
              <w:t>年度</w:t>
            </w:r>
            <w:r>
              <w:rPr>
                <w:rFonts w:ascii="Times New Roman" w:hAnsi="Times New Roman" w:cs="Times New Roman" w:eastAsia="Times New Roman" w:hint="default"/>
                <w:sz w:val="18"/>
                <w:szCs w:val="18"/>
              </w:rPr>
              <w:t>-2023</w:t>
            </w:r>
            <w:r>
              <w:rPr>
                <w:rFonts w:ascii="宋体" w:hAnsi="宋体" w:cs="宋体" w:eastAsia="宋体" w:hint="default"/>
                <w:sz w:val="18"/>
                <w:szCs w:val="18"/>
              </w:rPr>
              <w:t>年度）</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10.70</w:t>
            </w:r>
            <w:r>
              <w:rPr>
                <w:rFonts w:ascii="宋体" w:hAnsi="宋体" w:cs="宋体" w:eastAsia="宋体" w:hint="default"/>
                <w:sz w:val="18"/>
                <w:szCs w:val="18"/>
              </w:rPr>
              <w:t>至</w:t>
            </w:r>
            <w:r>
              <w:rPr>
                <w:rFonts w:ascii="Times New Roman" w:hAnsi="Times New Roman" w:cs="Times New Roman" w:eastAsia="Times New Roman" w:hint="default"/>
                <w:sz w:val="18"/>
                <w:szCs w:val="18"/>
              </w:rPr>
              <w:t>-1.99</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50.20</w:t>
            </w:r>
            <w:r>
              <w:rPr>
                <w:rFonts w:ascii="宋体" w:hAnsi="宋体" w:cs="宋体" w:eastAsia="宋体" w:hint="default"/>
                <w:sz w:val="18"/>
                <w:szCs w:val="18"/>
              </w:rPr>
              <w:t>至</w:t>
            </w:r>
            <w:r>
              <w:rPr>
                <w:rFonts w:ascii="Times New Roman" w:hAnsi="Times New Roman" w:cs="Times New Roman" w:eastAsia="Times New Roman" w:hint="default"/>
                <w:sz w:val="18"/>
                <w:szCs w:val="18"/>
              </w:rPr>
              <w:t>47.86</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16.07</w:t>
            </w:r>
          </w:p>
        </w:tc>
      </w:tr>
    </w:tbl>
    <w:p>
      <w:pPr>
        <w:pStyle w:val="BodyText"/>
        <w:spacing w:line="316" w:lineRule="auto" w:before="51"/>
        <w:ind w:right="0" w:firstLine="360"/>
        <w:jc w:val="left"/>
      </w:pPr>
      <w:r>
        <w:rPr>
          <w:spacing w:val="-2"/>
        </w:rPr>
        <w:t>管理层根据历史经验对市场发展的预测确定预测期的收入增长率及毛利率，并采用能够反映相关资产组和资产组组合的</w:t>
      </w:r>
      <w:r>
        <w:rPr/>
        <w:t> 特定风险的税前利率为折现率。上述假设用以分析资产组组合的可收回金额。</w:t>
      </w:r>
    </w:p>
    <w:p>
      <w:pPr>
        <w:pStyle w:val="BodyText"/>
        <w:spacing w:line="360" w:lineRule="auto" w:before="58"/>
        <w:ind w:right="3552" w:firstLine="360"/>
        <w:jc w:val="left"/>
      </w:pPr>
      <w:r>
        <w:rPr/>
        <w:t>管理层经过上述商誉减值测试，合并瑞柏泰公司形成的商誉减值金额</w:t>
      </w:r>
      <w:r>
        <w:rPr>
          <w:rFonts w:ascii="宋体" w:hAnsi="宋体" w:cs="宋体" w:eastAsia="宋体" w:hint="default"/>
        </w:rPr>
        <w:t>2,400,390.72</w:t>
      </w:r>
      <w:r>
        <w:rPr/>
        <w:t>元。 商誉减值测试的影响</w:t>
      </w:r>
    </w:p>
    <w:p>
      <w:pPr>
        <w:pStyle w:val="BodyText"/>
        <w:spacing w:line="240" w:lineRule="auto" w:before="25"/>
        <w:ind w:left="574" w:right="1134"/>
        <w:jc w:val="left"/>
      </w:pPr>
      <w:r>
        <w:rPr>
          <w:rFonts w:ascii="Times New Roman" w:hAnsi="Times New Roman" w:cs="Times New Roman" w:eastAsia="Times New Roman" w:hint="default"/>
        </w:rPr>
        <w:t>2017-2018</w:t>
      </w:r>
      <w:r>
        <w:rPr/>
        <w:t>年度瑞柏泰公司业绩实现情况如下：</w:t>
      </w:r>
    </w:p>
    <w:p>
      <w:pPr>
        <w:spacing w:line="240" w:lineRule="auto" w:before="5"/>
        <w:rPr>
          <w:rFonts w:ascii="宋体" w:hAnsi="宋体" w:cs="宋体" w:eastAsia="宋体" w:hint="default"/>
          <w:sz w:val="4"/>
          <w:szCs w:val="4"/>
        </w:rPr>
      </w:pPr>
    </w:p>
    <w:tbl>
      <w:tblPr>
        <w:tblW w:w="0" w:type="auto"/>
        <w:jc w:val="left"/>
        <w:tblInd w:w="146" w:type="dxa"/>
        <w:tblLayout w:type="fixed"/>
        <w:tblCellMar>
          <w:top w:w="0" w:type="dxa"/>
          <w:left w:w="0" w:type="dxa"/>
          <w:bottom w:w="0" w:type="dxa"/>
          <w:right w:w="0" w:type="dxa"/>
        </w:tblCellMar>
        <w:tblLook w:val="01E0"/>
      </w:tblPr>
      <w:tblGrid>
        <w:gridCol w:w="886"/>
        <w:gridCol w:w="1236"/>
        <w:gridCol w:w="1235"/>
        <w:gridCol w:w="1157"/>
        <w:gridCol w:w="1235"/>
        <w:gridCol w:w="1313"/>
        <w:gridCol w:w="1313"/>
        <w:gridCol w:w="1146"/>
      </w:tblGrid>
      <w:tr>
        <w:trPr>
          <w:trHeight w:val="653" w:hRule="exact"/>
        </w:trPr>
        <w:tc>
          <w:tcPr>
            <w:tcW w:w="886"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16"/>
              <w:ind w:left="255" w:right="0"/>
              <w:jc w:val="left"/>
              <w:rPr>
                <w:rFonts w:ascii="宋体" w:hAnsi="宋体" w:cs="宋体" w:eastAsia="宋体" w:hint="default"/>
                <w:sz w:val="18"/>
                <w:szCs w:val="18"/>
              </w:rPr>
            </w:pPr>
            <w:r>
              <w:rPr>
                <w:rFonts w:ascii="宋体" w:hAnsi="宋体" w:cs="宋体" w:eastAsia="宋体" w:hint="default"/>
                <w:sz w:val="18"/>
                <w:szCs w:val="18"/>
              </w:rPr>
              <w:t>年度</w:t>
            </w:r>
          </w:p>
        </w:tc>
        <w:tc>
          <w:tcPr>
            <w:tcW w:w="123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left="160" w:right="0"/>
              <w:jc w:val="left"/>
              <w:rPr>
                <w:rFonts w:ascii="宋体" w:hAnsi="宋体" w:cs="宋体" w:eastAsia="宋体" w:hint="default"/>
                <w:sz w:val="18"/>
                <w:szCs w:val="18"/>
              </w:rPr>
            </w:pPr>
            <w:r>
              <w:rPr>
                <w:rFonts w:ascii="宋体" w:hAnsi="宋体" w:cs="宋体" w:eastAsia="宋体" w:hint="default"/>
                <w:sz w:val="18"/>
                <w:szCs w:val="18"/>
              </w:rPr>
              <w:t>承诺利润数</w:t>
            </w:r>
          </w:p>
        </w:tc>
        <w:tc>
          <w:tcPr>
            <w:tcW w:w="123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left="339"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1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16" w:lineRule="auto" w:before="16"/>
              <w:ind w:left="301" w:right="29" w:hanging="270"/>
              <w:jc w:val="left"/>
              <w:rPr>
                <w:rFonts w:ascii="宋体" w:hAnsi="宋体" w:cs="宋体" w:eastAsia="宋体" w:hint="default"/>
                <w:sz w:val="18"/>
                <w:szCs w:val="18"/>
              </w:rPr>
            </w:pPr>
            <w:r>
              <w:rPr>
                <w:rFonts w:ascii="宋体" w:hAnsi="宋体" w:cs="宋体" w:eastAsia="宋体" w:hint="default"/>
                <w:sz w:val="18"/>
                <w:szCs w:val="18"/>
              </w:rPr>
              <w:t>非经常性损益 影响额</w:t>
            </w:r>
          </w:p>
        </w:tc>
        <w:tc>
          <w:tcPr>
            <w:tcW w:w="123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6"/>
              <w:ind w:left="159" w:right="0"/>
              <w:jc w:val="left"/>
              <w:rPr>
                <w:rFonts w:ascii="宋体" w:hAnsi="宋体" w:cs="宋体" w:eastAsia="宋体" w:hint="default"/>
                <w:sz w:val="18"/>
                <w:szCs w:val="18"/>
              </w:rPr>
            </w:pPr>
            <w:r>
              <w:rPr>
                <w:rFonts w:ascii="宋体" w:hAnsi="宋体" w:cs="宋体" w:eastAsia="宋体" w:hint="default"/>
                <w:sz w:val="18"/>
                <w:szCs w:val="18"/>
              </w:rPr>
              <w:t>实现利润数</w:t>
            </w:r>
          </w:p>
        </w:tc>
        <w:tc>
          <w:tcPr>
            <w:tcW w:w="131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300" w:lineRule="auto" w:before="16"/>
              <w:ind w:left="197" w:right="3" w:hanging="196"/>
              <w:jc w:val="left"/>
              <w:rPr>
                <w:rFonts w:ascii="宋体" w:hAnsi="宋体" w:cs="宋体" w:eastAsia="宋体" w:hint="default"/>
                <w:sz w:val="18"/>
                <w:szCs w:val="18"/>
              </w:rPr>
            </w:pPr>
            <w:r>
              <w:rPr>
                <w:rFonts w:ascii="宋体" w:hAnsi="宋体" w:cs="宋体" w:eastAsia="宋体" w:hint="default"/>
                <w:spacing w:val="-3"/>
                <w:sz w:val="18"/>
                <w:szCs w:val="18"/>
              </w:rPr>
              <w:t>本期已实现</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（未</w:t>
            </w:r>
            <w:r>
              <w:rPr>
                <w:rFonts w:ascii="宋体" w:hAnsi="宋体" w:cs="宋体" w:eastAsia="宋体" w:hint="default"/>
                <w:spacing w:val="-87"/>
                <w:sz w:val="18"/>
                <w:szCs w:val="18"/>
              </w:rPr>
              <w:t> </w:t>
            </w:r>
            <w:r>
              <w:rPr>
                <w:rFonts w:ascii="宋体" w:hAnsi="宋体" w:cs="宋体" w:eastAsia="宋体" w:hint="default"/>
                <w:sz w:val="18"/>
                <w:szCs w:val="18"/>
              </w:rPr>
              <w:t>实现）差异</w:t>
            </w:r>
          </w:p>
        </w:tc>
        <w:tc>
          <w:tcPr>
            <w:tcW w:w="1313" w:type="dxa"/>
            <w:vMerge w:val="restart"/>
            <w:tcBorders>
              <w:top w:val="single" w:sz="6" w:space="0" w:color="000000"/>
              <w:left w:val="single" w:sz="6" w:space="0" w:color="000000"/>
              <w:right w:val="single" w:sz="6" w:space="0" w:color="000000"/>
            </w:tcBorders>
            <w:shd w:val="clear" w:color="auto" w:fill="D9D9D9"/>
          </w:tcPr>
          <w:p>
            <w:pPr>
              <w:pStyle w:val="TableParagraph"/>
              <w:spacing w:line="300" w:lineRule="auto" w:before="16"/>
              <w:ind w:left="199" w:right="1" w:hanging="196"/>
              <w:jc w:val="left"/>
              <w:rPr>
                <w:rFonts w:ascii="宋体" w:hAnsi="宋体" w:cs="宋体" w:eastAsia="宋体" w:hint="default"/>
                <w:sz w:val="18"/>
                <w:szCs w:val="18"/>
              </w:rPr>
            </w:pPr>
            <w:r>
              <w:rPr>
                <w:rFonts w:ascii="宋体" w:hAnsi="宋体" w:cs="宋体" w:eastAsia="宋体" w:hint="default"/>
                <w:spacing w:val="-3"/>
                <w:sz w:val="18"/>
                <w:szCs w:val="18"/>
              </w:rPr>
              <w:t>累积已实现</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（未</w:t>
            </w:r>
            <w:r>
              <w:rPr>
                <w:rFonts w:ascii="宋体" w:hAnsi="宋体" w:cs="宋体" w:eastAsia="宋体" w:hint="default"/>
                <w:spacing w:val="-87"/>
                <w:sz w:val="18"/>
                <w:szCs w:val="18"/>
              </w:rPr>
              <w:t> </w:t>
            </w:r>
            <w:r>
              <w:rPr>
                <w:rFonts w:ascii="宋体" w:hAnsi="宋体" w:cs="宋体" w:eastAsia="宋体" w:hint="default"/>
                <w:sz w:val="18"/>
                <w:szCs w:val="18"/>
              </w:rPr>
              <w:t>实现）差异</w:t>
            </w:r>
          </w:p>
        </w:tc>
        <w:tc>
          <w:tcPr>
            <w:tcW w:w="1146"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16"/>
              <w:ind w:left="206" w:right="0"/>
              <w:jc w:val="left"/>
              <w:rPr>
                <w:rFonts w:ascii="宋体" w:hAnsi="宋体" w:cs="宋体" w:eastAsia="宋体" w:hint="default"/>
                <w:sz w:val="18"/>
                <w:szCs w:val="18"/>
              </w:rPr>
            </w:pPr>
            <w:r>
              <w:rPr>
                <w:rFonts w:ascii="宋体" w:hAnsi="宋体" w:cs="宋体" w:eastAsia="宋体" w:hint="default"/>
                <w:sz w:val="18"/>
                <w:szCs w:val="18"/>
              </w:rPr>
              <w:t>是否完成</w:t>
            </w:r>
          </w:p>
        </w:tc>
      </w:tr>
      <w:tr>
        <w:trPr>
          <w:trHeight w:val="347" w:hRule="exact"/>
        </w:trPr>
        <w:tc>
          <w:tcPr>
            <w:tcW w:w="886" w:type="dxa"/>
            <w:vMerge/>
            <w:tcBorders>
              <w:left w:val="single" w:sz="6" w:space="0" w:color="000000"/>
              <w:bottom w:val="single" w:sz="6" w:space="0" w:color="000000"/>
              <w:right w:val="single" w:sz="6" w:space="0" w:color="000000"/>
            </w:tcBorders>
            <w:shd w:val="clear" w:color="auto" w:fill="D9D9D9"/>
          </w:tcPr>
          <w:p>
            <w:pPr/>
          </w:p>
        </w:tc>
        <w:tc>
          <w:tcPr>
            <w:tcW w:w="123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①</w:t>
            </w:r>
          </w:p>
        </w:tc>
        <w:tc>
          <w:tcPr>
            <w:tcW w:w="123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②</w:t>
            </w:r>
          </w:p>
        </w:tc>
        <w:tc>
          <w:tcPr>
            <w:tcW w:w="115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③</w:t>
            </w:r>
          </w:p>
        </w:tc>
        <w:tc>
          <w:tcPr>
            <w:tcW w:w="123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59" w:right="0"/>
              <w:jc w:val="left"/>
              <w:rPr>
                <w:rFonts w:ascii="宋体" w:hAnsi="宋体" w:cs="宋体" w:eastAsia="宋体" w:hint="default"/>
                <w:sz w:val="18"/>
                <w:szCs w:val="18"/>
              </w:rPr>
            </w:pPr>
            <w:r>
              <w:rPr>
                <w:rFonts w:ascii="宋体" w:hAnsi="宋体" w:cs="宋体" w:eastAsia="宋体" w:hint="default"/>
                <w:sz w:val="18"/>
                <w:szCs w:val="18"/>
              </w:rPr>
              <w:t>④</w:t>
            </w:r>
            <w:r>
              <w:rPr>
                <w:rFonts w:ascii="Times New Roman" w:hAnsi="Times New Roman" w:cs="Times New Roman" w:eastAsia="Times New Roman" w:hint="default"/>
                <w:sz w:val="18"/>
                <w:szCs w:val="18"/>
              </w:rPr>
              <w:t>=</w:t>
            </w:r>
            <w:r>
              <w:rPr>
                <w:rFonts w:ascii="宋体" w:hAnsi="宋体" w:cs="宋体" w:eastAsia="宋体" w:hint="default"/>
                <w:sz w:val="18"/>
                <w:szCs w:val="18"/>
              </w:rPr>
              <w:t>②</w:t>
            </w:r>
            <w:r>
              <w:rPr>
                <w:rFonts w:ascii="Times New Roman" w:hAnsi="Times New Roman" w:cs="Times New Roman" w:eastAsia="Times New Roman" w:hint="default"/>
                <w:sz w:val="18"/>
                <w:szCs w:val="18"/>
              </w:rPr>
              <w:t>-</w:t>
            </w:r>
            <w:r>
              <w:rPr>
                <w:rFonts w:ascii="宋体" w:hAnsi="宋体" w:cs="宋体" w:eastAsia="宋体" w:hint="default"/>
                <w:sz w:val="18"/>
                <w:szCs w:val="18"/>
              </w:rPr>
              <w:t>③</w:t>
            </w:r>
          </w:p>
        </w:tc>
        <w:tc>
          <w:tcPr>
            <w:tcW w:w="131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297" w:right="0"/>
              <w:jc w:val="left"/>
              <w:rPr>
                <w:rFonts w:ascii="宋体" w:hAnsi="宋体" w:cs="宋体" w:eastAsia="宋体" w:hint="default"/>
                <w:sz w:val="18"/>
                <w:szCs w:val="18"/>
              </w:rPr>
            </w:pPr>
            <w:r>
              <w:rPr>
                <w:rFonts w:ascii="宋体" w:hAnsi="宋体" w:cs="宋体" w:eastAsia="宋体" w:hint="default"/>
                <w:sz w:val="18"/>
                <w:szCs w:val="18"/>
              </w:rPr>
              <w:t>⑤</w:t>
            </w:r>
            <w:r>
              <w:rPr>
                <w:rFonts w:ascii="Times New Roman" w:hAnsi="Times New Roman" w:cs="Times New Roman" w:eastAsia="Times New Roman" w:hint="default"/>
                <w:sz w:val="18"/>
                <w:szCs w:val="18"/>
              </w:rPr>
              <w:t>=</w:t>
            </w:r>
            <w:r>
              <w:rPr>
                <w:rFonts w:ascii="宋体" w:hAnsi="宋体" w:cs="宋体" w:eastAsia="宋体" w:hint="default"/>
                <w:sz w:val="18"/>
                <w:szCs w:val="18"/>
              </w:rPr>
              <w:t>④</w:t>
            </w:r>
            <w:r>
              <w:rPr>
                <w:rFonts w:ascii="Times New Roman" w:hAnsi="Times New Roman" w:cs="Times New Roman" w:eastAsia="Times New Roman" w:hint="default"/>
                <w:sz w:val="18"/>
                <w:szCs w:val="18"/>
              </w:rPr>
              <w:t>-</w:t>
            </w:r>
            <w:r>
              <w:rPr>
                <w:rFonts w:ascii="宋体" w:hAnsi="宋体" w:cs="宋体" w:eastAsia="宋体" w:hint="default"/>
                <w:sz w:val="18"/>
                <w:szCs w:val="18"/>
              </w:rPr>
              <w:t>①</w:t>
            </w:r>
          </w:p>
        </w:tc>
        <w:tc>
          <w:tcPr>
            <w:tcW w:w="1313" w:type="dxa"/>
            <w:vMerge/>
            <w:tcBorders>
              <w:left w:val="single" w:sz="6" w:space="0" w:color="000000"/>
              <w:bottom w:val="single" w:sz="6" w:space="0" w:color="000000"/>
              <w:right w:val="single" w:sz="6" w:space="0" w:color="000000"/>
            </w:tcBorders>
            <w:shd w:val="clear" w:color="auto" w:fill="D9D9D9"/>
          </w:tcPr>
          <w:p>
            <w:pPr/>
          </w:p>
        </w:tc>
        <w:tc>
          <w:tcPr>
            <w:tcW w:w="1146" w:type="dxa"/>
            <w:vMerge/>
            <w:tcBorders>
              <w:left w:val="single" w:sz="6" w:space="0" w:color="000000"/>
              <w:bottom w:val="single" w:sz="6" w:space="0" w:color="000000"/>
              <w:right w:val="single" w:sz="6" w:space="0" w:color="000000"/>
            </w:tcBorders>
            <w:shd w:val="clear" w:color="auto" w:fill="D9D9D9"/>
          </w:tcPr>
          <w:p>
            <w:pPr/>
          </w:p>
        </w:tc>
      </w:tr>
      <w:tr>
        <w:trPr>
          <w:trHeight w:val="347" w:hRule="exact"/>
        </w:trPr>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宋体" w:hAnsi="宋体" w:cs="宋体" w:eastAsia="宋体" w:hint="default"/>
                <w:sz w:val="18"/>
                <w:szCs w:val="18"/>
              </w:rPr>
              <w:t>年度</w:t>
            </w:r>
          </w:p>
        </w:tc>
        <w:tc>
          <w:tcPr>
            <w:tcW w:w="12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84" w:right="0"/>
              <w:jc w:val="left"/>
              <w:rPr>
                <w:rFonts w:ascii="Times New Roman" w:hAnsi="Times New Roman" w:cs="Times New Roman" w:eastAsia="Times New Roman" w:hint="default"/>
                <w:sz w:val="18"/>
                <w:szCs w:val="18"/>
              </w:rPr>
            </w:pPr>
            <w:r>
              <w:rPr>
                <w:rFonts w:ascii="Times New Roman"/>
                <w:sz w:val="18"/>
              </w:rPr>
              <w:t>24,000,000.00</w:t>
            </w:r>
          </w:p>
        </w:tc>
        <w:tc>
          <w:tcPr>
            <w:tcW w:w="12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24,940,573.95</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739,305.26</w:t>
            </w:r>
          </w:p>
        </w:tc>
        <w:tc>
          <w:tcPr>
            <w:tcW w:w="12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83" w:right="0"/>
              <w:jc w:val="left"/>
              <w:rPr>
                <w:rFonts w:ascii="Times New Roman" w:hAnsi="Times New Roman" w:cs="Times New Roman" w:eastAsia="Times New Roman" w:hint="default"/>
                <w:sz w:val="18"/>
                <w:szCs w:val="18"/>
              </w:rPr>
            </w:pPr>
            <w:r>
              <w:rPr>
                <w:rFonts w:ascii="Times New Roman"/>
                <w:sz w:val="18"/>
              </w:rPr>
              <w:t>24,201,268.69</w:t>
            </w:r>
          </w:p>
        </w:tc>
        <w:tc>
          <w:tcPr>
            <w:tcW w:w="13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201,268.69</w:t>
            </w:r>
          </w:p>
        </w:tc>
        <w:tc>
          <w:tcPr>
            <w:tcW w:w="13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201,268.69</w:t>
            </w:r>
          </w:p>
        </w:tc>
        <w:tc>
          <w:tcPr>
            <w:tcW w:w="11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sz w:val="18"/>
                <w:szCs w:val="18"/>
              </w:rPr>
              <w:t>是</w:t>
            </w:r>
          </w:p>
        </w:tc>
      </w:tr>
      <w:tr>
        <w:trPr>
          <w:trHeight w:val="348" w:hRule="exact"/>
        </w:trPr>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宋体" w:hAnsi="宋体" w:cs="宋体" w:eastAsia="宋体" w:hint="default"/>
                <w:sz w:val="18"/>
                <w:szCs w:val="18"/>
              </w:rPr>
              <w:t>年度</w:t>
            </w:r>
          </w:p>
        </w:tc>
        <w:tc>
          <w:tcPr>
            <w:tcW w:w="12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84" w:right="0"/>
              <w:jc w:val="left"/>
              <w:rPr>
                <w:rFonts w:ascii="Times New Roman" w:hAnsi="Times New Roman" w:cs="Times New Roman" w:eastAsia="Times New Roman" w:hint="default"/>
                <w:sz w:val="18"/>
                <w:szCs w:val="18"/>
              </w:rPr>
            </w:pPr>
            <w:r>
              <w:rPr>
                <w:rFonts w:ascii="Times New Roman"/>
                <w:sz w:val="18"/>
              </w:rPr>
              <w:t>28,000,000.00</w:t>
            </w:r>
          </w:p>
        </w:tc>
        <w:tc>
          <w:tcPr>
            <w:tcW w:w="12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27,418,015.98</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z w:val="18"/>
              </w:rPr>
              <w:t>850,836.05</w:t>
            </w:r>
          </w:p>
        </w:tc>
        <w:tc>
          <w:tcPr>
            <w:tcW w:w="12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83" w:right="0"/>
              <w:jc w:val="left"/>
              <w:rPr>
                <w:rFonts w:ascii="Times New Roman" w:hAnsi="Times New Roman" w:cs="Times New Roman" w:eastAsia="Times New Roman" w:hint="default"/>
                <w:sz w:val="18"/>
                <w:szCs w:val="18"/>
              </w:rPr>
            </w:pPr>
            <w:r>
              <w:rPr>
                <w:rFonts w:ascii="Times New Roman"/>
                <w:sz w:val="18"/>
              </w:rPr>
              <w:t>26,567,179.93</w:t>
            </w:r>
          </w:p>
        </w:tc>
        <w:tc>
          <w:tcPr>
            <w:tcW w:w="13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-1,432,820.07</w:t>
            </w:r>
          </w:p>
        </w:tc>
        <w:tc>
          <w:tcPr>
            <w:tcW w:w="13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-1,231,551.38</w:t>
            </w:r>
          </w:p>
        </w:tc>
        <w:tc>
          <w:tcPr>
            <w:tcW w:w="114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1"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47" w:hRule="exact"/>
        </w:trPr>
        <w:tc>
          <w:tcPr>
            <w:tcW w:w="88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184" w:right="0"/>
              <w:jc w:val="left"/>
              <w:rPr>
                <w:rFonts w:ascii="Times New Roman" w:hAnsi="Times New Roman" w:cs="Times New Roman" w:eastAsia="Times New Roman" w:hint="default"/>
                <w:sz w:val="18"/>
                <w:szCs w:val="18"/>
              </w:rPr>
            </w:pPr>
            <w:r>
              <w:rPr>
                <w:rFonts w:ascii="Times New Roman"/>
                <w:sz w:val="18"/>
              </w:rPr>
              <w:t>52,000,000.00</w:t>
            </w:r>
          </w:p>
        </w:tc>
        <w:tc>
          <w:tcPr>
            <w:tcW w:w="12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52,358,589.93</w:t>
            </w:r>
          </w:p>
        </w:tc>
        <w:tc>
          <w:tcPr>
            <w:tcW w:w="115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0"/>
              <w:jc w:val="right"/>
              <w:rPr>
                <w:rFonts w:ascii="Times New Roman" w:hAnsi="Times New Roman" w:cs="Times New Roman" w:eastAsia="Times New Roman" w:hint="default"/>
                <w:sz w:val="18"/>
                <w:szCs w:val="18"/>
              </w:rPr>
            </w:pPr>
            <w:r>
              <w:rPr>
                <w:rFonts w:ascii="Times New Roman"/>
                <w:spacing w:val="-1"/>
                <w:sz w:val="18"/>
              </w:rPr>
              <w:t>1,590,141.31</w:t>
            </w:r>
          </w:p>
        </w:tc>
        <w:tc>
          <w:tcPr>
            <w:tcW w:w="123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183" w:right="0"/>
              <w:jc w:val="left"/>
              <w:rPr>
                <w:rFonts w:ascii="Times New Roman" w:hAnsi="Times New Roman" w:cs="Times New Roman" w:eastAsia="Times New Roman" w:hint="default"/>
                <w:sz w:val="18"/>
                <w:szCs w:val="18"/>
              </w:rPr>
            </w:pPr>
            <w:r>
              <w:rPr>
                <w:rFonts w:ascii="Times New Roman"/>
                <w:sz w:val="18"/>
              </w:rPr>
              <w:t>50,768,448.62</w:t>
            </w:r>
          </w:p>
        </w:tc>
        <w:tc>
          <w:tcPr>
            <w:tcW w:w="131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-1,231,551.38</w:t>
            </w:r>
          </w:p>
        </w:tc>
        <w:tc>
          <w:tcPr>
            <w:tcW w:w="1313" w:type="dxa"/>
            <w:tcBorders>
              <w:top w:val="single" w:sz="6" w:space="0" w:color="000000"/>
              <w:left w:val="single" w:sz="6" w:space="0" w:color="000000"/>
              <w:bottom w:val="single" w:sz="6" w:space="0" w:color="000000"/>
              <w:right w:val="single" w:sz="6" w:space="0" w:color="000000"/>
            </w:tcBorders>
          </w:tcPr>
          <w:p>
            <w:pPr/>
          </w:p>
        </w:tc>
        <w:tc>
          <w:tcPr>
            <w:tcW w:w="1146" w:type="dxa"/>
            <w:tcBorders>
              <w:top w:val="single" w:sz="6" w:space="0" w:color="000000"/>
              <w:left w:val="single" w:sz="6" w:space="0" w:color="000000"/>
              <w:bottom w:val="single" w:sz="6" w:space="0" w:color="000000"/>
              <w:right w:val="single" w:sz="6" w:space="0" w:color="000000"/>
            </w:tcBorders>
          </w:tcPr>
          <w:p>
            <w:pPr/>
          </w:p>
        </w:tc>
      </w:tr>
    </w:tbl>
    <w:p>
      <w:pPr>
        <w:spacing w:after="0"/>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right="1212" w:firstLine="360"/>
        <w:jc w:val="left"/>
      </w:pPr>
      <w:r>
        <w:rPr/>
        <w:t>瑞柏泰公司</w:t>
      </w:r>
      <w:r>
        <w:rPr>
          <w:rFonts w:ascii="宋体" w:hAnsi="宋体" w:cs="宋体" w:eastAsia="宋体" w:hint="default"/>
        </w:rPr>
        <w:t>2017</w:t>
      </w:r>
      <w:r>
        <w:rPr/>
        <w:t>年度实现利润数</w:t>
      </w:r>
      <w:r>
        <w:rPr>
          <w:rFonts w:ascii="宋体" w:hAnsi="宋体" w:cs="宋体" w:eastAsia="宋体" w:hint="default"/>
        </w:rPr>
        <w:t>24,201,268.69</w:t>
      </w:r>
      <w:r>
        <w:rPr/>
        <w:t>元超过业绩承诺数</w:t>
      </w:r>
      <w:r>
        <w:rPr>
          <w:rFonts w:ascii="宋体" w:hAnsi="宋体" w:cs="宋体" w:eastAsia="宋体" w:hint="default"/>
        </w:rPr>
        <w:t>24,000,000.00</w:t>
      </w:r>
      <w:r>
        <w:rPr/>
        <w:t>元，</w:t>
      </w:r>
      <w:r>
        <w:rPr>
          <w:rFonts w:ascii="宋体" w:hAnsi="宋体" w:cs="宋体" w:eastAsia="宋体" w:hint="default"/>
        </w:rPr>
        <w:t>2017</w:t>
      </w:r>
      <w:r>
        <w:rPr/>
        <w:t>年的业绩承诺得到了有效履 行，无需对本公司进行补偿；截至</w:t>
      </w:r>
      <w:r>
        <w:rPr>
          <w:rFonts w:ascii="宋体" w:hAnsi="宋体" w:cs="宋体" w:eastAsia="宋体" w:hint="default"/>
        </w:rPr>
        <w:t>2018</w:t>
      </w:r>
      <w:r>
        <w:rPr/>
        <w:t>年末瑞柏泰公司累积实现利润数</w:t>
      </w:r>
      <w:r>
        <w:rPr>
          <w:rFonts w:ascii="宋体" w:hAnsi="宋体" w:cs="宋体" w:eastAsia="宋体" w:hint="default"/>
        </w:rPr>
        <w:t>50,768,448.62</w:t>
      </w:r>
      <w:r>
        <w:rPr/>
        <w:t>元小于同期累积承诺利润数 </w:t>
      </w:r>
      <w:r>
        <w:rPr>
          <w:rFonts w:ascii="宋体" w:hAnsi="宋体" w:cs="宋体" w:eastAsia="宋体" w:hint="default"/>
        </w:rPr>
        <w:t>52,000,000.00</w:t>
      </w:r>
      <w:r>
        <w:rPr/>
        <w:t>元，累积业绩承诺未完成。</w:t>
      </w:r>
    </w:p>
    <w:p>
      <w:pPr>
        <w:spacing w:line="240" w:lineRule="auto" w:before="7"/>
        <w:rPr>
          <w:rFonts w:ascii="宋体" w:hAnsi="宋体" w:cs="宋体" w:eastAsia="宋体" w:hint="default"/>
          <w:sz w:val="22"/>
          <w:szCs w:val="22"/>
        </w:rPr>
      </w:pPr>
    </w:p>
    <w:p>
      <w:pPr>
        <w:pStyle w:val="Heading3"/>
        <w:spacing w:line="240" w:lineRule="auto"/>
        <w:ind w:right="1134"/>
        <w:jc w:val="left"/>
        <w:rPr>
          <w:b w:val="0"/>
          <w:bCs w:val="0"/>
        </w:rPr>
      </w:pPr>
      <w:bookmarkStart w:name="12、长期待摊费用" w:id="239"/>
      <w:bookmarkEnd w:id="239"/>
      <w:r>
        <w:rPr>
          <w:b w:val="0"/>
          <w:bCs w:val="0"/>
        </w:rPr>
      </w:r>
      <w:r>
        <w:rPr>
          <w:rFonts w:ascii="Times New Roman" w:hAnsi="Times New Roman" w:cs="Times New Roman" w:eastAsia="Times New Roman" w:hint="default"/>
        </w:rPr>
        <w:t>12</w:t>
      </w:r>
      <w:r>
        <w:rPr/>
        <w:t>、长期待摊费用</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856"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3"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2"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340,709.12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2,160,696.72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669,338.80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1,832,067.04</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模具</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3,419,633.47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2,641,518.00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2,313,345.14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3,747,806.33</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服务费</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471,184.57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1,692,271.02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404,398.15</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1,759,057.44</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会员费及其他</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431,499.46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673,130.60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271,231.45</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833,398.61</w:t>
            </w:r>
          </w:p>
        </w:tc>
      </w:tr>
      <w:tr>
        <w:trPr>
          <w:trHeight w:val="403"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4,663,026.62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7,167,616.34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3,658,313.54</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8,172,329.42</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13、递延所得税资产/递延所得税负债" w:id="240"/>
      <w:bookmarkEnd w:id="240"/>
      <w:r>
        <w:rPr>
          <w:b w:val="0"/>
          <w:bCs w:val="0"/>
        </w:rPr>
      </w:r>
      <w:r>
        <w:rPr>
          <w:rFonts w:ascii="Times New Roman" w:hAnsi="Times New Roman" w:cs="Times New Roman" w:eastAsia="Times New Roman" w:hint="default"/>
        </w:rPr>
        <w:t>13</w:t>
      </w:r>
      <w:r>
        <w:rPr/>
        <w:t>、递延所得税资产</w:t>
      </w:r>
      <w:r>
        <w:rPr>
          <w:rFonts w:ascii="Times New Roman" w:hAnsi="Times New Roman" w:cs="Times New Roman" w:eastAsia="Times New Roman" w:hint="default"/>
        </w:rPr>
        <w:t>/</w:t>
      </w:r>
      <w:r>
        <w:rPr/>
        <w:t>递延所得税负债</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未经抵销的递延所得税资产" w:id="241"/>
      <w:bookmarkEnd w:id="241"/>
      <w:r>
        <w:rPr>
          <w:b w:val="0"/>
          <w:bCs w:val="0"/>
        </w:rPr>
      </w:r>
      <w:r>
        <w:rPr/>
        <w:t>（</w:t>
      </w:r>
      <w:r>
        <w:rPr>
          <w:rFonts w:ascii="Times New Roman" w:hAnsi="Times New Roman" w:cs="Times New Roman" w:eastAsia="Times New Roman" w:hint="default"/>
        </w:rPr>
        <w:t>1</w:t>
      </w:r>
      <w:r>
        <w:rPr/>
        <w:t>）未经抵销的递延所得税资产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01"/>
        <w:gridCol w:w="1917"/>
        <w:gridCol w:w="1914"/>
        <w:gridCol w:w="1914"/>
        <w:gridCol w:w="1914"/>
      </w:tblGrid>
      <w:tr>
        <w:trPr>
          <w:trHeight w:val="206"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9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197" w:hRule="exact"/>
        </w:trPr>
        <w:tc>
          <w:tcPr>
            <w:tcW w:w="1901" w:type="dxa"/>
            <w:vMerge/>
            <w:tcBorders>
              <w:left w:val="single" w:sz="4" w:space="0" w:color="000000"/>
              <w:bottom w:val="nil" w:sz="6" w:space="0" w:color="auto"/>
              <w:right w:val="single" w:sz="4" w:space="0" w:color="000000"/>
            </w:tcBorders>
            <w:shd w:val="clear" w:color="auto" w:fill="D2D2D2"/>
          </w:tcPr>
          <w:p>
            <w:pPr/>
          </w:p>
        </w:tc>
        <w:tc>
          <w:tcPr>
            <w:tcW w:w="191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33"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3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205"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43,654,676.68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6,653,842.80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23,856,608.71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3,619,095.51</w:t>
            </w: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5,857,051.89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890,920.28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6,246,340.18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936,951.03</w:t>
            </w: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16,847,290.23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2,527,093.53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19,162,284.04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2,874,342.61</w:t>
            </w:r>
          </w:p>
        </w:tc>
      </w:tr>
      <w:tr>
        <w:trPr>
          <w:trHeight w:val="403"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66,359,018.80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10,071,856.61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49,265,232.93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7,430,389.15</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未经抵销的递延所得税负债" w:id="242"/>
      <w:bookmarkEnd w:id="242"/>
      <w:r>
        <w:rPr>
          <w:b w:val="0"/>
          <w:bCs w:val="0"/>
        </w:rPr>
      </w:r>
      <w:r>
        <w:rPr/>
        <w:t>（</w:t>
      </w:r>
      <w:r>
        <w:rPr>
          <w:rFonts w:ascii="Times New Roman" w:hAnsi="Times New Roman" w:cs="Times New Roman" w:eastAsia="Times New Roman" w:hint="default"/>
        </w:rPr>
        <w:t>2</w:t>
      </w:r>
      <w:r>
        <w:rPr/>
        <w:t>）未经抵销的递延所得税负债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01"/>
        <w:gridCol w:w="1928"/>
        <w:gridCol w:w="1914"/>
        <w:gridCol w:w="1914"/>
        <w:gridCol w:w="1914"/>
      </w:tblGrid>
      <w:tr>
        <w:trPr>
          <w:trHeight w:val="206"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4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1" w:hRule="exact"/>
        </w:trPr>
        <w:tc>
          <w:tcPr>
            <w:tcW w:w="19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42"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1901" w:type="dxa"/>
            <w:vMerge/>
            <w:tcBorders>
              <w:left w:val="single" w:sz="4" w:space="0" w:color="000000"/>
              <w:bottom w:val="nil" w:sz="6" w:space="0" w:color="auto"/>
              <w:right w:val="single" w:sz="4" w:space="0" w:color="000000"/>
            </w:tcBorders>
            <w:shd w:val="clear" w:color="auto" w:fill="D2D2D2"/>
          </w:tcPr>
          <w:p>
            <w:pPr/>
          </w:p>
        </w:tc>
        <w:tc>
          <w:tcPr>
            <w:tcW w:w="19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45"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231"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r>
        <w:trPr>
          <w:trHeight w:val="206"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28"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66"/>
              <w:jc w:val="left"/>
              <w:rPr>
                <w:rFonts w:ascii="宋体" w:hAnsi="宋体" w:cs="宋体" w:eastAsia="宋体" w:hint="default"/>
                <w:sz w:val="18"/>
                <w:szCs w:val="18"/>
              </w:rPr>
            </w:pPr>
            <w:r>
              <w:rPr>
                <w:rFonts w:ascii="宋体" w:hAnsi="宋体" w:cs="宋体" w:eastAsia="宋体" w:hint="default"/>
                <w:sz w:val="18"/>
                <w:szCs w:val="18"/>
              </w:rPr>
              <w:t>非同一控制企业合并资 产评估增值</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287,377.62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43,106.64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678,281.48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101,742.22</w:t>
            </w: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287,377.62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43,106.64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678,281.48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101,742.22</w:t>
            </w:r>
          </w:p>
        </w:tc>
      </w:tr>
    </w:tbl>
    <w:p>
      <w:pPr>
        <w:spacing w:line="240" w:lineRule="auto" w:before="3"/>
        <w:rPr>
          <w:rFonts w:ascii="宋体" w:hAnsi="宋体" w:cs="宋体" w:eastAsia="宋体" w:hint="default"/>
          <w:sz w:val="19"/>
          <w:szCs w:val="19"/>
        </w:rPr>
      </w:pPr>
    </w:p>
    <w:p>
      <w:pPr>
        <w:pStyle w:val="Heading3"/>
        <w:spacing w:line="240" w:lineRule="auto" w:before="35"/>
        <w:ind w:right="1134"/>
        <w:jc w:val="left"/>
        <w:rPr>
          <w:b w:val="0"/>
          <w:bCs w:val="0"/>
        </w:rPr>
      </w:pPr>
      <w:bookmarkStart w:name="（3）未确认递延所得税资产明细" w:id="243"/>
      <w:bookmarkEnd w:id="243"/>
      <w:r>
        <w:rPr>
          <w:b w:val="0"/>
          <w:bCs w:val="0"/>
        </w:rPr>
      </w:r>
      <w:r>
        <w:rPr/>
        <w:t>（</w:t>
      </w:r>
      <w:r>
        <w:rPr>
          <w:rFonts w:ascii="Times New Roman" w:hAnsi="Times New Roman" w:cs="Times New Roman" w:eastAsia="Times New Roman" w:hint="default"/>
        </w:rPr>
        <w:t>3</w:t>
      </w:r>
      <w:r>
        <w:rPr/>
        <w:t>）未确认递延所得税资产明细</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311,628.06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212,502.60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311,628.06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212,502.60</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14、其他非流动资产" w:id="244"/>
      <w:bookmarkEnd w:id="244"/>
      <w:r>
        <w:rPr>
          <w:b w:val="0"/>
          <w:bCs w:val="0"/>
        </w:rPr>
      </w:r>
      <w:r>
        <w:rPr>
          <w:rFonts w:ascii="Times New Roman" w:hAnsi="Times New Roman" w:cs="Times New Roman" w:eastAsia="Times New Roman" w:hint="default"/>
        </w:rPr>
        <w:t>14</w:t>
      </w:r>
      <w:r>
        <w:rPr/>
        <w:t>、其他非流动资产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预付设备及工程款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817,416.01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1,254,713.46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预付购房款</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26,410,000.00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817,416.01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27,664,713.46</w:t>
            </w:r>
          </w:p>
        </w:tc>
      </w:tr>
    </w:tbl>
    <w:p>
      <w:pPr>
        <w:pStyle w:val="BodyText"/>
        <w:spacing w:line="316" w:lineRule="auto" w:before="51"/>
        <w:ind w:right="0"/>
        <w:jc w:val="left"/>
      </w:pPr>
      <w:r>
        <w:rPr>
          <w:spacing w:val="-2"/>
        </w:rPr>
        <w:t>其他说明：其他非流动资产的减少主要系上个报告期向上海东苑美墅置业有限公司购置房屋在本报告期达到预定可使用状态</w:t>
      </w:r>
      <w:r>
        <w:rPr>
          <w:spacing w:val="-64"/>
        </w:rPr>
        <w:t> </w:t>
      </w:r>
      <w:r>
        <w:rPr>
          <w:spacing w:val="-64"/>
        </w:rPr>
      </w:r>
      <w:r>
        <w:rPr/>
        <w:t>而结转至固定资产所致。</w:t>
      </w:r>
    </w:p>
    <w:p>
      <w:pPr>
        <w:spacing w:line="240" w:lineRule="auto" w:before="6"/>
        <w:rPr>
          <w:rFonts w:ascii="宋体" w:hAnsi="宋体" w:cs="宋体" w:eastAsia="宋体" w:hint="default"/>
          <w:sz w:val="22"/>
          <w:szCs w:val="22"/>
        </w:rPr>
      </w:pPr>
    </w:p>
    <w:p>
      <w:pPr>
        <w:pStyle w:val="Heading3"/>
        <w:spacing w:line="240" w:lineRule="auto"/>
        <w:ind w:right="1134"/>
        <w:jc w:val="left"/>
        <w:rPr>
          <w:b w:val="0"/>
          <w:bCs w:val="0"/>
        </w:rPr>
      </w:pPr>
      <w:bookmarkStart w:name="15、短期借款" w:id="245"/>
      <w:bookmarkEnd w:id="245"/>
      <w:r>
        <w:rPr>
          <w:b w:val="0"/>
          <w:bCs w:val="0"/>
        </w:rPr>
      </w:r>
      <w:r>
        <w:rPr>
          <w:rFonts w:ascii="Times New Roman" w:hAnsi="Times New Roman" w:cs="Times New Roman" w:eastAsia="Times New Roman" w:hint="default"/>
        </w:rPr>
        <w:t>15</w:t>
      </w:r>
      <w:r>
        <w:rPr/>
        <w:t>、短期借款</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短期借款分类" w:id="246"/>
      <w:bookmarkEnd w:id="246"/>
      <w:r>
        <w:rPr>
          <w:b w:val="0"/>
          <w:bCs w:val="0"/>
        </w:rPr>
      </w:r>
      <w:r>
        <w:rPr/>
        <w:t>（</w:t>
      </w:r>
      <w:r>
        <w:rPr>
          <w:rFonts w:ascii="Times New Roman" w:hAnsi="Times New Roman" w:cs="Times New Roman" w:eastAsia="Times New Roman" w:hint="default"/>
        </w:rPr>
        <w:t>1</w:t>
      </w:r>
      <w:r>
        <w:rPr/>
        <w:t>）短期借款分类</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质押借款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56,100,347.70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55,778,642.70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150,000,000.00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206,100,347.70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55,778,642.70</w:t>
            </w:r>
          </w:p>
        </w:tc>
      </w:tr>
    </w:tbl>
    <w:p>
      <w:pPr>
        <w:pStyle w:val="BodyText"/>
        <w:spacing w:line="240" w:lineRule="auto" w:before="51"/>
        <w:ind w:right="0"/>
        <w:jc w:val="both"/>
      </w:pPr>
      <w:r>
        <w:rPr/>
        <w:t>短期借款分类的说明：</w:t>
      </w:r>
    </w:p>
    <w:p>
      <w:pPr>
        <w:pStyle w:val="BodyText"/>
        <w:spacing w:line="316" w:lineRule="auto" w:before="116"/>
        <w:ind w:right="1139" w:firstLine="360"/>
        <w:jc w:val="both"/>
      </w:pPr>
      <w:r>
        <w:rPr>
          <w:rFonts w:ascii="宋体" w:hAnsi="宋体" w:cs="宋体" w:eastAsia="宋体" w:hint="default"/>
        </w:rPr>
        <w:t>2017</w:t>
      </w:r>
      <w:r>
        <w:rPr/>
        <w:t>年</w:t>
      </w:r>
      <w:r>
        <w:rPr>
          <w:rFonts w:ascii="宋体" w:hAnsi="宋体" w:cs="宋体" w:eastAsia="宋体" w:hint="default"/>
        </w:rPr>
        <w:t>6</w:t>
      </w:r>
      <w:r>
        <w:rPr/>
        <w:t>月</w:t>
      </w:r>
      <w:r>
        <w:rPr>
          <w:rFonts w:ascii="宋体" w:hAnsi="宋体" w:cs="宋体" w:eastAsia="宋体" w:hint="default"/>
        </w:rPr>
        <w:t>21</w:t>
      </w:r>
      <w:r>
        <w:rPr/>
        <w:t>日，本公司与</w:t>
      </w:r>
      <w:r>
        <w:rPr>
          <w:rFonts w:ascii="宋体" w:hAnsi="宋体" w:cs="宋体" w:eastAsia="宋体" w:hint="default"/>
        </w:rPr>
        <w:t>Oversea-Chinese Banking Corporation Limited</w:t>
      </w:r>
      <w:r>
        <w:rPr/>
        <w:t>签署编号为</w:t>
      </w:r>
      <w:r>
        <w:rPr>
          <w:rFonts w:ascii="宋体" w:hAnsi="宋体" w:cs="宋体" w:eastAsia="宋体" w:hint="default"/>
        </w:rPr>
        <w:t>EB/090/17</w:t>
      </w:r>
      <w:r>
        <w:rPr/>
        <w:t>的银行授信函，授信 额度为欧元</w:t>
      </w:r>
      <w:r>
        <w:rPr>
          <w:rFonts w:ascii="宋体" w:hAnsi="宋体" w:cs="宋体" w:eastAsia="宋体" w:hint="default"/>
        </w:rPr>
        <w:t>9,000,000.00</w:t>
      </w:r>
      <w:r>
        <w:rPr/>
        <w:t>元。</w:t>
      </w:r>
      <w:r>
        <w:rPr>
          <w:rFonts w:ascii="宋体" w:hAnsi="宋体" w:cs="宋体" w:eastAsia="宋体" w:hint="default"/>
        </w:rPr>
        <w:t>2017</w:t>
      </w:r>
      <w:r>
        <w:rPr/>
        <w:t>年</w:t>
      </w:r>
      <w:r>
        <w:rPr>
          <w:rFonts w:ascii="宋体" w:hAnsi="宋体" w:cs="宋体" w:eastAsia="宋体" w:hint="default"/>
        </w:rPr>
        <w:t>9</w:t>
      </w:r>
      <w:r>
        <w:rPr/>
        <w:t>月</w:t>
      </w:r>
      <w:r>
        <w:rPr>
          <w:rFonts w:ascii="宋体" w:hAnsi="宋体" w:cs="宋体" w:eastAsia="宋体" w:hint="default"/>
        </w:rPr>
        <w:t>1</w:t>
      </w:r>
      <w:r>
        <w:rPr/>
        <w:t>日，本公司与宁波银行股份有限公司深圳分行签订编号为“</w:t>
      </w:r>
      <w:r>
        <w:rPr>
          <w:rFonts w:ascii="宋体" w:hAnsi="宋体" w:cs="宋体" w:eastAsia="宋体" w:hint="default"/>
        </w:rPr>
        <w:t>07300BH20178137</w:t>
      </w:r>
      <w:r>
        <w:rPr/>
        <w:t>”的</w:t>
      </w:r>
    </w:p>
    <w:p>
      <w:pPr>
        <w:pStyle w:val="BodyText"/>
        <w:spacing w:line="316" w:lineRule="auto" w:before="19"/>
        <w:ind w:right="1131"/>
        <w:jc w:val="both"/>
      </w:pPr>
      <w:r>
        <w:rPr>
          <w:spacing w:val="-2"/>
        </w:rPr>
        <w:t>《开立保函协议》，并以美元</w:t>
      </w:r>
      <w:r>
        <w:rPr>
          <w:rFonts w:ascii="宋体" w:hAnsi="宋体" w:cs="宋体" w:eastAsia="宋体" w:hint="default"/>
          <w:spacing w:val="-2"/>
        </w:rPr>
        <w:t>2,000,000.00</w:t>
      </w:r>
      <w:r>
        <w:rPr>
          <w:spacing w:val="-2"/>
        </w:rPr>
        <w:t>元保证金质押给宁波银行股份有限公司深圳分行，为前述授信提供保证。在前述</w:t>
      </w:r>
      <w:r>
        <w:rPr>
          <w:spacing w:val="-54"/>
        </w:rPr>
        <w:t> </w:t>
      </w:r>
      <w:r>
        <w:rPr>
          <w:spacing w:val="-54"/>
        </w:rPr>
      </w:r>
      <w:r>
        <w:rPr/>
        <w:t>银行授信函下，本公司于</w:t>
      </w:r>
      <w:r>
        <w:rPr>
          <w:rFonts w:ascii="宋体" w:hAnsi="宋体" w:cs="宋体" w:eastAsia="宋体" w:hint="default"/>
        </w:rPr>
        <w:t>2017</w:t>
      </w:r>
      <w:r>
        <w:rPr/>
        <w:t>年</w:t>
      </w:r>
      <w:r>
        <w:rPr>
          <w:rFonts w:ascii="宋体" w:hAnsi="宋体" w:cs="宋体" w:eastAsia="宋体" w:hint="default"/>
        </w:rPr>
        <w:t>9</w:t>
      </w:r>
      <w:r>
        <w:rPr/>
        <w:t>月</w:t>
      </w:r>
      <w:r>
        <w:rPr>
          <w:rFonts w:ascii="宋体" w:hAnsi="宋体" w:cs="宋体" w:eastAsia="宋体" w:hint="default"/>
        </w:rPr>
        <w:t>15</w:t>
      </w:r>
      <w:r>
        <w:rPr/>
        <w:t>日向</w:t>
      </w:r>
      <w:r>
        <w:rPr>
          <w:rFonts w:ascii="宋体" w:hAnsi="宋体" w:cs="宋体" w:eastAsia="宋体" w:hint="default"/>
        </w:rPr>
        <w:t>Oversea-Chinese</w:t>
      </w:r>
      <w:r>
        <w:rPr>
          <w:rFonts w:ascii="宋体" w:hAnsi="宋体" w:cs="宋体" w:eastAsia="宋体" w:hint="default"/>
          <w:spacing w:val="-28"/>
        </w:rPr>
        <w:t> </w:t>
      </w:r>
      <w:r>
        <w:rPr>
          <w:rFonts w:ascii="宋体" w:hAnsi="宋体" w:cs="宋体" w:eastAsia="宋体" w:hint="default"/>
        </w:rPr>
        <w:t>Banking</w:t>
      </w:r>
      <w:r>
        <w:rPr>
          <w:rFonts w:ascii="宋体" w:hAnsi="宋体" w:cs="宋体" w:eastAsia="宋体" w:hint="default"/>
          <w:spacing w:val="-28"/>
        </w:rPr>
        <w:t> </w:t>
      </w:r>
      <w:r>
        <w:rPr>
          <w:rFonts w:ascii="宋体" w:hAnsi="宋体" w:cs="宋体" w:eastAsia="宋体" w:hint="default"/>
        </w:rPr>
        <w:t>Corporation</w:t>
      </w:r>
      <w:r>
        <w:rPr>
          <w:rFonts w:ascii="宋体" w:hAnsi="宋体" w:cs="宋体" w:eastAsia="宋体" w:hint="default"/>
          <w:spacing w:val="-28"/>
        </w:rPr>
        <w:t> </w:t>
      </w:r>
      <w:r>
        <w:rPr>
          <w:rFonts w:ascii="宋体" w:hAnsi="宋体" w:cs="宋体" w:eastAsia="宋体" w:hint="default"/>
        </w:rPr>
        <w:t>Limited</w:t>
      </w:r>
      <w:r>
        <w:rPr/>
        <w:t>取得了欧元</w:t>
      </w:r>
      <w:r>
        <w:rPr>
          <w:rFonts w:ascii="宋体" w:hAnsi="宋体" w:cs="宋体" w:eastAsia="宋体" w:hint="default"/>
        </w:rPr>
        <w:t>7,149,000.00</w:t>
      </w:r>
      <w:r>
        <w:rPr/>
        <w:t>元的借 款，该借款于</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1</w:t>
      </w:r>
      <w:r>
        <w:rPr/>
        <w:t>日到期。</w:t>
      </w:r>
      <w:r>
        <w:rPr>
          <w:rFonts w:ascii="宋体" w:hAnsi="宋体" w:cs="宋体" w:eastAsia="宋体" w:hint="default"/>
        </w:rPr>
        <w:t>2018</w:t>
      </w:r>
      <w:r>
        <w:rPr/>
        <w:t>年</w:t>
      </w:r>
      <w:r>
        <w:rPr>
          <w:rFonts w:ascii="宋体" w:hAnsi="宋体" w:cs="宋体" w:eastAsia="宋体" w:hint="default"/>
        </w:rPr>
        <w:t>7</w:t>
      </w:r>
      <w:r>
        <w:rPr/>
        <w:t>月</w:t>
      </w:r>
      <w:r>
        <w:rPr>
          <w:rFonts w:ascii="宋体" w:hAnsi="宋体" w:cs="宋体" w:eastAsia="宋体" w:hint="default"/>
        </w:rPr>
        <w:t>5</w:t>
      </w:r>
      <w:r>
        <w:rPr/>
        <w:t>日，本公司与</w:t>
      </w:r>
      <w:r>
        <w:rPr>
          <w:rFonts w:ascii="宋体" w:hAnsi="宋体" w:cs="宋体" w:eastAsia="宋体" w:hint="default"/>
        </w:rPr>
        <w:t>Oversea-Chinese Banking Corporation Limited</w:t>
      </w:r>
      <w:r>
        <w:rPr/>
        <w:t>“签署编号为 </w:t>
      </w:r>
      <w:r>
        <w:rPr>
          <w:rFonts w:ascii="宋体" w:hAnsi="宋体" w:cs="宋体" w:eastAsia="宋体" w:hint="default"/>
        </w:rPr>
        <w:t>EB/093/18</w:t>
      </w:r>
      <w:r>
        <w:rPr/>
        <w:t>”的银行授信函，将前述贷款期限延长</w:t>
      </w:r>
      <w:r>
        <w:rPr>
          <w:rFonts w:ascii="宋体" w:hAnsi="宋体" w:cs="宋体" w:eastAsia="宋体" w:hint="default"/>
        </w:rPr>
        <w:t>12</w:t>
      </w:r>
      <w:r>
        <w:rPr/>
        <w:t>个月。并且，本公司于</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8</w:t>
      </w:r>
      <w:r>
        <w:rPr/>
        <w:t>日与宁波银行股份有限公司深圳分行 签署《国际保函修改申请书》、《开立保函补充协议》，将原保函有效期展期至</w:t>
      </w:r>
      <w:r>
        <w:rPr>
          <w:rFonts w:ascii="宋体" w:hAnsi="宋体" w:cs="宋体" w:eastAsia="宋体" w:hint="default"/>
        </w:rPr>
        <w:t>2019</w:t>
      </w:r>
      <w:r>
        <w:rPr/>
        <w:t>年</w:t>
      </w:r>
      <w:r>
        <w:rPr>
          <w:rFonts w:ascii="宋体" w:hAnsi="宋体" w:cs="宋体" w:eastAsia="宋体" w:hint="default"/>
        </w:rPr>
        <w:t>8</w:t>
      </w:r>
      <w:r>
        <w:rPr/>
        <w:t>月</w:t>
      </w:r>
      <w:r>
        <w:rPr>
          <w:rFonts w:ascii="宋体" w:hAnsi="宋体" w:cs="宋体" w:eastAsia="宋体" w:hint="default"/>
        </w:rPr>
        <w:t>15</w:t>
      </w:r>
      <w:r>
        <w:rPr/>
        <w:t>日，并向宁波银行股份有限公 司深圳分行追加人民币</w:t>
      </w:r>
      <w:r>
        <w:rPr>
          <w:rFonts w:ascii="宋体" w:hAnsi="宋体" w:cs="宋体" w:eastAsia="宋体" w:hint="default"/>
        </w:rPr>
        <w:t>42.00</w:t>
      </w:r>
      <w:r>
        <w:rPr/>
        <w:t>万元保证金。</w:t>
      </w:r>
    </w:p>
    <w:p>
      <w:pPr>
        <w:pStyle w:val="BodyText"/>
        <w:spacing w:line="240" w:lineRule="auto" w:before="19"/>
        <w:ind w:left="514" w:right="0"/>
        <w:jc w:val="left"/>
      </w:pPr>
      <w:r>
        <w:rPr>
          <w:rFonts w:ascii="宋体" w:hAnsi="宋体" w:cs="宋体" w:eastAsia="宋体" w:hint="default"/>
        </w:rPr>
        <w:t>2017</w:t>
      </w:r>
      <w:r>
        <w:rPr/>
        <w:t>年</w:t>
      </w:r>
      <w:r>
        <w:rPr>
          <w:rFonts w:ascii="宋体" w:hAnsi="宋体" w:cs="宋体" w:eastAsia="宋体" w:hint="default"/>
        </w:rPr>
        <w:t>12</w:t>
      </w:r>
      <w:r>
        <w:rPr/>
        <w:t>月</w:t>
      </w:r>
      <w:r>
        <w:rPr>
          <w:rFonts w:ascii="宋体" w:hAnsi="宋体" w:cs="宋体" w:eastAsia="宋体" w:hint="default"/>
        </w:rPr>
        <w:t>22</w:t>
      </w:r>
      <w:r>
        <w:rPr/>
        <w:t>日，本公司与中国银行股份有限公司深圳高新区支行签署了编号为“</w:t>
      </w:r>
      <w:r>
        <w:rPr>
          <w:rFonts w:ascii="宋体" w:hAnsi="宋体" w:cs="宋体" w:eastAsia="宋体" w:hint="default"/>
        </w:rPr>
        <w:t>2017</w:t>
      </w:r>
      <w:r>
        <w:rPr/>
        <w:t>圳中银高额协字第</w:t>
      </w:r>
      <w:r>
        <w:rPr>
          <w:rFonts w:ascii="宋体" w:hAnsi="宋体" w:cs="宋体" w:eastAsia="宋体" w:hint="default"/>
        </w:rPr>
        <w:t>0000174</w:t>
      </w:r>
      <w:r>
        <w:rPr/>
        <w:t>号”</w:t>
      </w:r>
    </w:p>
    <w:p>
      <w:pPr>
        <w:pStyle w:val="BodyText"/>
        <w:spacing w:line="316" w:lineRule="auto" w:before="76"/>
        <w:ind w:right="1131"/>
        <w:jc w:val="both"/>
      </w:pPr>
      <w:r>
        <w:rPr>
          <w:spacing w:val="-3"/>
        </w:rPr>
        <w:t>《授信额度协议》，根据该协议，该行向本公司提供人民币</w:t>
      </w:r>
      <w:r>
        <w:rPr>
          <w:rFonts w:ascii="宋体" w:hAnsi="宋体" w:cs="宋体" w:eastAsia="宋体" w:hint="default"/>
          <w:spacing w:val="-3"/>
        </w:rPr>
        <w:t>8,000</w:t>
      </w:r>
      <w:r>
        <w:rPr>
          <w:spacing w:val="-3"/>
        </w:rPr>
        <w:t>万元的综合授信额度，授信期限自</w:t>
      </w:r>
      <w:r>
        <w:rPr>
          <w:rFonts w:ascii="宋体" w:hAnsi="宋体" w:cs="宋体" w:eastAsia="宋体" w:hint="default"/>
          <w:spacing w:val="-3"/>
        </w:rPr>
        <w:t>2017</w:t>
      </w:r>
      <w:r>
        <w:rPr>
          <w:spacing w:val="-3"/>
        </w:rPr>
        <w:t>年</w:t>
      </w:r>
      <w:r>
        <w:rPr>
          <w:rFonts w:ascii="宋体" w:hAnsi="宋体" w:cs="宋体" w:eastAsia="宋体" w:hint="default"/>
          <w:spacing w:val="-3"/>
        </w:rPr>
        <w:t>12</w:t>
      </w:r>
      <w:r>
        <w:rPr>
          <w:spacing w:val="-3"/>
        </w:rPr>
        <w:t>月</w:t>
      </w:r>
      <w:r>
        <w:rPr>
          <w:rFonts w:ascii="宋体" w:hAnsi="宋体" w:cs="宋体" w:eastAsia="宋体" w:hint="default"/>
          <w:spacing w:val="-3"/>
        </w:rPr>
        <w:t>22</w:t>
      </w:r>
      <w:r>
        <w:rPr>
          <w:spacing w:val="-3"/>
        </w:rPr>
        <w:t>日起至</w:t>
      </w:r>
      <w:r>
        <w:rPr>
          <w:rFonts w:ascii="宋体" w:hAnsi="宋体" w:cs="宋体" w:eastAsia="宋体" w:hint="default"/>
          <w:spacing w:val="-3"/>
        </w:rPr>
        <w:t>2018</w:t>
      </w:r>
      <w:r>
        <w:rPr>
          <w:rFonts w:ascii="宋体" w:hAnsi="宋体" w:cs="宋体" w:eastAsia="宋体" w:hint="default"/>
          <w:spacing w:val="-77"/>
        </w:rPr>
        <w:t> </w:t>
      </w:r>
      <w:r>
        <w:rPr>
          <w:spacing w:val="-2"/>
        </w:rPr>
        <w:t>年</w:t>
      </w:r>
      <w:r>
        <w:rPr>
          <w:rFonts w:ascii="宋体" w:hAnsi="宋体" w:cs="宋体" w:eastAsia="宋体" w:hint="default"/>
          <w:spacing w:val="-2"/>
        </w:rPr>
        <w:t>12</w:t>
      </w:r>
      <w:r>
        <w:rPr>
          <w:spacing w:val="-2"/>
        </w:rPr>
        <w:t>月</w:t>
      </w:r>
      <w:r>
        <w:rPr>
          <w:rFonts w:ascii="宋体" w:hAnsi="宋体" w:cs="宋体" w:eastAsia="宋体" w:hint="default"/>
          <w:spacing w:val="-2"/>
        </w:rPr>
        <w:t>22</w:t>
      </w:r>
      <w:r>
        <w:rPr>
          <w:spacing w:val="-2"/>
        </w:rPr>
        <w:t>日止。本公司之子公司优博讯软件公司以及实际控制人郭颂、刘丹分别与中国银行股份有限公司深圳高新区支行签</w:t>
      </w:r>
      <w:r>
        <w:rPr>
          <w:spacing w:val="-60"/>
        </w:rPr>
        <w:t> </w:t>
      </w:r>
      <w:r>
        <w:rPr>
          <w:spacing w:val="-60"/>
        </w:rPr>
      </w:r>
      <w:r>
        <w:rPr>
          <w:spacing w:val="-2"/>
        </w:rPr>
        <w:t>订了编号为：</w:t>
      </w:r>
      <w:r>
        <w:rPr>
          <w:rFonts w:ascii="宋体" w:hAnsi="宋体" w:cs="宋体" w:eastAsia="宋体" w:hint="default"/>
          <w:spacing w:val="-2"/>
        </w:rPr>
        <w:t>2017</w:t>
      </w:r>
      <w:r>
        <w:rPr>
          <w:spacing w:val="-2"/>
        </w:rPr>
        <w:t>圳中银高司保字第</w:t>
      </w:r>
      <w:r>
        <w:rPr>
          <w:rFonts w:ascii="宋体" w:hAnsi="宋体" w:cs="宋体" w:eastAsia="宋体" w:hint="default"/>
          <w:spacing w:val="-2"/>
        </w:rPr>
        <w:t>0071</w:t>
      </w:r>
      <w:r>
        <w:rPr>
          <w:spacing w:val="-2"/>
        </w:rPr>
        <w:t>号以及</w:t>
      </w:r>
      <w:r>
        <w:rPr>
          <w:rFonts w:ascii="宋体" w:hAnsi="宋体" w:cs="宋体" w:eastAsia="宋体" w:hint="default"/>
          <w:spacing w:val="-2"/>
        </w:rPr>
        <w:t>2017</w:t>
      </w:r>
      <w:r>
        <w:rPr>
          <w:spacing w:val="-2"/>
        </w:rPr>
        <w:t>圳中银高司保字第</w:t>
      </w:r>
      <w:r>
        <w:rPr>
          <w:rFonts w:ascii="宋体" w:hAnsi="宋体" w:cs="宋体" w:eastAsia="宋体" w:hint="default"/>
          <w:spacing w:val="-2"/>
        </w:rPr>
        <w:t>0072</w:t>
      </w:r>
      <w:r>
        <w:rPr>
          <w:spacing w:val="-2"/>
        </w:rPr>
        <w:t>号、</w:t>
      </w:r>
      <w:r>
        <w:rPr>
          <w:rFonts w:ascii="宋体" w:hAnsi="宋体" w:cs="宋体" w:eastAsia="宋体" w:hint="default"/>
          <w:spacing w:val="-2"/>
        </w:rPr>
        <w:t>2017</w:t>
      </w:r>
      <w:r>
        <w:rPr>
          <w:spacing w:val="-2"/>
        </w:rPr>
        <w:t>圳中银高司保字第</w:t>
      </w:r>
      <w:r>
        <w:rPr>
          <w:rFonts w:ascii="宋体" w:hAnsi="宋体" w:cs="宋体" w:eastAsia="宋体" w:hint="default"/>
          <w:spacing w:val="-2"/>
        </w:rPr>
        <w:t>0073</w:t>
      </w:r>
      <w:r>
        <w:rPr>
          <w:spacing w:val="-2"/>
        </w:rPr>
        <w:t>号的《最高额保</w:t>
      </w:r>
      <w:r>
        <w:rPr>
          <w:spacing w:val="-42"/>
        </w:rPr>
        <w:t> </w:t>
      </w:r>
      <w:r>
        <w:rPr>
          <w:spacing w:val="-42"/>
        </w:rPr>
      </w:r>
      <w:r>
        <w:rPr/>
        <w:t>证合同》，对前述授信协议提供连带责任保证担保。在前述授信协议项下，本公司于</w:t>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20</w:t>
      </w:r>
      <w:r>
        <w:rPr/>
        <w:t>日与中国银行股份有限公 司深圳高新区支行签署了编号为“</w:t>
      </w:r>
      <w:r>
        <w:rPr>
          <w:rFonts w:ascii="宋体" w:hAnsi="宋体" w:cs="宋体" w:eastAsia="宋体" w:hint="default"/>
        </w:rPr>
        <w:t>2018</w:t>
      </w:r>
      <w:r>
        <w:rPr/>
        <w:t>圳中银高司借字第</w:t>
      </w:r>
      <w:r>
        <w:rPr>
          <w:rFonts w:ascii="宋体" w:hAnsi="宋体" w:cs="宋体" w:eastAsia="宋体" w:hint="default"/>
        </w:rPr>
        <w:t>0023</w:t>
      </w:r>
      <w:r>
        <w:rPr/>
        <w:t>号”的《流动资金借款合同》，于</w:t>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28</w:t>
      </w:r>
      <w:r>
        <w:rPr/>
        <w:t>日取得人民币 </w:t>
      </w:r>
      <w:r>
        <w:rPr>
          <w:rFonts w:ascii="宋体" w:hAnsi="宋体" w:cs="宋体" w:eastAsia="宋体" w:hint="default"/>
        </w:rPr>
        <w:t>5,000.00</w:t>
      </w:r>
      <w:r>
        <w:rPr/>
        <w:t>万元的借款，借款期限为一年，截止</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日尚未到期。</w:t>
      </w:r>
    </w:p>
    <w:p>
      <w:pPr>
        <w:pStyle w:val="BodyText"/>
        <w:spacing w:line="316" w:lineRule="auto" w:before="19"/>
        <w:ind w:right="1130" w:firstLine="360"/>
        <w:jc w:val="both"/>
      </w:pPr>
      <w:r>
        <w:rPr>
          <w:rFonts w:ascii="宋体" w:hAnsi="宋体" w:cs="宋体" w:eastAsia="宋体" w:hint="default"/>
          <w:spacing w:val="-2"/>
        </w:rPr>
        <w:t>2018</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25</w:t>
      </w:r>
      <w:r>
        <w:rPr>
          <w:spacing w:val="-2"/>
        </w:rPr>
        <w:t>日，本公司与招商银行股份有限公司深圳分行签署了编号为“</w:t>
      </w:r>
      <w:r>
        <w:rPr>
          <w:rFonts w:ascii="宋体" w:hAnsi="宋体" w:cs="宋体" w:eastAsia="宋体" w:hint="default"/>
          <w:spacing w:val="-2"/>
        </w:rPr>
        <w:t>755XY2018009976</w:t>
      </w:r>
      <w:r>
        <w:rPr>
          <w:spacing w:val="-2"/>
        </w:rPr>
        <w:t>”的《授信协议》，根据该</w:t>
      </w:r>
      <w:r>
        <w:rPr/>
        <w:t> 协议，招商银行股份有限公司深圳分行向本公司提供人民币</w:t>
      </w:r>
      <w:r>
        <w:rPr>
          <w:rFonts w:ascii="宋体" w:hAnsi="宋体" w:cs="宋体" w:eastAsia="宋体" w:hint="default"/>
        </w:rPr>
        <w:t>1</w:t>
      </w:r>
      <w:r>
        <w:rPr/>
        <w:t>亿元的授信额度，授信期限自</w:t>
      </w:r>
      <w:r>
        <w:rPr>
          <w:rFonts w:ascii="宋体" w:hAnsi="宋体" w:cs="宋体" w:eastAsia="宋体" w:hint="default"/>
        </w:rPr>
        <w:t>2018</w:t>
      </w:r>
      <w:r>
        <w:rPr/>
        <w:t>年</w:t>
      </w:r>
      <w:r>
        <w:rPr>
          <w:rFonts w:ascii="宋体" w:hAnsi="宋体" w:cs="宋体" w:eastAsia="宋体" w:hint="default"/>
        </w:rPr>
        <w:t>5</w:t>
      </w:r>
      <w:r>
        <w:rPr/>
        <w:t>月</w:t>
      </w:r>
      <w:r>
        <w:rPr>
          <w:rFonts w:ascii="宋体" w:hAnsi="宋体" w:cs="宋体" w:eastAsia="宋体" w:hint="default"/>
        </w:rPr>
        <w:t>21</w:t>
      </w:r>
      <w:r>
        <w:rPr/>
        <w:t>日起至</w:t>
      </w:r>
      <w:r>
        <w:rPr>
          <w:rFonts w:ascii="宋体" w:hAnsi="宋体" w:cs="宋体" w:eastAsia="宋体" w:hint="default"/>
        </w:rPr>
        <w:t>2019</w:t>
      </w:r>
      <w:r>
        <w:rPr/>
        <w:t>年</w:t>
      </w:r>
      <w:r>
        <w:rPr>
          <w:rFonts w:ascii="宋体" w:hAnsi="宋体" w:cs="宋体" w:eastAsia="宋体" w:hint="default"/>
        </w:rPr>
        <w:t>5</w:t>
      </w:r>
      <w:r>
        <w:rPr/>
        <w:t>月</w:t>
      </w:r>
      <w:r>
        <w:rPr>
          <w:rFonts w:ascii="宋体" w:hAnsi="宋体" w:cs="宋体" w:eastAsia="宋体" w:hint="default"/>
        </w:rPr>
        <w:t>20 </w:t>
      </w:r>
      <w:r>
        <w:rPr/>
        <w:t>日止。本公司实际控制人郭颂、刘丹分别与招商银行股份有限公司深圳分行签署了编号为：</w:t>
      </w:r>
      <w:r>
        <w:rPr>
          <w:rFonts w:ascii="宋体" w:hAnsi="宋体" w:cs="宋体" w:eastAsia="宋体" w:hint="default"/>
        </w:rPr>
        <w:t>755XY201800997602</w:t>
      </w:r>
      <w:r>
        <w:rPr/>
        <w:t>、</w:t>
      </w:r>
    </w:p>
    <w:p>
      <w:pPr>
        <w:spacing w:after="0" w:line="316"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right="1139"/>
        <w:jc w:val="both"/>
      </w:pPr>
      <w:r>
        <w:rPr>
          <w:rFonts w:ascii="宋体" w:hAnsi="宋体" w:cs="宋体" w:eastAsia="宋体" w:hint="default"/>
        </w:rPr>
        <w:t>755XY201800997601</w:t>
      </w:r>
      <w:r>
        <w:rPr/>
        <w:t>的《最高额不可撤销担保书》，对签署授信协议提供连带责任保证担保。在前述授信协议项下，本公司 于</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21</w:t>
      </w:r>
      <w:r>
        <w:rPr/>
        <w:t>日与招商银行股份有限公司深圳分行签署了编号为“</w:t>
      </w:r>
      <w:r>
        <w:rPr>
          <w:rFonts w:ascii="宋体" w:hAnsi="宋体" w:cs="宋体" w:eastAsia="宋体" w:hint="default"/>
        </w:rPr>
        <w:t>755HT2018064484</w:t>
      </w:r>
      <w:r>
        <w:rPr/>
        <w:t>”的《借款合同》，于</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22</w:t>
      </w:r>
      <w:r>
        <w:rPr/>
        <w:t>日 取得人民币</w:t>
      </w:r>
      <w:r>
        <w:rPr>
          <w:rFonts w:ascii="宋体" w:hAnsi="宋体" w:cs="宋体" w:eastAsia="宋体" w:hint="default"/>
        </w:rPr>
        <w:t>5,000.00</w:t>
      </w:r>
      <w:r>
        <w:rPr/>
        <w:t>万元的借款，借款期限为一年，截止</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日尚未到期。</w:t>
      </w:r>
    </w:p>
    <w:p>
      <w:pPr>
        <w:pStyle w:val="BodyText"/>
        <w:spacing w:line="316" w:lineRule="auto" w:before="19"/>
        <w:ind w:right="1042" w:firstLine="360"/>
        <w:jc w:val="left"/>
      </w:pP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15</w:t>
      </w:r>
      <w:r>
        <w:rPr/>
        <w:t>日，本公司与兴业银行股份有限公司深圳分行签署了合同编号为“兴银深蛇口授信字（</w:t>
      </w:r>
      <w:r>
        <w:rPr>
          <w:rFonts w:ascii="宋体" w:hAnsi="宋体" w:cs="宋体" w:eastAsia="宋体" w:hint="default"/>
        </w:rPr>
        <w:t>2018</w:t>
      </w:r>
      <w:r>
        <w:rPr/>
        <w:t>）第</w:t>
      </w:r>
      <w:r>
        <w:rPr>
          <w:rFonts w:ascii="宋体" w:hAnsi="宋体" w:cs="宋体" w:eastAsia="宋体" w:hint="default"/>
        </w:rPr>
        <w:t>1023</w:t>
      </w:r>
      <w:r>
        <w:rPr/>
        <w:t>号” 的《基本额度授信合同》，根据该合同，兴业银行股份有限公司深圳分行为本公司提供人民币</w:t>
      </w:r>
      <w:r>
        <w:rPr>
          <w:rFonts w:ascii="宋体" w:hAnsi="宋体" w:cs="宋体" w:eastAsia="宋体" w:hint="default"/>
        </w:rPr>
        <w:t>8,000</w:t>
      </w:r>
      <w:r>
        <w:rPr/>
        <w:t>万元的基本授信额度， </w:t>
      </w:r>
      <w:r>
        <w:rPr>
          <w:spacing w:val="-2"/>
        </w:rPr>
        <w:t>授信期限自</w:t>
      </w:r>
      <w:r>
        <w:rPr>
          <w:rFonts w:ascii="宋体" w:hAnsi="宋体" w:cs="宋体" w:eastAsia="宋体" w:hint="default"/>
          <w:spacing w:val="-2"/>
        </w:rPr>
        <w:t>2018</w:t>
      </w:r>
      <w:r>
        <w:rPr>
          <w:spacing w:val="-2"/>
        </w:rPr>
        <w:t>年</w:t>
      </w:r>
      <w:r>
        <w:rPr>
          <w:rFonts w:ascii="宋体" w:hAnsi="宋体" w:cs="宋体" w:eastAsia="宋体" w:hint="default"/>
          <w:spacing w:val="-2"/>
        </w:rPr>
        <w:t>7</w:t>
      </w:r>
      <w:r>
        <w:rPr>
          <w:spacing w:val="-2"/>
        </w:rPr>
        <w:t>月</w:t>
      </w:r>
      <w:r>
        <w:rPr>
          <w:rFonts w:ascii="宋体" w:hAnsi="宋体" w:cs="宋体" w:eastAsia="宋体" w:hint="default"/>
          <w:spacing w:val="-2"/>
        </w:rPr>
        <w:t>4</w:t>
      </w:r>
      <w:r>
        <w:rPr>
          <w:spacing w:val="-2"/>
        </w:rPr>
        <w:t>日起至</w:t>
      </w:r>
      <w:r>
        <w:rPr>
          <w:rFonts w:ascii="宋体" w:hAnsi="宋体" w:cs="宋体" w:eastAsia="宋体" w:hint="default"/>
          <w:spacing w:val="-2"/>
        </w:rPr>
        <w:t>2019</w:t>
      </w:r>
      <w:r>
        <w:rPr>
          <w:spacing w:val="-2"/>
        </w:rPr>
        <w:t>年</w:t>
      </w:r>
      <w:r>
        <w:rPr>
          <w:rFonts w:ascii="宋体" w:hAnsi="宋体" w:cs="宋体" w:eastAsia="宋体" w:hint="default"/>
          <w:spacing w:val="-2"/>
        </w:rPr>
        <w:t>7</w:t>
      </w:r>
      <w:r>
        <w:rPr>
          <w:spacing w:val="-2"/>
        </w:rPr>
        <w:t>月</w:t>
      </w:r>
      <w:r>
        <w:rPr>
          <w:rFonts w:ascii="宋体" w:hAnsi="宋体" w:cs="宋体" w:eastAsia="宋体" w:hint="default"/>
          <w:spacing w:val="-2"/>
        </w:rPr>
        <w:t>4</w:t>
      </w:r>
      <w:r>
        <w:rPr>
          <w:spacing w:val="-2"/>
        </w:rPr>
        <w:t>日止。本公司实际控制人郭颂、刘丹分别与兴业银行股份有限公司深圳分行签订了</w:t>
      </w:r>
      <w:r>
        <w:rPr>
          <w:spacing w:val="-52"/>
        </w:rPr>
        <w:t> </w:t>
      </w:r>
      <w:r>
        <w:rPr>
          <w:spacing w:val="-52"/>
        </w:rPr>
      </w:r>
      <w:r>
        <w:rPr>
          <w:spacing w:val="-3"/>
        </w:rPr>
        <w:t>合同编号为兴银深蛇口授信（保证）字（</w:t>
      </w:r>
      <w:r>
        <w:rPr>
          <w:rFonts w:ascii="宋体" w:hAnsi="宋体" w:cs="宋体" w:eastAsia="宋体" w:hint="default"/>
          <w:spacing w:val="-3"/>
        </w:rPr>
        <w:t>2018</w:t>
      </w:r>
      <w:r>
        <w:rPr>
          <w:spacing w:val="-3"/>
        </w:rPr>
        <w:t>）第</w:t>
      </w:r>
      <w:r>
        <w:rPr>
          <w:rFonts w:ascii="宋体" w:hAnsi="宋体" w:cs="宋体" w:eastAsia="宋体" w:hint="default"/>
          <w:spacing w:val="-3"/>
        </w:rPr>
        <w:t>1023A</w:t>
      </w:r>
      <w:r>
        <w:rPr>
          <w:spacing w:val="-3"/>
        </w:rPr>
        <w:t>号、第</w:t>
      </w:r>
      <w:r>
        <w:rPr>
          <w:rFonts w:ascii="宋体" w:hAnsi="宋体" w:cs="宋体" w:eastAsia="宋体" w:hint="default"/>
          <w:spacing w:val="-3"/>
        </w:rPr>
        <w:t>1023B</w:t>
      </w:r>
      <w:r>
        <w:rPr>
          <w:spacing w:val="-3"/>
        </w:rPr>
        <w:t>号《最高额保证合同》，对前述授信合同提供保证担保。</w:t>
      </w:r>
      <w:r>
        <w:rPr>
          <w:spacing w:val="-80"/>
        </w:rPr>
        <w:t> </w:t>
      </w:r>
      <w:r>
        <w:rPr>
          <w:spacing w:val="-80"/>
        </w:rPr>
      </w:r>
      <w:r>
        <w:rPr/>
        <w:t>在前述授信协议项下，本公司于</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6</w:t>
      </w:r>
      <w:r>
        <w:rPr/>
        <w:t>日与兴业银行股份有限公司深圳分行签署了编号为“兴银深蛇口流借字（</w:t>
      </w:r>
      <w:r>
        <w:rPr>
          <w:rFonts w:ascii="宋体" w:hAnsi="宋体" w:cs="宋体" w:eastAsia="宋体" w:hint="default"/>
        </w:rPr>
        <w:t>2018</w:t>
      </w:r>
      <w:r>
        <w:rPr/>
        <w:t>） 第</w:t>
      </w:r>
      <w:r>
        <w:rPr>
          <w:rFonts w:ascii="宋体" w:hAnsi="宋体" w:cs="宋体" w:eastAsia="宋体" w:hint="default"/>
        </w:rPr>
        <w:t>1-108</w:t>
      </w:r>
      <w:r>
        <w:rPr/>
        <w:t>号”的《流动资金借款合同》，于</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9</w:t>
      </w:r>
      <w:r>
        <w:rPr/>
        <w:t>日取得人民币</w:t>
      </w:r>
      <w:r>
        <w:rPr>
          <w:rFonts w:ascii="宋体" w:hAnsi="宋体" w:cs="宋体" w:eastAsia="宋体" w:hint="default"/>
        </w:rPr>
        <w:t>1,000</w:t>
      </w:r>
      <w:r>
        <w:rPr/>
        <w:t>万元的借款，借款期限自</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9</w:t>
      </w:r>
      <w:r>
        <w:rPr/>
        <w:t>日至</w:t>
      </w:r>
      <w:r>
        <w:rPr>
          <w:rFonts w:ascii="宋体" w:hAnsi="宋体" w:cs="宋体" w:eastAsia="宋体" w:hint="default"/>
        </w:rPr>
        <w:t>2019</w:t>
      </w:r>
      <w:r>
        <w:rPr/>
        <w:t>年</w:t>
      </w:r>
      <w:r>
        <w:rPr>
          <w:rFonts w:ascii="宋体" w:hAnsi="宋体" w:cs="宋体" w:eastAsia="宋体" w:hint="default"/>
        </w:rPr>
        <w:t>7 </w:t>
      </w:r>
      <w:r>
        <w:rPr/>
        <w:t>月</w:t>
      </w:r>
      <w:r>
        <w:rPr>
          <w:rFonts w:ascii="宋体" w:hAnsi="宋体" w:cs="宋体" w:eastAsia="宋体" w:hint="default"/>
        </w:rPr>
        <w:t>4</w:t>
      </w:r>
      <w:r>
        <w:rPr/>
        <w:t>日止，截止</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日尚未到期；公司于</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6</w:t>
      </w:r>
      <w:r>
        <w:rPr/>
        <w:t>日与兴业银行股份有限公司深圳分行签署了编号为“兴银深蛇 口流借字（</w:t>
      </w:r>
      <w:r>
        <w:rPr>
          <w:rFonts w:ascii="宋体" w:hAnsi="宋体" w:cs="宋体" w:eastAsia="宋体" w:hint="default"/>
        </w:rPr>
        <w:t>2018</w:t>
      </w:r>
      <w:r>
        <w:rPr/>
        <w:t>）第</w:t>
      </w:r>
      <w:r>
        <w:rPr>
          <w:rFonts w:ascii="宋体" w:hAnsi="宋体" w:cs="宋体" w:eastAsia="宋体" w:hint="default"/>
        </w:rPr>
        <w:t>1-111</w:t>
      </w:r>
      <w:r>
        <w:rPr/>
        <w:t>号”的《流动资金借款合同》，于</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17</w:t>
      </w:r>
      <w:r>
        <w:rPr/>
        <w:t>日取得人民币</w:t>
      </w:r>
      <w:r>
        <w:rPr>
          <w:rFonts w:ascii="宋体" w:hAnsi="宋体" w:cs="宋体" w:eastAsia="宋体" w:hint="default"/>
        </w:rPr>
        <w:t>1,000</w:t>
      </w:r>
      <w:r>
        <w:rPr/>
        <w:t>万元的借款，借款期限自</w:t>
      </w:r>
      <w:r>
        <w:rPr>
          <w:rFonts w:ascii="宋体" w:hAnsi="宋体" w:cs="宋体" w:eastAsia="宋体" w:hint="default"/>
        </w:rPr>
        <w:t>2018 </w:t>
      </w:r>
      <w:r>
        <w:rPr/>
        <w:t>年</w:t>
      </w:r>
      <w:r>
        <w:rPr>
          <w:rFonts w:ascii="宋体" w:hAnsi="宋体" w:cs="宋体" w:eastAsia="宋体" w:hint="default"/>
        </w:rPr>
        <w:t>8</w:t>
      </w:r>
      <w:r>
        <w:rPr/>
        <w:t>月</w:t>
      </w:r>
      <w:r>
        <w:rPr>
          <w:rFonts w:ascii="宋体" w:hAnsi="宋体" w:cs="宋体" w:eastAsia="宋体" w:hint="default"/>
        </w:rPr>
        <w:t>17</w:t>
      </w:r>
      <w:r>
        <w:rPr/>
        <w:t>日至</w:t>
      </w:r>
      <w:r>
        <w:rPr>
          <w:rFonts w:ascii="宋体" w:hAnsi="宋体" w:cs="宋体" w:eastAsia="宋体" w:hint="default"/>
        </w:rPr>
        <w:t>2019</w:t>
      </w:r>
      <w:r>
        <w:rPr/>
        <w:t>年</w:t>
      </w:r>
      <w:r>
        <w:rPr>
          <w:rFonts w:ascii="宋体" w:hAnsi="宋体" w:cs="宋体" w:eastAsia="宋体" w:hint="default"/>
        </w:rPr>
        <w:t>7</w:t>
      </w:r>
      <w:r>
        <w:rPr/>
        <w:t>月</w:t>
      </w:r>
      <w:r>
        <w:rPr>
          <w:rFonts w:ascii="宋体" w:hAnsi="宋体" w:cs="宋体" w:eastAsia="宋体" w:hint="default"/>
        </w:rPr>
        <w:t>4</w:t>
      </w:r>
      <w:r>
        <w:rPr/>
        <w:t>日止，截止</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日尚未到期。</w:t>
      </w:r>
    </w:p>
    <w:p>
      <w:pPr>
        <w:pStyle w:val="BodyText"/>
        <w:spacing w:line="316" w:lineRule="auto" w:before="19"/>
        <w:ind w:right="1130" w:firstLine="360"/>
        <w:jc w:val="both"/>
      </w:pPr>
      <w:r>
        <w:rPr>
          <w:rFonts w:ascii="宋体" w:hAnsi="宋体" w:cs="宋体" w:eastAsia="宋体" w:hint="default"/>
        </w:rPr>
        <w:t>2018</w:t>
      </w:r>
      <w:r>
        <w:rPr/>
        <w:t>年</w:t>
      </w:r>
      <w:r>
        <w:rPr>
          <w:rFonts w:ascii="宋体" w:hAnsi="宋体" w:cs="宋体" w:eastAsia="宋体" w:hint="default"/>
        </w:rPr>
        <w:t>7</w:t>
      </w:r>
      <w:r>
        <w:rPr/>
        <w:t>月</w:t>
      </w:r>
      <w:r>
        <w:rPr>
          <w:rFonts w:ascii="宋体" w:hAnsi="宋体" w:cs="宋体" w:eastAsia="宋体" w:hint="default"/>
        </w:rPr>
        <w:t>3</w:t>
      </w:r>
      <w:r>
        <w:rPr/>
        <w:t>日，浙商银行股份有限公司深圳分行向本公司提供人民币</w:t>
      </w:r>
      <w:r>
        <w:rPr>
          <w:rFonts w:ascii="宋体" w:hAnsi="宋体" w:cs="宋体" w:eastAsia="宋体" w:hint="default"/>
        </w:rPr>
        <w:t>12,000</w:t>
      </w:r>
      <w:r>
        <w:rPr/>
        <w:t>万元的综合授信额度，授信期限自</w:t>
      </w:r>
      <w:r>
        <w:rPr>
          <w:rFonts w:ascii="宋体" w:hAnsi="宋体" w:cs="宋体" w:eastAsia="宋体" w:hint="default"/>
        </w:rPr>
        <w:t>2018</w:t>
      </w:r>
      <w:r>
        <w:rPr/>
        <w:t>年</w:t>
      </w:r>
      <w:r>
        <w:rPr>
          <w:rFonts w:ascii="宋体" w:hAnsi="宋体" w:cs="宋体" w:eastAsia="宋体" w:hint="default"/>
        </w:rPr>
        <w:t>7 </w:t>
      </w:r>
      <w:r>
        <w:rPr>
          <w:spacing w:val="-2"/>
        </w:rPr>
        <w:t>月</w:t>
      </w:r>
      <w:r>
        <w:rPr>
          <w:rFonts w:ascii="宋体" w:hAnsi="宋体" w:cs="宋体" w:eastAsia="宋体" w:hint="default"/>
          <w:spacing w:val="-2"/>
        </w:rPr>
        <w:t>3</w:t>
      </w:r>
      <w:r>
        <w:rPr>
          <w:spacing w:val="-2"/>
        </w:rPr>
        <w:t>日起至</w:t>
      </w:r>
      <w:r>
        <w:rPr>
          <w:rFonts w:ascii="宋体" w:hAnsi="宋体" w:cs="宋体" w:eastAsia="宋体" w:hint="default"/>
          <w:spacing w:val="-2"/>
        </w:rPr>
        <w:t>2019</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24</w:t>
      </w:r>
      <w:r>
        <w:rPr>
          <w:spacing w:val="-2"/>
        </w:rPr>
        <w:t>日止，本公司实际控制人郭颂、刘丹与浙商银行股份有限公司深圳分行签署编号为：</w:t>
      </w:r>
      <w:r>
        <w:rPr>
          <w:rFonts w:ascii="宋体" w:hAnsi="宋体" w:cs="宋体" w:eastAsia="宋体" w:hint="default"/>
          <w:spacing w:val="-2"/>
        </w:rPr>
        <w:t>584300</w:t>
      </w:r>
      <w:r>
        <w:rPr>
          <w:spacing w:val="-2"/>
        </w:rPr>
        <w:t>浙商银高</w:t>
      </w:r>
      <w:r>
        <w:rPr>
          <w:spacing w:val="-51"/>
        </w:rPr>
        <w:t> </w:t>
      </w:r>
      <w:r>
        <w:rPr>
          <w:spacing w:val="-2"/>
        </w:rPr>
        <w:t>保字</w:t>
      </w:r>
      <w:r>
        <w:rPr>
          <w:rFonts w:ascii="宋体" w:hAnsi="宋体" w:cs="宋体" w:eastAsia="宋体" w:hint="default"/>
          <w:spacing w:val="-2"/>
        </w:rPr>
        <w:t>2018</w:t>
      </w:r>
      <w:r>
        <w:rPr>
          <w:spacing w:val="-2"/>
        </w:rPr>
        <w:t>第</w:t>
      </w:r>
      <w:r>
        <w:rPr>
          <w:rFonts w:ascii="宋体" w:hAnsi="宋体" w:cs="宋体" w:eastAsia="宋体" w:hint="default"/>
          <w:spacing w:val="-2"/>
        </w:rPr>
        <w:t>07031</w:t>
      </w:r>
      <w:r>
        <w:rPr>
          <w:spacing w:val="-2"/>
        </w:rPr>
        <w:t>号的《最高额保证合同》，对前述授信提供保证担保。本公司于</w:t>
      </w:r>
      <w:r>
        <w:rPr>
          <w:rFonts w:ascii="宋体" w:hAnsi="宋体" w:cs="宋体" w:eastAsia="宋体" w:hint="default"/>
          <w:spacing w:val="-2"/>
        </w:rPr>
        <w:t>2018</w:t>
      </w:r>
      <w:r>
        <w:rPr>
          <w:spacing w:val="-2"/>
        </w:rPr>
        <w:t>年</w:t>
      </w:r>
      <w:r>
        <w:rPr>
          <w:rFonts w:ascii="宋体" w:hAnsi="宋体" w:cs="宋体" w:eastAsia="宋体" w:hint="default"/>
          <w:spacing w:val="-2"/>
        </w:rPr>
        <w:t>9</w:t>
      </w:r>
      <w:r>
        <w:rPr>
          <w:spacing w:val="-2"/>
        </w:rPr>
        <w:t>月</w:t>
      </w:r>
      <w:r>
        <w:rPr>
          <w:rFonts w:ascii="宋体" w:hAnsi="宋体" w:cs="宋体" w:eastAsia="宋体" w:hint="default"/>
          <w:spacing w:val="-2"/>
        </w:rPr>
        <w:t>29</w:t>
      </w:r>
      <w:r>
        <w:rPr>
          <w:spacing w:val="-2"/>
        </w:rPr>
        <w:t>日与浙商银行股份有限公司深</w:t>
      </w:r>
      <w:r>
        <w:rPr>
          <w:spacing w:val="-50"/>
        </w:rPr>
        <w:t> </w:t>
      </w:r>
      <w:r>
        <w:rPr>
          <w:spacing w:val="-2"/>
        </w:rPr>
        <w:t>圳分行签署了编号为“</w:t>
      </w:r>
      <w:r>
        <w:rPr>
          <w:rFonts w:ascii="宋体" w:hAnsi="宋体" w:cs="宋体" w:eastAsia="宋体" w:hint="default"/>
          <w:spacing w:val="-2"/>
        </w:rPr>
        <w:t>20924000</w:t>
      </w:r>
      <w:r>
        <w:rPr>
          <w:spacing w:val="-2"/>
        </w:rPr>
        <w:t>浙商银借字</w:t>
      </w:r>
      <w:r>
        <w:rPr>
          <w:rFonts w:ascii="宋体" w:hAnsi="宋体" w:cs="宋体" w:eastAsia="宋体" w:hint="default"/>
          <w:spacing w:val="-2"/>
        </w:rPr>
        <w:t>2018</w:t>
      </w:r>
      <w:r>
        <w:rPr>
          <w:spacing w:val="-2"/>
        </w:rPr>
        <w:t>第</w:t>
      </w:r>
      <w:r>
        <w:rPr>
          <w:rFonts w:ascii="宋体" w:hAnsi="宋体" w:cs="宋体" w:eastAsia="宋体" w:hint="default"/>
          <w:spacing w:val="-2"/>
        </w:rPr>
        <w:t>00471</w:t>
      </w:r>
      <w:r>
        <w:rPr>
          <w:spacing w:val="-2"/>
        </w:rPr>
        <w:t>号”的《借款合同》，于</w:t>
      </w:r>
      <w:r>
        <w:rPr>
          <w:rFonts w:ascii="宋体" w:hAnsi="宋体" w:cs="宋体" w:eastAsia="宋体" w:hint="default"/>
          <w:spacing w:val="-2"/>
        </w:rPr>
        <w:t>2018</w:t>
      </w:r>
      <w:r>
        <w:rPr>
          <w:spacing w:val="-2"/>
        </w:rPr>
        <w:t>年</w:t>
      </w:r>
      <w:r>
        <w:rPr>
          <w:rFonts w:ascii="宋体" w:hAnsi="宋体" w:cs="宋体" w:eastAsia="宋体" w:hint="default"/>
          <w:spacing w:val="-2"/>
        </w:rPr>
        <w:t>9</w:t>
      </w:r>
      <w:r>
        <w:rPr>
          <w:spacing w:val="-2"/>
        </w:rPr>
        <w:t>月</w:t>
      </w:r>
      <w:r>
        <w:rPr>
          <w:rFonts w:ascii="宋体" w:hAnsi="宋体" w:cs="宋体" w:eastAsia="宋体" w:hint="default"/>
          <w:spacing w:val="-2"/>
        </w:rPr>
        <w:t>29</w:t>
      </w:r>
      <w:r>
        <w:rPr>
          <w:spacing w:val="-2"/>
        </w:rPr>
        <w:t>日取得人民币</w:t>
      </w:r>
      <w:r>
        <w:rPr>
          <w:rFonts w:ascii="宋体" w:hAnsi="宋体" w:cs="宋体" w:eastAsia="宋体" w:hint="default"/>
          <w:spacing w:val="-2"/>
        </w:rPr>
        <w:t>1,000.00</w:t>
      </w:r>
      <w:r>
        <w:rPr>
          <w:spacing w:val="-2"/>
        </w:rPr>
        <w:t>万元的</w:t>
      </w:r>
      <w:r>
        <w:rPr>
          <w:spacing w:val="-34"/>
        </w:rPr>
        <w:t> </w:t>
      </w:r>
      <w:r>
        <w:rPr/>
        <w:t>借款，借款期限自</w:t>
      </w:r>
      <w:r>
        <w:rPr>
          <w:rFonts w:ascii="宋体" w:hAnsi="宋体" w:cs="宋体" w:eastAsia="宋体" w:hint="default"/>
        </w:rPr>
        <w:t>2018</w:t>
      </w:r>
      <w:r>
        <w:rPr/>
        <w:t>年</w:t>
      </w:r>
      <w:r>
        <w:rPr>
          <w:rFonts w:ascii="宋体" w:hAnsi="宋体" w:cs="宋体" w:eastAsia="宋体" w:hint="default"/>
        </w:rPr>
        <w:t>9</w:t>
      </w:r>
      <w:r>
        <w:rPr/>
        <w:t>月</w:t>
      </w:r>
      <w:r>
        <w:rPr>
          <w:rFonts w:ascii="宋体" w:hAnsi="宋体" w:cs="宋体" w:eastAsia="宋体" w:hint="default"/>
        </w:rPr>
        <w:t>29</w:t>
      </w:r>
      <w:r>
        <w:rPr/>
        <w:t>日至</w:t>
      </w:r>
      <w:r>
        <w:rPr>
          <w:rFonts w:ascii="宋体" w:hAnsi="宋体" w:cs="宋体" w:eastAsia="宋体" w:hint="default"/>
        </w:rPr>
        <w:t>2019</w:t>
      </w:r>
      <w:r>
        <w:rPr/>
        <w:t>年</w:t>
      </w:r>
      <w:r>
        <w:rPr>
          <w:rFonts w:ascii="宋体" w:hAnsi="宋体" w:cs="宋体" w:eastAsia="宋体" w:hint="default"/>
        </w:rPr>
        <w:t>9</w:t>
      </w:r>
      <w:r>
        <w:rPr/>
        <w:t>月</w:t>
      </w:r>
      <w:r>
        <w:rPr>
          <w:rFonts w:ascii="宋体" w:hAnsi="宋体" w:cs="宋体" w:eastAsia="宋体" w:hint="default"/>
        </w:rPr>
        <w:t>29</w:t>
      </w:r>
      <w:r>
        <w:rPr/>
        <w:t>日止。截止</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日尚未到期。</w:t>
      </w:r>
    </w:p>
    <w:p>
      <w:pPr>
        <w:pStyle w:val="BodyText"/>
        <w:spacing w:line="316" w:lineRule="auto" w:before="19"/>
        <w:ind w:right="1139" w:firstLine="360"/>
        <w:jc w:val="both"/>
      </w:pP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29</w:t>
      </w:r>
      <w:r>
        <w:rPr/>
        <w:t>日，本公司向招商银行深圳高新园支行开立编号为</w:t>
      </w:r>
      <w:r>
        <w:rPr>
          <w:rFonts w:ascii="宋体" w:hAnsi="宋体" w:cs="宋体" w:eastAsia="宋体" w:hint="default"/>
        </w:rPr>
        <w:t>LC7551800031</w:t>
      </w:r>
      <w:r>
        <w:rPr/>
        <w:t>和</w:t>
      </w:r>
      <w:r>
        <w:rPr>
          <w:rFonts w:ascii="宋体" w:hAnsi="宋体" w:cs="宋体" w:eastAsia="宋体" w:hint="default"/>
        </w:rPr>
        <w:t>LC7551800032</w:t>
      </w:r>
      <w:r>
        <w:rPr/>
        <w:t>的国内信用证，信用证金 额分别为人民币</w:t>
      </w:r>
      <w:r>
        <w:rPr>
          <w:rFonts w:ascii="宋体" w:hAnsi="宋体" w:cs="宋体" w:eastAsia="宋体" w:hint="default"/>
        </w:rPr>
        <w:t>13,000,000.00</w:t>
      </w:r>
      <w:r>
        <w:rPr/>
        <w:t>元和</w:t>
      </w:r>
      <w:r>
        <w:rPr>
          <w:rFonts w:ascii="宋体" w:hAnsi="宋体" w:cs="宋体" w:eastAsia="宋体" w:hint="default"/>
        </w:rPr>
        <w:t>7,000,000.00</w:t>
      </w:r>
      <w:r>
        <w:rPr/>
        <w:t>元。有效期间为</w:t>
      </w: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29</w:t>
      </w:r>
      <w:r>
        <w:rPr/>
        <w:t>日至</w:t>
      </w:r>
      <w:r>
        <w:rPr>
          <w:rFonts w:ascii="宋体" w:hAnsi="宋体" w:cs="宋体" w:eastAsia="宋体" w:hint="default"/>
        </w:rPr>
        <w:t>2019</w:t>
      </w:r>
      <w:r>
        <w:rPr/>
        <w:t>年</w:t>
      </w:r>
      <w:r>
        <w:rPr>
          <w:rFonts w:ascii="宋体" w:hAnsi="宋体" w:cs="宋体" w:eastAsia="宋体" w:hint="default"/>
        </w:rPr>
        <w:t>2</w:t>
      </w:r>
      <w:r>
        <w:rPr/>
        <w:t>月</w:t>
      </w:r>
      <w:r>
        <w:rPr>
          <w:rFonts w:ascii="宋体" w:hAnsi="宋体" w:cs="宋体" w:eastAsia="宋体" w:hint="default"/>
        </w:rPr>
        <w:t>24</w:t>
      </w:r>
      <w:r>
        <w:rPr/>
        <w:t>日。受益人分别为本公司之 子公司优金支付公司和优博讯软件公司。截止</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日，上述信用证已议付。</w:t>
      </w:r>
    </w:p>
    <w:p>
      <w:pPr>
        <w:spacing w:line="240" w:lineRule="auto" w:before="7"/>
        <w:rPr>
          <w:rFonts w:ascii="宋体" w:hAnsi="宋体" w:cs="宋体" w:eastAsia="宋体" w:hint="default"/>
          <w:sz w:val="22"/>
          <w:szCs w:val="22"/>
        </w:rPr>
      </w:pPr>
    </w:p>
    <w:p>
      <w:pPr>
        <w:pStyle w:val="Heading3"/>
        <w:spacing w:line="240" w:lineRule="auto"/>
        <w:ind w:right="0"/>
        <w:jc w:val="both"/>
        <w:rPr>
          <w:b w:val="0"/>
          <w:bCs w:val="0"/>
        </w:rPr>
      </w:pPr>
      <w:bookmarkStart w:name="16、应付票据及应付账款" w:id="247"/>
      <w:bookmarkEnd w:id="247"/>
      <w:r>
        <w:rPr>
          <w:b w:val="0"/>
          <w:bCs w:val="0"/>
        </w:rPr>
      </w:r>
      <w:r>
        <w:rPr>
          <w:rFonts w:ascii="Times New Roman" w:hAnsi="Times New Roman" w:cs="Times New Roman" w:eastAsia="Times New Roman" w:hint="default"/>
        </w:rPr>
        <w:t>16</w:t>
      </w:r>
      <w:r>
        <w:rPr/>
        <w:t>、应付票据及应付账款</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35,341,384.20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8,808,784.69</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102,678,836.39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49,300,469.40</w:t>
            </w: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138,020,220.59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58,109,254.09</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1）应付票据分类列示" w:id="248"/>
      <w:bookmarkEnd w:id="248"/>
      <w:r>
        <w:rPr>
          <w:b w:val="0"/>
          <w:bCs w:val="0"/>
        </w:rPr>
      </w:r>
      <w:r>
        <w:rPr/>
        <w:t>（</w:t>
      </w:r>
      <w:r>
        <w:rPr>
          <w:rFonts w:ascii="Times New Roman" w:hAnsi="Times New Roman" w:cs="Times New Roman" w:eastAsia="Times New Roman" w:hint="default"/>
        </w:rPr>
        <w:t>1</w:t>
      </w:r>
      <w:r>
        <w:rPr/>
        <w:t>）应付票据分类列示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种类</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35,341,384.20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8,808,784.69</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35,341,384.20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8,808,784.69</w:t>
            </w:r>
          </w:p>
        </w:tc>
      </w:tr>
    </w:tbl>
    <w:p>
      <w:pPr>
        <w:pStyle w:val="BodyText"/>
        <w:spacing w:line="240" w:lineRule="auto" w:before="51"/>
        <w:ind w:right="1134"/>
        <w:jc w:val="left"/>
      </w:pPr>
      <w:r>
        <w:rPr/>
        <w:t>本期末已到期未支付的应付票据总额为</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240" w:lineRule="auto" w:before="10"/>
        <w:rPr>
          <w:rFonts w:ascii="宋体" w:hAnsi="宋体" w:cs="宋体" w:eastAsia="宋体" w:hint="default"/>
          <w:sz w:val="25"/>
          <w:szCs w:val="25"/>
        </w:rPr>
      </w:pPr>
    </w:p>
    <w:p>
      <w:pPr>
        <w:pStyle w:val="Heading3"/>
        <w:spacing w:line="240" w:lineRule="auto"/>
        <w:ind w:right="1134"/>
        <w:jc w:val="left"/>
        <w:rPr>
          <w:b w:val="0"/>
          <w:bCs w:val="0"/>
        </w:rPr>
      </w:pPr>
      <w:bookmarkStart w:name="（2）应付账款列示" w:id="249"/>
      <w:bookmarkEnd w:id="249"/>
      <w:r>
        <w:rPr>
          <w:b w:val="0"/>
          <w:bCs w:val="0"/>
        </w:rPr>
      </w:r>
      <w:r>
        <w:rPr/>
        <w:t>（</w:t>
      </w:r>
      <w:r>
        <w:rPr>
          <w:rFonts w:ascii="Times New Roman" w:hAnsi="Times New Roman" w:cs="Times New Roman" w:eastAsia="Times New Roman" w:hint="default"/>
        </w:rPr>
        <w:t>2</w:t>
      </w:r>
      <w:r>
        <w:rPr/>
        <w:t>）应付账款列示</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77"/>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应付供应商货款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100,738,594.50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49,054,159.72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应付未付费用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1,940,241.89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246,309.68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102,678,836.39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49,300,469.40</w:t>
            </w:r>
          </w:p>
        </w:tc>
      </w:tr>
    </w:tbl>
    <w:p>
      <w:pPr>
        <w:spacing w:line="240" w:lineRule="auto" w:before="3"/>
        <w:rPr>
          <w:rFonts w:ascii="宋体" w:hAnsi="宋体" w:cs="宋体" w:eastAsia="宋体" w:hint="default"/>
          <w:sz w:val="19"/>
          <w:szCs w:val="19"/>
        </w:rPr>
      </w:pPr>
    </w:p>
    <w:p>
      <w:pPr>
        <w:pStyle w:val="Heading3"/>
        <w:spacing w:line="240" w:lineRule="auto" w:before="35"/>
        <w:ind w:right="1134"/>
        <w:jc w:val="left"/>
        <w:rPr>
          <w:b w:val="0"/>
          <w:bCs w:val="0"/>
        </w:rPr>
      </w:pPr>
      <w:bookmarkStart w:name="17、预收款项" w:id="250"/>
      <w:bookmarkEnd w:id="250"/>
      <w:r>
        <w:rPr>
          <w:b w:val="0"/>
          <w:bCs w:val="0"/>
        </w:rPr>
      </w:r>
      <w:r>
        <w:rPr>
          <w:rFonts w:ascii="Times New Roman" w:hAnsi="Times New Roman" w:cs="Times New Roman" w:eastAsia="Times New Roman" w:hint="default"/>
        </w:rPr>
        <w:t>17</w:t>
      </w:r>
      <w:r>
        <w:rPr/>
        <w:t>、预收款项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预收款项列示" w:id="251"/>
      <w:bookmarkEnd w:id="251"/>
      <w:r>
        <w:rPr>
          <w:b w:val="0"/>
          <w:bCs w:val="0"/>
        </w:rPr>
      </w:r>
      <w:r>
        <w:rPr/>
        <w:t>（</w:t>
      </w:r>
      <w:r>
        <w:rPr>
          <w:rFonts w:ascii="Times New Roman" w:hAnsi="Times New Roman" w:cs="Times New Roman" w:eastAsia="Times New Roman" w:hint="default"/>
        </w:rPr>
        <w:t>1</w:t>
      </w:r>
      <w:r>
        <w:rPr/>
        <w:t>）预收款项列示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预收货款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16,357,405.97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11,514,828.35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16,357,405.97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11,514,828.35</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18、应付职工薪酬" w:id="252"/>
      <w:bookmarkEnd w:id="252"/>
      <w:r>
        <w:rPr>
          <w:b w:val="0"/>
          <w:bCs w:val="0"/>
        </w:rPr>
      </w:r>
      <w:r>
        <w:rPr>
          <w:rFonts w:ascii="Times New Roman" w:hAnsi="Times New Roman" w:cs="Times New Roman" w:eastAsia="Times New Roman" w:hint="default"/>
        </w:rPr>
        <w:t>18</w:t>
      </w:r>
      <w:r>
        <w:rPr/>
        <w:t>、应付职工薪酬</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应付职工薪酬列示" w:id="253"/>
      <w:bookmarkEnd w:id="253"/>
      <w:r>
        <w:rPr>
          <w:b w:val="0"/>
          <w:bCs w:val="0"/>
        </w:rPr>
      </w:r>
      <w:r>
        <w:rPr/>
        <w:t>（</w:t>
      </w:r>
      <w:r>
        <w:rPr>
          <w:rFonts w:ascii="Times New Roman" w:hAnsi="Times New Roman" w:cs="Times New Roman" w:eastAsia="Times New Roman" w:hint="default"/>
        </w:rPr>
        <w:t>1</w:t>
      </w:r>
      <w:r>
        <w:rPr/>
        <w:t>）应付职工薪酬列示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387"/>
        <w:gridCol w:w="1802"/>
        <w:gridCol w:w="1790"/>
        <w:gridCol w:w="1790"/>
        <w:gridCol w:w="1790"/>
      </w:tblGrid>
      <w:tr>
        <w:trPr>
          <w:trHeight w:val="402" w:hRule="exact"/>
        </w:trPr>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4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29"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29"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3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8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9,884,316.04</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86,105,647.78</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75,988,777.07</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20,001,186.75</w:t>
            </w:r>
          </w:p>
        </w:tc>
      </w:tr>
      <w:tr>
        <w:trPr>
          <w:trHeight w:val="402" w:hRule="exact"/>
        </w:trPr>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pacing w:val="-4"/>
                <w:sz w:val="18"/>
                <w:szCs w:val="18"/>
              </w:rPr>
              <w:t>二、离职后福利</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设定提存计划</w:t>
            </w:r>
          </w:p>
        </w:tc>
        <w:tc>
          <w:tcPr>
            <w:tcW w:w="1802" w:type="dxa"/>
            <w:tcBorders>
              <w:top w:val="single" w:sz="4" w:space="0" w:color="000000"/>
              <w:left w:val="single" w:sz="13" w:space="0" w:color="D2D2D2"/>
              <w:bottom w:val="single" w:sz="4" w:space="0" w:color="000000"/>
              <w:right w:val="single" w:sz="4" w:space="0" w:color="000000"/>
            </w:tcBorders>
          </w:tcPr>
          <w:p>
            <w:pP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3,242,062.74</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3,242,062.74</w:t>
            </w:r>
          </w:p>
        </w:tc>
        <w:tc>
          <w:tcPr>
            <w:tcW w:w="17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8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67,320.00</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103,924.00</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149,744.00</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21,500.00</w:t>
            </w:r>
          </w:p>
        </w:tc>
      </w:tr>
      <w:tr>
        <w:trPr>
          <w:trHeight w:val="402" w:hRule="exact"/>
        </w:trPr>
        <w:tc>
          <w:tcPr>
            <w:tcW w:w="23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9,951,636.04</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89,451,634.52</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79,380,583.81</w:t>
            </w:r>
          </w:p>
        </w:tc>
        <w:tc>
          <w:tcPr>
            <w:tcW w:w="1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20,022,686.75</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短期薪酬列示" w:id="254"/>
      <w:bookmarkEnd w:id="254"/>
      <w:r>
        <w:rPr>
          <w:b w:val="0"/>
          <w:bCs w:val="0"/>
        </w:rPr>
      </w:r>
      <w:r>
        <w:rPr/>
        <w:t>（</w:t>
      </w:r>
      <w:r>
        <w:rPr>
          <w:rFonts w:ascii="Times New Roman" w:hAnsi="Times New Roman" w:cs="Times New Roman" w:eastAsia="Times New Roman" w:hint="default"/>
        </w:rPr>
        <w:t>2</w:t>
      </w:r>
      <w:r>
        <w:rPr/>
        <w:t>）短期薪酬列示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2529"/>
        <w:gridCol w:w="1288"/>
        <w:gridCol w:w="1914"/>
        <w:gridCol w:w="1914"/>
        <w:gridCol w:w="1914"/>
      </w:tblGrid>
      <w:tr>
        <w:trPr>
          <w:trHeight w:val="402"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、工资、奖金、津贴和补贴</w:t>
            </w:r>
          </w:p>
        </w:tc>
        <w:tc>
          <w:tcPr>
            <w:tcW w:w="12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9,831,436.51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82,377,214.97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72,207,464.73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20,001,186.75</w:t>
            </w:r>
          </w:p>
        </w:tc>
      </w:tr>
      <w:tr>
        <w:trPr>
          <w:trHeight w:val="402"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28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1,344,942.29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1,344,942.29</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28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1,228,033.00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1,228,033.00</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71"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28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1,033,599.36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1,033,599.36</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1"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28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79,382.69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79,382.69</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1"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28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115,050.95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115,050.95</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28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1,090,368.05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1,090,368.05</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、工会经费和职工教育经费</w:t>
            </w:r>
          </w:p>
        </w:tc>
        <w:tc>
          <w:tcPr>
            <w:tcW w:w="12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52,879.53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65,089.47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117,969.00</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5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9,884,316.04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86,105,647.78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75,988,777.07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20,001,186.75</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right="1134"/>
        <w:jc w:val="left"/>
        <w:rPr>
          <w:b w:val="0"/>
          <w:bCs w:val="0"/>
        </w:rPr>
      </w:pPr>
      <w:bookmarkStart w:name="（3）设定提存计划列示" w:id="255"/>
      <w:bookmarkEnd w:id="255"/>
      <w:r>
        <w:rPr>
          <w:b w:val="0"/>
          <w:bCs w:val="0"/>
        </w:rPr>
      </w:r>
      <w:r>
        <w:rPr/>
        <w:t>（</w:t>
      </w:r>
      <w:r>
        <w:rPr>
          <w:rFonts w:ascii="Times New Roman" w:hAnsi="Times New Roman" w:cs="Times New Roman" w:eastAsia="Times New Roman" w:hint="default"/>
        </w:rPr>
        <w:t>3</w:t>
      </w:r>
      <w:r>
        <w:rPr/>
        <w:t>）设定提存计划列示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3,116,563.86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3,116,563.86</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125,498.88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125,498.88</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3,242,062.74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3,242,062.74</w:t>
            </w: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19、应交税费" w:id="256"/>
      <w:bookmarkEnd w:id="256"/>
      <w:r>
        <w:rPr>
          <w:b w:val="0"/>
          <w:bCs w:val="0"/>
        </w:rPr>
      </w:r>
      <w:r>
        <w:rPr>
          <w:rFonts w:ascii="Times New Roman" w:hAnsi="Times New Roman" w:cs="Times New Roman" w:eastAsia="Times New Roman" w:hint="default"/>
        </w:rPr>
        <w:t>19</w:t>
      </w:r>
      <w:r>
        <w:rPr/>
        <w:t>、应交税费</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2,389,813.00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4,083,636.17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6,090,670.49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1,417,584.06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285,298.91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437,470.97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4"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364,250.15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230,139.21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156,107.20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98,615.66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103,772.75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65,260.17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103,627.82</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201,142.96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82,707.40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9,694,683.28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6,415,413.64</w:t>
            </w:r>
          </w:p>
        </w:tc>
      </w:tr>
    </w:tbl>
    <w:p>
      <w:pPr>
        <w:pStyle w:val="BodyText"/>
        <w:spacing w:line="302" w:lineRule="auto" w:before="51"/>
        <w:ind w:right="1173"/>
        <w:jc w:val="left"/>
      </w:pPr>
      <w:r>
        <w:rPr/>
        <w:t>其他说明：应交税费期末余额较期初余额增加 </w:t>
      </w:r>
      <w:r>
        <w:rPr>
          <w:rFonts w:ascii="Times New Roman" w:hAnsi="Times New Roman" w:cs="Times New Roman" w:eastAsia="Times New Roman" w:hint="default"/>
        </w:rPr>
        <w:t>3,279,269.64 </w:t>
      </w:r>
      <w:r>
        <w:rPr/>
        <w:t>元，增加比例</w:t>
      </w:r>
      <w:r>
        <w:rPr>
          <w:spacing w:val="-66"/>
        </w:rPr>
        <w:t> </w:t>
      </w:r>
      <w:r>
        <w:rPr>
          <w:rFonts w:ascii="Times New Roman" w:hAnsi="Times New Roman" w:cs="Times New Roman" w:eastAsia="Times New Roman" w:hint="default"/>
        </w:rPr>
        <w:t>51.12%</w:t>
      </w:r>
      <w:r>
        <w:rPr/>
        <w:t>，主要原因系销售规模扩大导致相应的税 费增加。</w:t>
      </w:r>
    </w:p>
    <w:p>
      <w:pPr>
        <w:spacing w:line="240" w:lineRule="auto" w:before="2"/>
        <w:rPr>
          <w:rFonts w:ascii="宋体" w:hAnsi="宋体" w:cs="宋体" w:eastAsia="宋体" w:hint="default"/>
          <w:sz w:val="23"/>
          <w:szCs w:val="23"/>
        </w:rPr>
      </w:pPr>
    </w:p>
    <w:p>
      <w:pPr>
        <w:pStyle w:val="Heading3"/>
        <w:spacing w:line="240" w:lineRule="auto"/>
        <w:ind w:right="1134"/>
        <w:jc w:val="left"/>
        <w:rPr>
          <w:b w:val="0"/>
          <w:bCs w:val="0"/>
        </w:rPr>
      </w:pPr>
      <w:bookmarkStart w:name="20、其他应付款" w:id="257"/>
      <w:bookmarkEnd w:id="257"/>
      <w:r>
        <w:rPr>
          <w:b w:val="0"/>
          <w:bCs w:val="0"/>
        </w:rPr>
      </w:r>
      <w:r>
        <w:rPr>
          <w:rFonts w:ascii="Times New Roman" w:hAnsi="Times New Roman" w:cs="Times New Roman" w:eastAsia="Times New Roman" w:hint="default"/>
        </w:rPr>
        <w:t>20</w:t>
      </w:r>
      <w:r>
        <w:rPr/>
        <w:t>、其他应付款</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276,018.89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29,299.44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50,870,462.62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72,919,640.47</w:t>
            </w: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51,146,481.51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72,948,939.91</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1）应付利息" w:id="258"/>
      <w:bookmarkEnd w:id="258"/>
      <w:r>
        <w:rPr>
          <w:b w:val="0"/>
          <w:bCs w:val="0"/>
        </w:rPr>
      </w:r>
      <w:r>
        <w:rPr/>
        <w:t>（</w:t>
      </w:r>
      <w:r>
        <w:rPr>
          <w:rFonts w:ascii="Times New Roman" w:hAnsi="Times New Roman" w:cs="Times New Roman" w:eastAsia="Times New Roman" w:hint="default"/>
        </w:rPr>
        <w:t>1</w:t>
      </w:r>
      <w:r>
        <w:rPr/>
        <w:t>）应付利息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276,018.89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29,299.44</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276,018.89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29,299.44</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right="1134"/>
        <w:jc w:val="left"/>
        <w:rPr>
          <w:b w:val="0"/>
          <w:bCs w:val="0"/>
        </w:rPr>
      </w:pPr>
      <w:bookmarkStart w:name="（2）其他应付款" w:id="259"/>
      <w:bookmarkEnd w:id="259"/>
      <w:r>
        <w:rPr>
          <w:b w:val="0"/>
          <w:bCs w:val="0"/>
        </w:rPr>
      </w:r>
      <w:r>
        <w:rPr/>
        <w:t>（</w:t>
      </w:r>
      <w:r>
        <w:rPr>
          <w:rFonts w:ascii="Times New Roman" w:hAnsi="Times New Roman" w:cs="Times New Roman" w:eastAsia="Times New Roman" w:hint="default"/>
        </w:rPr>
        <w:t>2</w:t>
      </w:r>
      <w:r>
        <w:rPr/>
        <w:t>）其他应付款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1134"/>
        <w:jc w:val="left"/>
      </w:pPr>
      <w:r>
        <w:rPr>
          <w:rFonts w:ascii="Times New Roman" w:hAnsi="Times New Roman" w:cs="Times New Roman" w:eastAsia="Times New Roman" w:hint="default"/>
        </w:rPr>
        <w:t>1)</w:t>
      </w:r>
      <w:r>
        <w:rPr/>
        <w:t>按款项性质列示其他应付款</w:t>
      </w:r>
    </w:p>
    <w:p>
      <w:pPr>
        <w:pStyle w:val="BodyText"/>
        <w:spacing w:line="240" w:lineRule="auto" w:before="102"/>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1,044,500.76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1,254,150.79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应付未付费用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10,513,806.21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3,203,512.14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股权款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31,200,000.00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67,826,000.00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共管账户诚意金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3,112,155.65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635,977.54</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50,870,462.62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72,919,640.47</w:t>
            </w:r>
          </w:p>
        </w:tc>
      </w:tr>
    </w:tbl>
    <w:p>
      <w:pPr>
        <w:pStyle w:val="BodyText"/>
        <w:spacing w:line="240" w:lineRule="auto" w:before="51"/>
        <w:ind w:right="1134"/>
        <w:jc w:val="left"/>
      </w:pPr>
      <w:r>
        <w:rPr>
          <w:rFonts w:ascii="Times New Roman" w:hAnsi="Times New Roman" w:cs="Times New Roman" w:eastAsia="Times New Roman" w:hint="default"/>
        </w:rPr>
        <w:t>2)</w:t>
      </w:r>
      <w:r>
        <w:rPr/>
        <w:t>账龄超过</w:t>
      </w:r>
      <w:r>
        <w:rPr>
          <w:spacing w:val="-46"/>
        </w:rPr>
        <w:t> </w:t>
      </w:r>
      <w:r>
        <w:rPr>
          <w:rFonts w:ascii="Times New Roman" w:hAnsi="Times New Roman" w:cs="Times New Roman" w:eastAsia="Times New Roman" w:hint="default"/>
        </w:rPr>
        <w:t>1 </w:t>
      </w:r>
      <w:r>
        <w:rPr/>
        <w:t>年的重要其他应付款</w:t>
      </w:r>
    </w:p>
    <w:p>
      <w:pPr>
        <w:pStyle w:val="BodyText"/>
        <w:spacing w:line="240" w:lineRule="auto" w:before="103"/>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深圳市柏士泰科技有限公司</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31,200,000.00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分期支付收购瑞柏泰公司股权款</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31,200,000.00</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302" w:lineRule="auto" w:before="51"/>
        <w:ind w:right="1184"/>
        <w:jc w:val="left"/>
      </w:pPr>
      <w:r>
        <w:rPr/>
        <w:t>其他说明：期末余额中无应付持本公司</w:t>
      </w:r>
      <w:r>
        <w:rPr>
          <w:spacing w:val="-46"/>
        </w:rPr>
        <w:t> </w:t>
      </w:r>
      <w:r>
        <w:rPr>
          <w:rFonts w:ascii="Times New Roman" w:hAnsi="Times New Roman" w:cs="Times New Roman" w:eastAsia="Times New Roman" w:hint="default"/>
        </w:rPr>
        <w:t>5%</w:t>
      </w:r>
      <w:r>
        <w:rPr/>
        <w:t>（含</w:t>
      </w:r>
      <w:r>
        <w:rPr>
          <w:spacing w:val="-46"/>
        </w:rPr>
        <w:t> </w:t>
      </w:r>
      <w:r>
        <w:rPr>
          <w:rFonts w:ascii="Times New Roman" w:hAnsi="Times New Roman" w:cs="Times New Roman" w:eastAsia="Times New Roman" w:hint="default"/>
        </w:rPr>
        <w:t>5%</w:t>
      </w:r>
      <w:r>
        <w:rPr/>
        <w:t>）以上表决权股份的股东单位款项，应付其他关联方的款项情况，详见 附注十、</w:t>
      </w:r>
      <w:r>
        <w:rPr>
          <w:rFonts w:ascii="Times New Roman" w:hAnsi="Times New Roman" w:cs="Times New Roman" w:eastAsia="Times New Roman" w:hint="default"/>
        </w:rPr>
        <w:t>6</w:t>
      </w:r>
      <w:r>
        <w:rPr/>
        <w:t>。</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2"/>
          <w:szCs w:val="12"/>
        </w:rPr>
      </w:pPr>
    </w:p>
    <w:p>
      <w:pPr>
        <w:pStyle w:val="Heading3"/>
        <w:spacing w:line="240" w:lineRule="auto"/>
        <w:ind w:right="1134"/>
        <w:jc w:val="left"/>
        <w:rPr>
          <w:b w:val="0"/>
          <w:bCs w:val="0"/>
        </w:rPr>
      </w:pPr>
      <w:bookmarkStart w:name="21、递延收益" w:id="260"/>
      <w:bookmarkEnd w:id="260"/>
      <w:r>
        <w:rPr>
          <w:b w:val="0"/>
          <w:bCs w:val="0"/>
        </w:rPr>
      </w:r>
      <w:r>
        <w:rPr>
          <w:rFonts w:ascii="Times New Roman" w:hAnsi="Times New Roman" w:cs="Times New Roman" w:eastAsia="Times New Roman" w:hint="default"/>
        </w:rPr>
        <w:t>21</w:t>
      </w:r>
      <w:r>
        <w:rPr/>
        <w:t>、递延收益</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856"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10"/>
        <w:gridCol w:w="1560"/>
        <w:gridCol w:w="1276"/>
        <w:gridCol w:w="1418"/>
        <w:gridCol w:w="1308"/>
        <w:gridCol w:w="1595"/>
      </w:tblGrid>
      <w:tr>
        <w:trPr>
          <w:trHeight w:val="401" w:hRule="exact"/>
        </w:trPr>
        <w:tc>
          <w:tcPr>
            <w:tcW w:w="24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1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2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7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4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3"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9"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33" w:right="0"/>
              <w:jc w:val="left"/>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与资产相关政府补助</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1,933,713.55</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740,643.29</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31" w:right="0"/>
              <w:jc w:val="left"/>
              <w:rPr>
                <w:rFonts w:ascii="Times New Roman" w:hAnsi="Times New Roman" w:cs="Times New Roman" w:eastAsia="Times New Roman" w:hint="default"/>
                <w:sz w:val="18"/>
                <w:szCs w:val="18"/>
              </w:rPr>
            </w:pPr>
            <w:r>
              <w:rPr>
                <w:rFonts w:ascii="Times New Roman"/>
                <w:sz w:val="18"/>
              </w:rPr>
              <w:t>1,593,070.26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详见下表</w:t>
            </w:r>
          </w:p>
        </w:tc>
      </w:tr>
      <w:tr>
        <w:trPr>
          <w:trHeight w:val="40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与收益相关政府补助</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880,000.00</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8,471,970.16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6,630,025.00</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31" w:right="0"/>
              <w:jc w:val="left"/>
              <w:rPr>
                <w:rFonts w:ascii="Times New Roman" w:hAnsi="Times New Roman" w:cs="Times New Roman" w:eastAsia="Times New Roman" w:hint="default"/>
                <w:sz w:val="18"/>
                <w:szCs w:val="18"/>
              </w:rPr>
            </w:pPr>
            <w:r>
              <w:rPr>
                <w:rFonts w:ascii="Times New Roman"/>
                <w:sz w:val="18"/>
              </w:rPr>
              <w:t>2,721,945.16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详见下表</w:t>
            </w:r>
          </w:p>
        </w:tc>
      </w:tr>
      <w:tr>
        <w:trPr>
          <w:trHeight w:val="402" w:hRule="exact"/>
        </w:trPr>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与资产</w:t>
            </w:r>
            <w:r>
              <w:rPr>
                <w:rFonts w:ascii="Times New Roman" w:hAnsi="Times New Roman" w:cs="Times New Roman" w:eastAsia="Times New Roman" w:hint="default"/>
                <w:sz w:val="18"/>
                <w:szCs w:val="18"/>
              </w:rPr>
              <w:t>/</w:t>
            </w:r>
            <w:r>
              <w:rPr>
                <w:rFonts w:ascii="宋体" w:hAnsi="宋体" w:cs="宋体" w:eastAsia="宋体" w:hint="default"/>
                <w:sz w:val="18"/>
                <w:szCs w:val="18"/>
              </w:rPr>
              <w:t>收益相关政府补助</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3,432,626.63</w:t>
            </w:r>
          </w:p>
        </w:tc>
        <w:tc>
          <w:tcPr>
            <w:tcW w:w="1276" w:type="dxa"/>
            <w:tcBorders>
              <w:top w:val="single" w:sz="4" w:space="0" w:color="000000"/>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1,890,590.16</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31" w:right="0"/>
              <w:jc w:val="left"/>
              <w:rPr>
                <w:rFonts w:ascii="Times New Roman" w:hAnsi="Times New Roman" w:cs="Times New Roman" w:eastAsia="Times New Roman" w:hint="default"/>
                <w:sz w:val="18"/>
                <w:szCs w:val="18"/>
              </w:rPr>
            </w:pPr>
            <w:r>
              <w:rPr>
                <w:rFonts w:ascii="Times New Roman"/>
                <w:sz w:val="18"/>
              </w:rPr>
              <w:t>1,542,036.47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详见下表</w:t>
            </w:r>
          </w:p>
        </w:tc>
      </w:tr>
      <w:tr>
        <w:trPr>
          <w:trHeight w:val="403" w:hRule="exact"/>
        </w:trPr>
        <w:tc>
          <w:tcPr>
            <w:tcW w:w="24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6,246,340.18</w:t>
            </w:r>
          </w:p>
        </w:tc>
        <w:tc>
          <w:tcPr>
            <w:tcW w:w="1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8,871,970.16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9,261,258.45</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31" w:right="0"/>
              <w:jc w:val="left"/>
              <w:rPr>
                <w:rFonts w:ascii="Times New Roman" w:hAnsi="Times New Roman" w:cs="Times New Roman" w:eastAsia="Times New Roman" w:hint="default"/>
                <w:sz w:val="18"/>
                <w:szCs w:val="18"/>
              </w:rPr>
            </w:pPr>
            <w:r>
              <w:rPr>
                <w:rFonts w:ascii="Times New Roman"/>
                <w:sz w:val="18"/>
              </w:rPr>
              <w:t>5,857,051.89</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1"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1134"/>
        <w:jc w:val="left"/>
      </w:pPr>
      <w:r>
        <w:rPr/>
        <w:t>涉及政府补助的项目：</w:t>
      </w:r>
    </w:p>
    <w:p>
      <w:pPr>
        <w:pStyle w:val="BodyText"/>
        <w:spacing w:line="240" w:lineRule="auto" w:before="116"/>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419"/>
        <w:gridCol w:w="1134"/>
        <w:gridCol w:w="991"/>
        <w:gridCol w:w="1277"/>
        <w:gridCol w:w="1134"/>
        <w:gridCol w:w="991"/>
        <w:gridCol w:w="498"/>
        <w:gridCol w:w="1062"/>
        <w:gridCol w:w="1063"/>
      </w:tblGrid>
      <w:tr>
        <w:trPr>
          <w:trHeight w:val="714" w:hRule="exact"/>
        </w:trPr>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0" w:right="38" w:hanging="180"/>
              <w:jc w:val="left"/>
              <w:rPr>
                <w:rFonts w:ascii="宋体" w:hAnsi="宋体" w:cs="宋体" w:eastAsia="宋体" w:hint="default"/>
                <w:sz w:val="18"/>
                <w:szCs w:val="18"/>
              </w:rPr>
            </w:pPr>
            <w:r>
              <w:rPr>
                <w:rFonts w:ascii="宋体" w:hAnsi="宋体" w:cs="宋体" w:eastAsia="宋体" w:hint="default"/>
                <w:sz w:val="18"/>
                <w:szCs w:val="18"/>
              </w:rPr>
              <w:t>本期新增补 助金额</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3" w:right="93" w:hanging="90"/>
              <w:jc w:val="left"/>
              <w:rPr>
                <w:rFonts w:ascii="宋体" w:hAnsi="宋体" w:cs="宋体" w:eastAsia="宋体" w:hint="default"/>
                <w:sz w:val="18"/>
                <w:szCs w:val="18"/>
              </w:rPr>
            </w:pPr>
            <w:r>
              <w:rPr>
                <w:rFonts w:ascii="宋体" w:hAnsi="宋体" w:cs="宋体" w:eastAsia="宋体" w:hint="default"/>
                <w:sz w:val="18"/>
                <w:szCs w:val="18"/>
              </w:rPr>
              <w:t>本期计入营业 外收入金额</w:t>
            </w:r>
          </w:p>
        </w:tc>
        <w:tc>
          <w:tcPr>
            <w:tcW w:w="11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1" w:right="110"/>
              <w:jc w:val="left"/>
              <w:rPr>
                <w:rFonts w:ascii="宋体" w:hAnsi="宋体" w:cs="宋体" w:eastAsia="宋体" w:hint="default"/>
                <w:sz w:val="18"/>
                <w:szCs w:val="18"/>
              </w:rPr>
            </w:pPr>
            <w:r>
              <w:rPr>
                <w:rFonts w:ascii="宋体" w:hAnsi="宋体" w:cs="宋体" w:eastAsia="宋体" w:hint="default"/>
                <w:sz w:val="18"/>
                <w:szCs w:val="18"/>
              </w:rPr>
              <w:t>本期计入其 他收益金额</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0" w:right="38"/>
              <w:jc w:val="left"/>
              <w:rPr>
                <w:rFonts w:ascii="宋体" w:hAnsi="宋体" w:cs="宋体" w:eastAsia="宋体" w:hint="default"/>
                <w:sz w:val="18"/>
                <w:szCs w:val="18"/>
              </w:rPr>
            </w:pPr>
            <w:r>
              <w:rPr>
                <w:rFonts w:ascii="宋体" w:hAnsi="宋体" w:cs="宋体" w:eastAsia="宋体" w:hint="default"/>
                <w:sz w:val="18"/>
                <w:szCs w:val="18"/>
              </w:rPr>
              <w:t>本期冲减成 本费用金额</w:t>
            </w:r>
          </w:p>
        </w:tc>
        <w:tc>
          <w:tcPr>
            <w:tcW w:w="4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5" w:right="61"/>
              <w:jc w:val="left"/>
              <w:rPr>
                <w:rFonts w:ascii="宋体" w:hAnsi="宋体" w:cs="宋体" w:eastAsia="宋体" w:hint="default"/>
                <w:sz w:val="18"/>
                <w:szCs w:val="18"/>
              </w:rPr>
            </w:pPr>
            <w:r>
              <w:rPr>
                <w:rFonts w:ascii="宋体" w:hAnsi="宋体" w:cs="宋体" w:eastAsia="宋体" w:hint="default"/>
                <w:sz w:val="18"/>
                <w:szCs w:val="18"/>
              </w:rPr>
              <w:t>其他 变动</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76" w:right="51" w:hanging="26"/>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 </w:t>
            </w:r>
            <w:r>
              <w:rPr>
                <w:rFonts w:ascii="宋体" w:hAnsi="宋体" w:cs="宋体" w:eastAsia="宋体" w:hint="default"/>
                <w:sz w:val="18"/>
                <w:szCs w:val="18"/>
              </w:rPr>
              <w:t>与收益相关</w:t>
            </w:r>
          </w:p>
        </w:tc>
      </w:tr>
      <w:tr>
        <w:trPr>
          <w:trHeight w:val="1026"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4"/>
              <w:jc w:val="both"/>
              <w:rPr>
                <w:rFonts w:ascii="宋体" w:hAnsi="宋体" w:cs="宋体" w:eastAsia="宋体" w:hint="default"/>
                <w:sz w:val="18"/>
                <w:szCs w:val="18"/>
              </w:rPr>
            </w:pPr>
            <w:r>
              <w:rPr>
                <w:rFonts w:ascii="宋体" w:hAnsi="宋体" w:cs="宋体" w:eastAsia="宋体" w:hint="default"/>
                <w:sz w:val="18"/>
                <w:szCs w:val="18"/>
              </w:rPr>
              <w:t>深圳市战略性新 兴产业发展专项 资金项目</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1,796,237.78</w:t>
            </w: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634,250.40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1,161,987.38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986"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4"/>
              <w:jc w:val="both"/>
              <w:rPr>
                <w:rFonts w:ascii="宋体" w:hAnsi="宋体" w:cs="宋体" w:eastAsia="宋体" w:hint="default"/>
                <w:sz w:val="18"/>
                <w:szCs w:val="18"/>
              </w:rPr>
            </w:pPr>
            <w:r>
              <w:rPr>
                <w:rFonts w:ascii="宋体" w:hAnsi="宋体" w:cs="宋体" w:eastAsia="宋体" w:hint="default"/>
                <w:sz w:val="18"/>
                <w:szCs w:val="18"/>
              </w:rPr>
              <w:t>深圳市南山区财 政局南山区智能 移动金融支付终</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z w:val="18"/>
              </w:rPr>
              <w:t>137,475.77</w:t>
            </w: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right="21"/>
              <w:jc w:val="right"/>
              <w:rPr>
                <w:rFonts w:ascii="Times New Roman" w:hAnsi="Times New Roman" w:cs="Times New Roman" w:eastAsia="Times New Roman" w:hint="default"/>
                <w:sz w:val="18"/>
                <w:szCs w:val="18"/>
              </w:rPr>
            </w:pPr>
            <w:r>
              <w:rPr>
                <w:rFonts w:ascii="Times New Roman"/>
                <w:sz w:val="18"/>
              </w:rPr>
              <w:t>86,459.56</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7"/>
              <w:ind w:right="20"/>
              <w:jc w:val="right"/>
              <w:rPr>
                <w:rFonts w:ascii="Times New Roman" w:hAnsi="Times New Roman" w:cs="Times New Roman" w:eastAsia="Times New Roman" w:hint="default"/>
                <w:sz w:val="18"/>
                <w:szCs w:val="18"/>
              </w:rPr>
            </w:pPr>
            <w:r>
              <w:rPr>
                <w:rFonts w:ascii="Times New Roman"/>
                <w:sz w:val="18"/>
              </w:rPr>
              <w:t>51,016.21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6"/>
                <w:szCs w:val="26"/>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19"/>
        <w:gridCol w:w="1134"/>
        <w:gridCol w:w="991"/>
        <w:gridCol w:w="1277"/>
        <w:gridCol w:w="1134"/>
        <w:gridCol w:w="991"/>
        <w:gridCol w:w="498"/>
        <w:gridCol w:w="1062"/>
        <w:gridCol w:w="1063"/>
      </w:tblGrid>
      <w:tr>
        <w:trPr>
          <w:trHeight w:val="674"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2" w:right="124"/>
              <w:jc w:val="left"/>
              <w:rPr>
                <w:rFonts w:ascii="宋体" w:hAnsi="宋体" w:cs="宋体" w:eastAsia="宋体" w:hint="default"/>
                <w:sz w:val="18"/>
                <w:szCs w:val="18"/>
              </w:rPr>
            </w:pPr>
            <w:r>
              <w:rPr>
                <w:rFonts w:ascii="宋体" w:hAnsi="宋体" w:cs="宋体" w:eastAsia="宋体" w:hint="default"/>
                <w:sz w:val="18"/>
                <w:szCs w:val="18"/>
              </w:rPr>
              <w:t>端及应用工程技 术中心项目</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4"/>
              <w:jc w:val="both"/>
              <w:rPr>
                <w:rFonts w:ascii="宋体" w:hAnsi="宋体" w:cs="宋体" w:eastAsia="宋体" w:hint="default"/>
                <w:sz w:val="18"/>
                <w:szCs w:val="18"/>
              </w:rPr>
            </w:pPr>
            <w:r>
              <w:rPr>
                <w:rFonts w:ascii="宋体" w:hAnsi="宋体" w:cs="宋体" w:eastAsia="宋体" w:hint="default"/>
                <w:sz w:val="18"/>
                <w:szCs w:val="18"/>
              </w:rPr>
              <w:t>基于国产安全芯 片的移动支付终 端研发技术创新 专项资金项目</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2,976,598.33</w:t>
            </w: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1"/>
              <w:jc w:val="right"/>
              <w:rPr>
                <w:rFonts w:ascii="Times New Roman" w:hAnsi="Times New Roman" w:cs="Times New Roman" w:eastAsia="Times New Roman" w:hint="default"/>
                <w:sz w:val="18"/>
                <w:szCs w:val="18"/>
              </w:rPr>
            </w:pPr>
            <w:r>
              <w:rPr>
                <w:rFonts w:ascii="Times New Roman"/>
                <w:spacing w:val="-1"/>
                <w:sz w:val="18"/>
              </w:rPr>
              <w:t>1,853,590.16</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20"/>
              <w:jc w:val="right"/>
              <w:rPr>
                <w:rFonts w:ascii="Times New Roman" w:hAnsi="Times New Roman" w:cs="Times New Roman" w:eastAsia="Times New Roman" w:hint="default"/>
                <w:sz w:val="18"/>
                <w:szCs w:val="18"/>
              </w:rPr>
            </w:pPr>
            <w:r>
              <w:rPr>
                <w:rFonts w:ascii="Times New Roman"/>
                <w:spacing w:val="-1"/>
                <w:sz w:val="18"/>
              </w:rPr>
              <w:t>1,123,008.17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6"/>
              <w:ind w:left="23" w:right="77"/>
              <w:jc w:val="left"/>
              <w:rPr>
                <w:rFonts w:ascii="宋体" w:hAnsi="宋体" w:cs="宋体" w:eastAsia="宋体" w:hint="default"/>
                <w:sz w:val="18"/>
                <w:szCs w:val="18"/>
              </w:rPr>
            </w:pPr>
            <w:r>
              <w:rPr>
                <w:rFonts w:ascii="宋体" w:hAnsi="宋体" w:cs="宋体" w:eastAsia="宋体" w:hint="default"/>
                <w:sz w:val="18"/>
                <w:szCs w:val="18"/>
              </w:rPr>
              <w:t>与资产</w:t>
            </w:r>
            <w:r>
              <w:rPr>
                <w:rFonts w:ascii="Times New Roman" w:hAnsi="Times New Roman" w:cs="Times New Roman" w:eastAsia="Times New Roman" w:hint="default"/>
                <w:sz w:val="18"/>
                <w:szCs w:val="18"/>
              </w:rPr>
              <w:t>/</w:t>
            </w:r>
            <w:r>
              <w:rPr>
                <w:rFonts w:ascii="宋体" w:hAnsi="宋体" w:cs="宋体" w:eastAsia="宋体" w:hint="default"/>
                <w:sz w:val="18"/>
                <w:szCs w:val="18"/>
              </w:rPr>
              <w:t>收益 相关</w:t>
            </w:r>
          </w:p>
        </w:tc>
      </w:tr>
      <w:tr>
        <w:trPr>
          <w:trHeight w:val="1650"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81"/>
              <w:jc w:val="both"/>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年广东省级 信息产业发展专 项资金面向区域 配送的智慧物流 云平台项目</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456,028.30</w:t>
            </w:r>
          </w:p>
        </w:tc>
        <w:tc>
          <w:tcPr>
            <w:tcW w:w="991" w:type="dxa"/>
            <w:tcBorders>
              <w:top w:val="single" w:sz="4" w:space="0" w:color="000000"/>
              <w:left w:val="single" w:sz="4" w:space="0" w:color="000000"/>
              <w:bottom w:val="single" w:sz="4" w:space="0" w:color="000000"/>
              <w:right w:val="single" w:sz="4" w:space="0" w:color="000000"/>
            </w:tcBorders>
          </w:tcPr>
          <w:p>
            <w:pP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37,000.00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419,028.30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05"/>
              <w:ind w:left="23" w:right="77"/>
              <w:jc w:val="left"/>
              <w:rPr>
                <w:rFonts w:ascii="宋体" w:hAnsi="宋体" w:cs="宋体" w:eastAsia="宋体" w:hint="default"/>
                <w:sz w:val="18"/>
                <w:szCs w:val="18"/>
              </w:rPr>
            </w:pPr>
            <w:r>
              <w:rPr>
                <w:rFonts w:ascii="宋体" w:hAnsi="宋体" w:cs="宋体" w:eastAsia="宋体" w:hint="default"/>
                <w:sz w:val="18"/>
                <w:szCs w:val="18"/>
              </w:rPr>
              <w:t>与资产</w:t>
            </w:r>
            <w:r>
              <w:rPr>
                <w:rFonts w:ascii="Times New Roman" w:hAnsi="Times New Roman" w:cs="Times New Roman" w:eastAsia="Times New Roman" w:hint="default"/>
                <w:sz w:val="18"/>
                <w:szCs w:val="18"/>
              </w:rPr>
              <w:t>/</w:t>
            </w:r>
            <w:r>
              <w:rPr>
                <w:rFonts w:ascii="宋体" w:hAnsi="宋体" w:cs="宋体" w:eastAsia="宋体" w:hint="default"/>
                <w:sz w:val="18"/>
                <w:szCs w:val="18"/>
              </w:rPr>
              <w:t>收益 相关</w:t>
            </w:r>
          </w:p>
        </w:tc>
      </w:tr>
      <w:tr>
        <w:trPr>
          <w:trHeight w:val="714"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4"/>
              <w:jc w:val="left"/>
              <w:rPr>
                <w:rFonts w:ascii="宋体" w:hAnsi="宋体" w:cs="宋体" w:eastAsia="宋体" w:hint="default"/>
                <w:sz w:val="18"/>
                <w:szCs w:val="18"/>
              </w:rPr>
            </w:pPr>
            <w:r>
              <w:rPr>
                <w:rFonts w:ascii="宋体" w:hAnsi="宋体" w:cs="宋体" w:eastAsia="宋体" w:hint="default"/>
                <w:sz w:val="18"/>
                <w:szCs w:val="18"/>
              </w:rPr>
              <w:t>重点企事业单位 住房补租款</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880,000.00</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460,000.00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880,000.00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460,000.00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2" w:hRule="exact"/>
        </w:trPr>
        <w:tc>
          <w:tcPr>
            <w:tcW w:w="1419" w:type="dxa"/>
            <w:vMerge w:val="restart"/>
            <w:tcBorders>
              <w:top w:val="single" w:sz="4" w:space="0" w:color="000000"/>
              <w:left w:val="single" w:sz="4" w:space="0" w:color="000000"/>
              <w:right w:val="single" w:sz="4" w:space="0" w:color="000000"/>
            </w:tcBorders>
          </w:tcPr>
          <w:p>
            <w:pPr>
              <w:pStyle w:val="TableParagraph"/>
              <w:spacing w:line="319" w:lineRule="auto" w:before="95"/>
              <w:ind w:left="22" w:right="124"/>
              <w:jc w:val="both"/>
              <w:rPr>
                <w:rFonts w:ascii="宋体" w:hAnsi="宋体" w:cs="宋体" w:eastAsia="宋体" w:hint="default"/>
                <w:sz w:val="18"/>
                <w:szCs w:val="18"/>
              </w:rPr>
            </w:pPr>
            <w:r>
              <w:rPr>
                <w:rFonts w:ascii="宋体" w:hAnsi="宋体" w:cs="宋体" w:eastAsia="宋体" w:hint="default"/>
                <w:sz w:val="18"/>
                <w:szCs w:val="18"/>
              </w:rPr>
              <w:t>面向新零售的智 慧商城云平台应 用示范项目</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400,000.00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19,933.33</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380,066.67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与资产相关</w:t>
            </w:r>
          </w:p>
        </w:tc>
      </w:tr>
      <w:tr>
        <w:trPr>
          <w:trHeight w:val="714" w:hRule="exact"/>
        </w:trPr>
        <w:tc>
          <w:tcPr>
            <w:tcW w:w="1419" w:type="dxa"/>
            <w:vMerge/>
            <w:tcBorders>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2,600,000.0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455,132.00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2,144,868.00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6"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4"/>
              <w:jc w:val="both"/>
              <w:rPr>
                <w:rFonts w:ascii="宋体" w:hAnsi="宋体" w:cs="宋体" w:eastAsia="宋体" w:hint="default"/>
                <w:sz w:val="18"/>
                <w:szCs w:val="18"/>
              </w:rPr>
            </w:pPr>
            <w:r>
              <w:rPr>
                <w:rFonts w:ascii="宋体" w:hAnsi="宋体" w:cs="宋体" w:eastAsia="宋体" w:hint="default"/>
                <w:sz w:val="18"/>
                <w:szCs w:val="18"/>
              </w:rPr>
              <w:t>基于物联网技术 的行业智能移动 终端产业化</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420,000.00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302,922.84</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117,077.16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6"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4"/>
              <w:jc w:val="both"/>
              <w:rPr>
                <w:rFonts w:ascii="宋体" w:hAnsi="宋体" w:cs="宋体" w:eastAsia="宋体" w:hint="default"/>
                <w:sz w:val="18"/>
                <w:szCs w:val="18"/>
              </w:rPr>
            </w:pPr>
            <w:r>
              <w:rPr>
                <w:rFonts w:ascii="宋体" w:hAnsi="宋体" w:cs="宋体" w:eastAsia="宋体" w:hint="default"/>
                <w:sz w:val="18"/>
                <w:szCs w:val="18"/>
              </w:rPr>
              <w:t>深圳市企业研究 开发资助计划补 贴款</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2,649,000.0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2,649,000.00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6"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4"/>
              <w:jc w:val="both"/>
              <w:rPr>
                <w:rFonts w:ascii="宋体" w:hAnsi="宋体" w:cs="宋体" w:eastAsia="宋体" w:hint="default"/>
                <w:sz w:val="18"/>
                <w:szCs w:val="18"/>
              </w:rPr>
            </w:pPr>
            <w:r>
              <w:rPr>
                <w:rFonts w:ascii="宋体" w:hAnsi="宋体" w:cs="宋体" w:eastAsia="宋体" w:hint="default"/>
                <w:sz w:val="18"/>
                <w:szCs w:val="18"/>
              </w:rPr>
              <w:t>深圳市南山区企 业研发投入支持 计划补贴款</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471,000.00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471,000.00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4"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4"/>
              <w:jc w:val="left"/>
              <w:rPr>
                <w:rFonts w:ascii="宋体" w:hAnsi="宋体" w:cs="宋体" w:eastAsia="宋体" w:hint="default"/>
                <w:sz w:val="18"/>
                <w:szCs w:val="18"/>
              </w:rPr>
            </w:pPr>
            <w:r>
              <w:rPr>
                <w:rFonts w:ascii="宋体" w:hAnsi="宋体" w:cs="宋体" w:eastAsia="宋体" w:hint="default"/>
                <w:sz w:val="18"/>
                <w:szCs w:val="18"/>
              </w:rPr>
              <w:t>国家高新技术企 业补贴款</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410,000.00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410,000.00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4"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4"/>
              <w:jc w:val="left"/>
              <w:rPr>
                <w:rFonts w:ascii="宋体" w:hAnsi="宋体" w:cs="宋体" w:eastAsia="宋体" w:hint="default"/>
                <w:sz w:val="18"/>
                <w:szCs w:val="18"/>
              </w:rPr>
            </w:pPr>
            <w:r>
              <w:rPr>
                <w:rFonts w:ascii="宋体" w:hAnsi="宋体" w:cs="宋体" w:eastAsia="宋体" w:hint="default"/>
                <w:sz w:val="18"/>
                <w:szCs w:val="18"/>
              </w:rPr>
              <w:t>上市促进贷（企 业）补贴</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433,700.00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433,700.00</w:t>
            </w: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1026"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4"/>
              <w:jc w:val="both"/>
              <w:rPr>
                <w:rFonts w:ascii="宋体" w:hAnsi="宋体" w:cs="宋体" w:eastAsia="宋体" w:hint="default"/>
                <w:sz w:val="18"/>
                <w:szCs w:val="18"/>
              </w:rPr>
            </w:pPr>
            <w:r>
              <w:rPr>
                <w:rFonts w:ascii="宋体" w:hAnsi="宋体" w:cs="宋体" w:eastAsia="宋体" w:hint="default"/>
                <w:sz w:val="18"/>
                <w:szCs w:val="18"/>
              </w:rPr>
              <w:t>上市企业并购重 组中介费用补贴 款</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430,000.00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430,000.00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4"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4"/>
              <w:jc w:val="left"/>
              <w:rPr>
                <w:rFonts w:ascii="宋体" w:hAnsi="宋体" w:cs="宋体" w:eastAsia="宋体" w:hint="default"/>
                <w:sz w:val="18"/>
                <w:szCs w:val="18"/>
              </w:rPr>
            </w:pPr>
            <w:r>
              <w:rPr>
                <w:rFonts w:ascii="宋体" w:hAnsi="宋体" w:cs="宋体" w:eastAsia="宋体" w:hint="default"/>
                <w:sz w:val="18"/>
                <w:szCs w:val="18"/>
              </w:rPr>
              <w:t>自主创新产业发 展资金</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24,500.00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24,500.00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2"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80,696.16</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80,696.16</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4"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4"/>
              <w:jc w:val="left"/>
              <w:rPr>
                <w:rFonts w:ascii="宋体" w:hAnsi="宋体" w:cs="宋体" w:eastAsia="宋体" w:hint="default"/>
                <w:sz w:val="18"/>
                <w:szCs w:val="18"/>
              </w:rPr>
            </w:pPr>
            <w:r>
              <w:rPr>
                <w:rFonts w:ascii="宋体" w:hAnsi="宋体" w:cs="宋体" w:eastAsia="宋体" w:hint="default"/>
                <w:sz w:val="18"/>
                <w:szCs w:val="18"/>
              </w:rPr>
              <w:t>国内市场开拓项 目资助款</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32,600.00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32,600.00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4"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25"/>
              <w:jc w:val="left"/>
              <w:rPr>
                <w:rFonts w:ascii="宋体" w:hAnsi="宋体" w:cs="宋体" w:eastAsia="宋体" w:hint="default"/>
                <w:sz w:val="18"/>
                <w:szCs w:val="18"/>
              </w:rPr>
            </w:pPr>
            <w:r>
              <w:rPr>
                <w:rFonts w:ascii="宋体" w:hAnsi="宋体" w:cs="宋体" w:eastAsia="宋体" w:hint="default"/>
                <w:sz w:val="18"/>
                <w:szCs w:val="18"/>
              </w:rPr>
              <w:t>提升国际化经营 能力补贴</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210,609.00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210,609.00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12"/>
          <w:szCs w:val="12"/>
        </w:rPr>
      </w:pPr>
    </w:p>
    <w:tbl>
      <w:tblPr>
        <w:tblW w:w="0" w:type="auto"/>
        <w:jc w:val="left"/>
        <w:tblInd w:w="149" w:type="dxa"/>
        <w:tblLayout w:type="fixed"/>
        <w:tblCellMar>
          <w:top w:w="0" w:type="dxa"/>
          <w:left w:w="0" w:type="dxa"/>
          <w:bottom w:w="0" w:type="dxa"/>
          <w:right w:w="0" w:type="dxa"/>
        </w:tblCellMar>
        <w:tblLook w:val="01E0"/>
      </w:tblPr>
      <w:tblGrid>
        <w:gridCol w:w="1419"/>
        <w:gridCol w:w="1134"/>
        <w:gridCol w:w="991"/>
        <w:gridCol w:w="1277"/>
        <w:gridCol w:w="1134"/>
        <w:gridCol w:w="991"/>
        <w:gridCol w:w="498"/>
        <w:gridCol w:w="1062"/>
        <w:gridCol w:w="1063"/>
      </w:tblGrid>
      <w:tr>
        <w:trPr>
          <w:trHeight w:val="402"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创新服务券</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3,865.00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3,865.00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402"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商标专利补贴款</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37,000.00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37,000.00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4"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24"/>
              <w:jc w:val="left"/>
              <w:rPr>
                <w:rFonts w:ascii="宋体" w:hAnsi="宋体" w:cs="宋体" w:eastAsia="宋体" w:hint="default"/>
                <w:sz w:val="18"/>
                <w:szCs w:val="18"/>
              </w:rPr>
            </w:pPr>
            <w:r>
              <w:rPr>
                <w:rFonts w:ascii="宋体" w:hAnsi="宋体" w:cs="宋体" w:eastAsia="宋体" w:hint="default"/>
                <w:sz w:val="18"/>
                <w:szCs w:val="18"/>
              </w:rPr>
              <w:t>软件和信息服务 发展专项资金</w:t>
            </w:r>
          </w:p>
        </w:tc>
        <w:tc>
          <w:tcPr>
            <w:tcW w:w="113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209,000.00</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209,000.00</w:t>
            </w:r>
          </w:p>
        </w:tc>
        <w:tc>
          <w:tcPr>
            <w:tcW w:w="991" w:type="dxa"/>
            <w:tcBorders>
              <w:top w:val="single" w:sz="4" w:space="0" w:color="000000"/>
              <w:left w:val="single" w:sz="4" w:space="0" w:color="000000"/>
              <w:bottom w:val="single" w:sz="4" w:space="0" w:color="000000"/>
              <w:right w:val="single" w:sz="4" w:space="0" w:color="000000"/>
            </w:tcBorders>
          </w:tcPr>
          <w:p>
            <w:pP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与收益相关</w:t>
            </w:r>
          </w:p>
        </w:tc>
      </w:tr>
      <w:tr>
        <w:trPr>
          <w:trHeight w:val="714"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5" w:right="0"/>
              <w:jc w:val="left"/>
              <w:rPr>
                <w:rFonts w:ascii="Times New Roman" w:hAnsi="Times New Roman" w:cs="Times New Roman" w:eastAsia="Times New Roman" w:hint="default"/>
                <w:sz w:val="18"/>
                <w:szCs w:val="18"/>
              </w:rPr>
            </w:pPr>
            <w:r>
              <w:rPr>
                <w:rFonts w:ascii="Times New Roman"/>
                <w:sz w:val="18"/>
              </w:rPr>
              <w:t>6,246,340.18</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8,871,970.1</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6</w:t>
            </w:r>
          </w:p>
        </w:tc>
        <w:tc>
          <w:tcPr>
            <w:tcW w:w="1277" w:type="dxa"/>
            <w:tcBorders>
              <w:top w:val="single" w:sz="4" w:space="0" w:color="000000"/>
              <w:left w:val="single" w:sz="4" w:space="0" w:color="000000"/>
              <w:bottom w:val="single" w:sz="4" w:space="0" w:color="000000"/>
              <w:right w:val="single" w:sz="4" w:space="0" w:color="000000"/>
            </w:tcBorders>
          </w:tcPr>
          <w:p>
            <w:pPr/>
          </w:p>
        </w:tc>
        <w:tc>
          <w:tcPr>
            <w:tcW w:w="11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8,827,558.45</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8" w:right="0"/>
              <w:jc w:val="left"/>
              <w:rPr>
                <w:rFonts w:ascii="Times New Roman" w:hAnsi="Times New Roman" w:cs="Times New Roman" w:eastAsia="Times New Roman" w:hint="default"/>
                <w:sz w:val="18"/>
                <w:szCs w:val="18"/>
              </w:rPr>
            </w:pPr>
            <w:r>
              <w:rPr>
                <w:rFonts w:ascii="Times New Roman"/>
                <w:sz w:val="18"/>
              </w:rPr>
              <w:t>433,700.00</w:t>
            </w:r>
          </w:p>
        </w:tc>
        <w:tc>
          <w:tcPr>
            <w:tcW w:w="498"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85" w:right="0"/>
              <w:jc w:val="left"/>
              <w:rPr>
                <w:rFonts w:ascii="Times New Roman" w:hAnsi="Times New Roman" w:cs="Times New Roman" w:eastAsia="Times New Roman" w:hint="default"/>
                <w:sz w:val="18"/>
                <w:szCs w:val="18"/>
              </w:rPr>
            </w:pPr>
            <w:r>
              <w:rPr>
                <w:rFonts w:ascii="Times New Roman"/>
                <w:sz w:val="18"/>
              </w:rPr>
              <w:t>5,857,051.89</w:t>
            </w:r>
          </w:p>
        </w:tc>
        <w:tc>
          <w:tcPr>
            <w:tcW w:w="1063"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51"/>
        <w:ind w:right="1134"/>
        <w:jc w:val="left"/>
      </w:pPr>
      <w:r>
        <w:rPr/>
        <w:t>其他说明：</w:t>
      </w:r>
    </w:p>
    <w:p>
      <w:pPr>
        <w:pStyle w:val="BodyText"/>
        <w:spacing w:line="300" w:lineRule="auto" w:before="116"/>
        <w:ind w:right="1142" w:firstLine="360"/>
        <w:jc w:val="left"/>
      </w:pPr>
      <w:r>
        <w:rPr/>
        <w:t>（</w:t>
      </w:r>
      <w:r>
        <w:rPr>
          <w:rFonts w:ascii="Times New Roman" w:hAnsi="Times New Roman" w:cs="Times New Roman" w:eastAsia="Times New Roman" w:hint="default"/>
        </w:rPr>
        <w:t>1</w:t>
      </w:r>
      <w:r>
        <w:rPr/>
        <w:t>）根据本公司与深圳市科技创新委员会签订的</w:t>
      </w:r>
      <w:r>
        <w:rPr>
          <w:rFonts w:ascii="Times New Roman" w:hAnsi="Times New Roman" w:cs="Times New Roman" w:eastAsia="Times New Roman" w:hint="default"/>
        </w:rPr>
        <w:t>“</w:t>
      </w:r>
      <w:r>
        <w:rPr/>
        <w:t>深圳市战略性新兴产业发展专项资金项目合同书</w:t>
      </w:r>
      <w:r>
        <w:rPr>
          <w:rFonts w:ascii="Times New Roman" w:hAnsi="Times New Roman" w:cs="Times New Roman" w:eastAsia="Times New Roman" w:hint="default"/>
        </w:rPr>
        <w:t>”</w:t>
      </w:r>
      <w:r>
        <w:rPr/>
        <w:t>，本公司收到政府 补贴款</w:t>
      </w:r>
      <w:r>
        <w:rPr>
          <w:rFonts w:ascii="Times New Roman" w:hAnsi="Times New Roman" w:cs="Times New Roman" w:eastAsia="Times New Roman" w:hint="default"/>
        </w:rPr>
        <w:t>315.00</w:t>
      </w:r>
      <w:r>
        <w:rPr/>
        <w:t>万元，主要用于该项目研发、设备的采购等，本期转入其他收益金额为</w:t>
      </w:r>
      <w:r>
        <w:rPr>
          <w:rFonts w:ascii="Times New Roman" w:hAnsi="Times New Roman" w:cs="Times New Roman" w:eastAsia="Times New Roman" w:hint="default"/>
        </w:rPr>
        <w:t>634,250.40</w:t>
      </w:r>
      <w:r>
        <w:rPr/>
        <w:t>元。</w:t>
      </w:r>
    </w:p>
    <w:p>
      <w:pPr>
        <w:pStyle w:val="BodyText"/>
        <w:spacing w:line="300" w:lineRule="auto" w:before="13"/>
        <w:ind w:right="1122" w:firstLine="360"/>
        <w:jc w:val="left"/>
      </w:pPr>
      <w:r>
        <w:rPr/>
        <w:t>（</w:t>
      </w:r>
      <w:r>
        <w:rPr>
          <w:rFonts w:ascii="Times New Roman" w:hAnsi="Times New Roman" w:cs="Times New Roman" w:eastAsia="Times New Roman" w:hint="default"/>
        </w:rPr>
        <w:t>2</w:t>
      </w:r>
      <w:r>
        <w:rPr/>
        <w:t>）本公司收到深圳市南山区财政局南山区智能移动金融支付终端及应用工程技术中心项目</w:t>
      </w:r>
      <w:r>
        <w:rPr>
          <w:rFonts w:ascii="Times New Roman" w:hAnsi="Times New Roman" w:cs="Times New Roman" w:eastAsia="Times New Roman" w:hint="default"/>
        </w:rPr>
        <w:t>100.00</w:t>
      </w:r>
      <w:r>
        <w:rPr/>
        <w:t>万元，其中</w:t>
      </w:r>
      <w:r>
        <w:rPr>
          <w:rFonts w:ascii="Times New Roman" w:hAnsi="Times New Roman" w:cs="Times New Roman" w:eastAsia="Times New Roman" w:hint="default"/>
        </w:rPr>
        <w:t>40.00</w:t>
      </w:r>
      <w:r>
        <w:rPr/>
        <w:t>万 元与资产相关，本报告期内转入其他收益金额为</w:t>
      </w:r>
      <w:r>
        <w:rPr>
          <w:rFonts w:ascii="Times New Roman" w:hAnsi="Times New Roman" w:cs="Times New Roman" w:eastAsia="Times New Roman" w:hint="default"/>
        </w:rPr>
        <w:t>86,459.56</w:t>
      </w:r>
      <w:r>
        <w:rPr/>
        <w:t>元。</w:t>
      </w:r>
    </w:p>
    <w:p>
      <w:pPr>
        <w:pStyle w:val="BodyText"/>
        <w:spacing w:line="300" w:lineRule="auto" w:before="13"/>
        <w:ind w:right="0" w:firstLine="360"/>
        <w:jc w:val="left"/>
      </w:pPr>
      <w:r>
        <w:rPr/>
        <w:t>（</w:t>
      </w:r>
      <w:r>
        <w:rPr>
          <w:rFonts w:ascii="Times New Roman" w:hAnsi="Times New Roman" w:cs="Times New Roman" w:eastAsia="Times New Roman" w:hint="default"/>
        </w:rPr>
        <w:t>3</w:t>
      </w:r>
      <w:r>
        <w:rPr/>
        <w:t>）根据深圳市科技创新委员会和深圳市财政委员会颁发的深科技创新</w:t>
      </w:r>
      <w:r>
        <w:rPr>
          <w:rFonts w:ascii="Times New Roman" w:hAnsi="Times New Roman" w:cs="Times New Roman" w:eastAsia="Times New Roman" w:hint="default"/>
        </w:rPr>
        <w:t>(2016)86</w:t>
      </w:r>
      <w:r>
        <w:rPr/>
        <w:t>号文件，本公司取得基于国产安全芯 </w:t>
      </w:r>
      <w:r>
        <w:rPr>
          <w:spacing w:val="-1"/>
        </w:rPr>
        <w:t>片的移动支付终端研发技术创新专项资金项目补助款</w:t>
      </w:r>
      <w:r>
        <w:rPr>
          <w:rFonts w:ascii="Times New Roman" w:hAnsi="Times New Roman" w:cs="Times New Roman" w:eastAsia="Times New Roman" w:hint="default"/>
          <w:spacing w:val="-1"/>
        </w:rPr>
        <w:t>400.00</w:t>
      </w:r>
      <w:r>
        <w:rPr>
          <w:spacing w:val="-1"/>
        </w:rPr>
        <w:t>万元，主要用于研发、生产设备的购置等，本报告期内转入其他</w:t>
      </w:r>
      <w:r>
        <w:rPr>
          <w:spacing w:val="-74"/>
        </w:rPr>
        <w:t> </w:t>
      </w:r>
      <w:r>
        <w:rPr>
          <w:spacing w:val="-74"/>
        </w:rPr>
      </w:r>
      <w:r>
        <w:rPr/>
        <w:t>收益金额为</w:t>
      </w:r>
      <w:r>
        <w:rPr>
          <w:rFonts w:ascii="Times New Roman" w:hAnsi="Times New Roman" w:cs="Times New Roman" w:eastAsia="Times New Roman" w:hint="default"/>
        </w:rPr>
        <w:t>1,853,590.16</w:t>
      </w:r>
      <w:r>
        <w:rPr/>
        <w:t>元。</w:t>
      </w:r>
    </w:p>
    <w:p>
      <w:pPr>
        <w:pStyle w:val="BodyText"/>
        <w:spacing w:line="300" w:lineRule="auto" w:before="13"/>
        <w:ind w:right="0" w:firstLine="360"/>
        <w:jc w:val="left"/>
      </w:pPr>
      <w:r>
        <w:rPr>
          <w:spacing w:val="-1"/>
        </w:rPr>
        <w:t>（</w:t>
      </w:r>
      <w:r>
        <w:rPr>
          <w:rFonts w:ascii="Times New Roman" w:hAnsi="Times New Roman" w:cs="Times New Roman" w:eastAsia="Times New Roman" w:hint="default"/>
          <w:spacing w:val="-1"/>
        </w:rPr>
        <w:t>4</w:t>
      </w:r>
      <w:r>
        <w:rPr>
          <w:spacing w:val="-1"/>
        </w:rPr>
        <w:t>）本公司收到</w:t>
      </w:r>
      <w:r>
        <w:rPr>
          <w:rFonts w:ascii="Times New Roman" w:hAnsi="Times New Roman" w:cs="Times New Roman" w:eastAsia="Times New Roman" w:hint="default"/>
          <w:spacing w:val="-1"/>
        </w:rPr>
        <w:t>2016</w:t>
      </w:r>
      <w:r>
        <w:rPr>
          <w:spacing w:val="-1"/>
        </w:rPr>
        <w:t>年广东省级信息产业发展专项资金面向区域配送的智慧物流云平台项目资金</w:t>
      </w:r>
      <w:r>
        <w:rPr>
          <w:rFonts w:ascii="Times New Roman" w:hAnsi="Times New Roman" w:cs="Times New Roman" w:eastAsia="Times New Roman" w:hint="default"/>
          <w:spacing w:val="-1"/>
        </w:rPr>
        <w:t>1,500,000.00</w:t>
      </w:r>
      <w:r>
        <w:rPr>
          <w:spacing w:val="-1"/>
        </w:rPr>
        <w:t>元，本报</w:t>
      </w:r>
      <w:r>
        <w:rPr/>
        <w:t> 告期内转入其他收益金额为</w:t>
      </w:r>
      <w:r>
        <w:rPr>
          <w:rFonts w:ascii="Times New Roman" w:hAnsi="Times New Roman" w:cs="Times New Roman" w:eastAsia="Times New Roman" w:hint="default"/>
        </w:rPr>
        <w:t>37,000.00</w:t>
      </w:r>
      <w:r>
        <w:rPr/>
        <w:t>元。</w:t>
      </w:r>
    </w:p>
    <w:p>
      <w:pPr>
        <w:pStyle w:val="BodyText"/>
        <w:spacing w:line="300" w:lineRule="auto" w:before="13"/>
        <w:ind w:right="1134" w:firstLine="360"/>
        <w:jc w:val="left"/>
      </w:pPr>
      <w:r>
        <w:rPr>
          <w:spacing w:val="-2"/>
        </w:rPr>
        <w:t>（</w:t>
      </w:r>
      <w:r>
        <w:rPr>
          <w:rFonts w:ascii="Times New Roman" w:hAnsi="Times New Roman" w:cs="Times New Roman" w:eastAsia="Times New Roman" w:hint="default"/>
          <w:spacing w:val="-2"/>
        </w:rPr>
        <w:t>5</w:t>
      </w:r>
      <w:r>
        <w:rPr>
          <w:spacing w:val="-2"/>
        </w:rPr>
        <w:t>）本公司收到深圳市南山财政局拨付的重点企事业单位住房补租补贴资金</w:t>
      </w:r>
      <w:r>
        <w:rPr>
          <w:rFonts w:ascii="Times New Roman" w:hAnsi="Times New Roman" w:cs="Times New Roman" w:eastAsia="Times New Roman" w:hint="default"/>
          <w:spacing w:val="-2"/>
        </w:rPr>
        <w:t>460,000.00</w:t>
      </w:r>
      <w:r>
        <w:rPr>
          <w:spacing w:val="-2"/>
        </w:rPr>
        <w:t>元，截止</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日该资金</w:t>
      </w:r>
      <w:r>
        <w:rPr/>
        <w:t> 尚未使用。</w:t>
      </w:r>
    </w:p>
    <w:p>
      <w:pPr>
        <w:pStyle w:val="BodyText"/>
        <w:spacing w:line="300" w:lineRule="auto" w:before="31"/>
        <w:ind w:right="1132" w:firstLine="360"/>
        <w:jc w:val="both"/>
      </w:pPr>
      <w:r>
        <w:rPr/>
        <w:t>（</w:t>
      </w:r>
      <w:r>
        <w:rPr>
          <w:rFonts w:ascii="Times New Roman" w:hAnsi="Times New Roman" w:cs="Times New Roman" w:eastAsia="Times New Roman" w:hint="default"/>
        </w:rPr>
        <w:t>6</w:t>
      </w:r>
      <w:r>
        <w:rPr/>
        <w:t>）根据本公司与深圳市科技创新委员会签订的</w:t>
      </w:r>
      <w:r>
        <w:rPr>
          <w:rFonts w:ascii="Times New Roman" w:hAnsi="Times New Roman" w:cs="Times New Roman" w:eastAsia="Times New Roman" w:hint="default"/>
        </w:rPr>
        <w:t>“</w:t>
      </w:r>
      <w:r>
        <w:rPr/>
        <w:t>深圳市科技计划项目合同书</w:t>
      </w:r>
      <w:r>
        <w:rPr>
          <w:rFonts w:ascii="Times New Roman" w:hAnsi="Times New Roman" w:cs="Times New Roman" w:eastAsia="Times New Roman" w:hint="default"/>
        </w:rPr>
        <w:t>”</w:t>
      </w:r>
      <w:r>
        <w:rPr/>
        <w:t>，本公司收到面向新零售的智慧商城云 </w:t>
      </w:r>
      <w:r>
        <w:rPr>
          <w:spacing w:val="-2"/>
        </w:rPr>
        <w:t>平台应用示范项目的政府补贴款</w:t>
      </w:r>
      <w:r>
        <w:rPr>
          <w:rFonts w:ascii="Times New Roman" w:hAnsi="Times New Roman" w:cs="Times New Roman" w:eastAsia="Times New Roman" w:hint="default"/>
          <w:spacing w:val="-2"/>
        </w:rPr>
        <w:t>300.00</w:t>
      </w:r>
      <w:r>
        <w:rPr>
          <w:spacing w:val="-2"/>
        </w:rPr>
        <w:t>万元，其中</w:t>
      </w:r>
      <w:r>
        <w:rPr>
          <w:rFonts w:ascii="Times New Roman" w:hAnsi="Times New Roman" w:cs="Times New Roman" w:eastAsia="Times New Roman" w:hint="default"/>
          <w:spacing w:val="-2"/>
        </w:rPr>
        <w:t>40.00</w:t>
      </w:r>
      <w:r>
        <w:rPr>
          <w:spacing w:val="-2"/>
        </w:rPr>
        <w:t>万元设备补助款，主要用于研发、生产设备的购置。本期转入其他收</w:t>
      </w:r>
      <w:r>
        <w:rPr>
          <w:spacing w:val="-58"/>
        </w:rPr>
        <w:t> </w:t>
      </w:r>
      <w:r>
        <w:rPr>
          <w:spacing w:val="-58"/>
        </w:rPr>
      </w:r>
      <w:r>
        <w:rPr/>
        <w:t>益金额为</w:t>
      </w:r>
      <w:r>
        <w:rPr>
          <w:rFonts w:ascii="Times New Roman" w:hAnsi="Times New Roman" w:cs="Times New Roman" w:eastAsia="Times New Roman" w:hint="default"/>
        </w:rPr>
        <w:t>475,065.33</w:t>
      </w:r>
      <w:r>
        <w:rPr/>
        <w:t>元。</w:t>
      </w:r>
    </w:p>
    <w:p>
      <w:pPr>
        <w:pStyle w:val="BodyText"/>
        <w:spacing w:line="300" w:lineRule="auto" w:before="13"/>
        <w:ind w:right="0" w:firstLine="360"/>
        <w:jc w:val="left"/>
      </w:pPr>
      <w:r>
        <w:rPr>
          <w:spacing w:val="-1"/>
        </w:rPr>
        <w:t>（</w:t>
      </w:r>
      <w:r>
        <w:rPr>
          <w:rFonts w:ascii="Times New Roman" w:hAnsi="Times New Roman" w:cs="Times New Roman" w:eastAsia="Times New Roman" w:hint="default"/>
          <w:spacing w:val="-1"/>
        </w:rPr>
        <w:t>7</w:t>
      </w:r>
      <w:r>
        <w:rPr>
          <w:spacing w:val="-1"/>
        </w:rPr>
        <w:t>）根据本公司与深圳市科技创新委员会签订的</w:t>
      </w:r>
      <w:r>
        <w:rPr>
          <w:rFonts w:ascii="Times New Roman" w:hAnsi="Times New Roman" w:cs="Times New Roman" w:eastAsia="Times New Roman" w:hint="default"/>
          <w:spacing w:val="-1"/>
        </w:rPr>
        <w:t>“</w:t>
      </w:r>
      <w:r>
        <w:rPr>
          <w:spacing w:val="-1"/>
        </w:rPr>
        <w:t>深圳市国家和省计划配套项目合同书</w:t>
      </w:r>
      <w:r>
        <w:rPr>
          <w:rFonts w:ascii="Times New Roman" w:hAnsi="Times New Roman" w:cs="Times New Roman" w:eastAsia="Times New Roman" w:hint="default"/>
          <w:spacing w:val="-1"/>
        </w:rPr>
        <w:t>”</w:t>
      </w:r>
      <w:r>
        <w:rPr>
          <w:spacing w:val="-1"/>
        </w:rPr>
        <w:t>，本公司收到政府补贴款</w:t>
      </w:r>
      <w:r>
        <w:rPr>
          <w:rFonts w:ascii="Times New Roman" w:hAnsi="Times New Roman" w:cs="Times New Roman" w:eastAsia="Times New Roman" w:hint="default"/>
          <w:spacing w:val="-1"/>
        </w:rPr>
        <w:t>42.00</w:t>
      </w:r>
      <w:r>
        <w:rPr>
          <w:rFonts w:ascii="Times New Roman" w:hAnsi="Times New Roman" w:cs="Times New Roman" w:eastAsia="Times New Roman" w:hint="default"/>
        </w:rPr>
        <w:t> </w:t>
      </w:r>
      <w:r>
        <w:rPr/>
        <w:t>万元，主要用于该项目研发，本期转入其他收益金额为</w:t>
      </w:r>
      <w:r>
        <w:rPr>
          <w:rFonts w:ascii="Times New Roman" w:hAnsi="Times New Roman" w:cs="Times New Roman" w:eastAsia="Times New Roman" w:hint="default"/>
        </w:rPr>
        <w:t>302,922.84</w:t>
      </w:r>
      <w:r>
        <w:rPr/>
        <w:t>元。</w:t>
      </w:r>
    </w:p>
    <w:p>
      <w:pPr>
        <w:pStyle w:val="BodyText"/>
        <w:spacing w:line="300" w:lineRule="auto" w:before="13"/>
        <w:ind w:right="1184" w:firstLine="360"/>
        <w:jc w:val="both"/>
      </w:pPr>
      <w:r>
        <w:rPr/>
        <w:t>（</w:t>
      </w:r>
      <w:r>
        <w:rPr>
          <w:rFonts w:ascii="Times New Roman" w:hAnsi="Times New Roman" w:cs="Times New Roman" w:eastAsia="Times New Roman" w:hint="default"/>
        </w:rPr>
        <w:t>8</w:t>
      </w:r>
      <w:r>
        <w:rPr/>
        <w:t>）本公司收到深圳市科技创新委员会拨付的深圳市企业研究开发资助计划补贴款</w:t>
      </w:r>
      <w:r>
        <w:rPr>
          <w:rFonts w:ascii="Times New Roman" w:hAnsi="Times New Roman" w:cs="Times New Roman" w:eastAsia="Times New Roman" w:hint="default"/>
        </w:rPr>
        <w:t>128.60</w:t>
      </w:r>
      <w:r>
        <w:rPr/>
        <w:t>万元，本公司之子公司优博 讯软件公司收到深圳市科技创新委员会拨付的深圳市企业研究开发资助计划补贴款</w:t>
      </w:r>
      <w:r>
        <w:rPr>
          <w:rFonts w:ascii="Times New Roman" w:hAnsi="Times New Roman" w:cs="Times New Roman" w:eastAsia="Times New Roman" w:hint="default"/>
        </w:rPr>
        <w:t>65.90</w:t>
      </w:r>
      <w:r>
        <w:rPr/>
        <w:t>万元，本公司之子公司优金支付公 司收到深圳市科技创新委员会拨付的深圳市企业研究开发资助计划补贴款</w:t>
      </w:r>
      <w:r>
        <w:rPr>
          <w:rFonts w:ascii="Times New Roman" w:hAnsi="Times New Roman" w:cs="Times New Roman" w:eastAsia="Times New Roman" w:hint="default"/>
        </w:rPr>
        <w:t>20.90</w:t>
      </w:r>
      <w:r>
        <w:rPr/>
        <w:t>万元，本公司之子公司瑞柏泰公司收到深圳 市科技创新委员会拨付的深圳市企业研究开发资助计划补贴款</w:t>
      </w:r>
      <w:r>
        <w:rPr>
          <w:rFonts w:ascii="Times New Roman" w:hAnsi="Times New Roman" w:cs="Times New Roman" w:eastAsia="Times New Roman" w:hint="default"/>
        </w:rPr>
        <w:t>21.10</w:t>
      </w:r>
      <w:r>
        <w:rPr/>
        <w:t>万元，本公司之子公司帕思菲特公司收到深圳市科技创 新委员会拨付的深圳市企业研究开发资助计划补贴款</w:t>
      </w:r>
      <w:r>
        <w:rPr>
          <w:rFonts w:ascii="Times New Roman" w:hAnsi="Times New Roman" w:cs="Times New Roman" w:eastAsia="Times New Roman" w:hint="default"/>
        </w:rPr>
        <w:t>28.40</w:t>
      </w:r>
      <w:r>
        <w:rPr/>
        <w:t>万元。</w:t>
      </w:r>
    </w:p>
    <w:p>
      <w:pPr>
        <w:pStyle w:val="BodyText"/>
        <w:spacing w:line="240" w:lineRule="auto" w:before="13"/>
        <w:ind w:left="514" w:right="0"/>
        <w:jc w:val="left"/>
      </w:pPr>
      <w:r>
        <w:rPr/>
        <w:t>（</w:t>
      </w:r>
      <w:r>
        <w:rPr>
          <w:rFonts w:ascii="Times New Roman" w:hAnsi="Times New Roman" w:cs="Times New Roman" w:eastAsia="Times New Roman" w:hint="default"/>
        </w:rPr>
        <w:t>9</w:t>
      </w:r>
      <w:r>
        <w:rPr/>
        <w:t>）本公司之子公司优博讯软件公司收到深圳市南山区科学技术局拨付的深圳市南山区企业研发投入支持计划补贴款</w:t>
      </w:r>
    </w:p>
    <w:p>
      <w:pPr>
        <w:pStyle w:val="BodyText"/>
        <w:spacing w:line="240" w:lineRule="auto" w:before="63"/>
        <w:ind w:right="1134"/>
        <w:jc w:val="left"/>
      </w:pPr>
      <w:r>
        <w:rPr>
          <w:rFonts w:ascii="Times New Roman" w:hAnsi="Times New Roman" w:cs="Times New Roman" w:eastAsia="Times New Roman" w:hint="default"/>
        </w:rPr>
        <w:t>32.90</w:t>
      </w:r>
      <w:r>
        <w:rPr/>
        <w:t>万元，本公司之子公司帕思菲特公司收到深圳市南山区科学技术局拨付的深圳市南山区企业研发投入支持计划补贴款</w:t>
      </w:r>
    </w:p>
    <w:p>
      <w:pPr>
        <w:pStyle w:val="BodyText"/>
        <w:spacing w:line="240" w:lineRule="auto" w:before="63"/>
        <w:ind w:right="1134"/>
        <w:jc w:val="left"/>
      </w:pPr>
      <w:r>
        <w:rPr>
          <w:rFonts w:ascii="Times New Roman" w:hAnsi="Times New Roman" w:cs="Times New Roman" w:eastAsia="Times New Roman" w:hint="default"/>
        </w:rPr>
        <w:t>14.20</w:t>
      </w:r>
      <w:r>
        <w:rPr/>
        <w:t>万元。</w:t>
      </w:r>
    </w:p>
    <w:p>
      <w:pPr>
        <w:pStyle w:val="BodyText"/>
        <w:spacing w:line="240" w:lineRule="auto" w:before="63"/>
        <w:ind w:left="514" w:right="1134"/>
        <w:jc w:val="left"/>
      </w:pPr>
      <w:r>
        <w:rPr/>
        <w:t>（</w:t>
      </w:r>
      <w:r>
        <w:rPr>
          <w:rFonts w:ascii="Times New Roman" w:hAnsi="Times New Roman" w:cs="Times New Roman" w:eastAsia="Times New Roman" w:hint="default"/>
        </w:rPr>
        <w:t>10</w:t>
      </w:r>
      <w:r>
        <w:rPr/>
        <w:t>）本公司收到深圳市南山区经济促进局拨付的上市促进贷（企业）补贴款</w:t>
      </w:r>
      <w:r>
        <w:rPr>
          <w:rFonts w:ascii="Times New Roman" w:hAnsi="Times New Roman" w:cs="Times New Roman" w:eastAsia="Times New Roman" w:hint="default"/>
        </w:rPr>
        <w:t>43.37</w:t>
      </w:r>
      <w:r>
        <w:rPr/>
        <w:t>万元。</w:t>
      </w:r>
    </w:p>
    <w:p>
      <w:pPr>
        <w:pStyle w:val="BodyText"/>
        <w:spacing w:line="240" w:lineRule="auto" w:before="63"/>
        <w:ind w:left="514" w:right="1134"/>
        <w:jc w:val="left"/>
      </w:pPr>
      <w:r>
        <w:rPr/>
        <w:t>（</w:t>
      </w:r>
      <w:r>
        <w:rPr>
          <w:rFonts w:ascii="Times New Roman" w:hAnsi="Times New Roman" w:cs="Times New Roman" w:eastAsia="Times New Roman" w:hint="default"/>
        </w:rPr>
        <w:t>11</w:t>
      </w:r>
      <w:r>
        <w:rPr/>
        <w:t>）本公司收到深圳市南山区经济促进局拨付的上市企业并购重组中介费用补贴款</w:t>
      </w:r>
      <w:r>
        <w:rPr>
          <w:rFonts w:ascii="Times New Roman" w:hAnsi="Times New Roman" w:cs="Times New Roman" w:eastAsia="Times New Roman" w:hint="default"/>
        </w:rPr>
        <w:t>43.00</w:t>
      </w:r>
      <w:r>
        <w:rPr/>
        <w:t>万元。</w:t>
      </w:r>
    </w:p>
    <w:p>
      <w:pPr>
        <w:pStyle w:val="BodyText"/>
        <w:spacing w:line="240" w:lineRule="auto" w:before="63"/>
        <w:ind w:left="514" w:right="0"/>
        <w:jc w:val="left"/>
      </w:pPr>
      <w:r>
        <w:rPr/>
        <w:t>（</w:t>
      </w:r>
      <w:r>
        <w:rPr>
          <w:rFonts w:ascii="Times New Roman" w:hAnsi="Times New Roman" w:cs="Times New Roman" w:eastAsia="Times New Roman" w:hint="default"/>
        </w:rPr>
        <w:t>12</w:t>
      </w:r>
      <w:r>
        <w:rPr/>
        <w:t>）本公司及子公司瑞柏泰公司、帕思菲特公司分别收到高新技术企业奖励补贴</w:t>
      </w:r>
      <w:r>
        <w:rPr>
          <w:rFonts w:ascii="Times New Roman" w:hAnsi="Times New Roman" w:cs="Times New Roman" w:eastAsia="Times New Roman" w:hint="default"/>
        </w:rPr>
        <w:t>13.00</w:t>
      </w:r>
      <w:r>
        <w:rPr/>
        <w:t>万元、</w:t>
      </w:r>
      <w:r>
        <w:rPr>
          <w:rFonts w:ascii="Times New Roman" w:hAnsi="Times New Roman" w:cs="Times New Roman" w:eastAsia="Times New Roman" w:hint="default"/>
        </w:rPr>
        <w:t>13.00</w:t>
      </w:r>
      <w:r>
        <w:rPr/>
        <w:t>万元、</w:t>
      </w:r>
      <w:r>
        <w:rPr>
          <w:rFonts w:ascii="Times New Roman" w:hAnsi="Times New Roman" w:cs="Times New Roman" w:eastAsia="Times New Roman" w:hint="default"/>
        </w:rPr>
        <w:t>15.00</w:t>
      </w:r>
      <w:r>
        <w:rPr/>
        <w:t>万元。</w:t>
      </w:r>
    </w:p>
    <w:p>
      <w:pPr>
        <w:spacing w:line="240" w:lineRule="auto" w:before="11"/>
        <w:rPr>
          <w:rFonts w:ascii="宋体" w:hAnsi="宋体" w:cs="宋体" w:eastAsia="宋体" w:hint="default"/>
          <w:sz w:val="25"/>
          <w:szCs w:val="25"/>
        </w:rPr>
      </w:pPr>
    </w:p>
    <w:p>
      <w:pPr>
        <w:pStyle w:val="Heading3"/>
        <w:spacing w:line="240" w:lineRule="auto"/>
        <w:ind w:right="1134"/>
        <w:jc w:val="left"/>
        <w:rPr>
          <w:b w:val="0"/>
          <w:bCs w:val="0"/>
        </w:rPr>
      </w:pPr>
      <w:bookmarkStart w:name="22、股本" w:id="261"/>
      <w:bookmarkEnd w:id="261"/>
      <w:r>
        <w:rPr>
          <w:b w:val="0"/>
          <w:bCs w:val="0"/>
        </w:rPr>
      </w:r>
      <w:r>
        <w:rPr>
          <w:rFonts w:ascii="Times New Roman" w:hAnsi="Times New Roman" w:cs="Times New Roman" w:eastAsia="Times New Roman" w:hint="default"/>
        </w:rPr>
        <w:t>22</w:t>
      </w:r>
      <w:r>
        <w:rPr/>
        <w:t>、股本</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856" w:right="1130"/>
        <w:jc w:val="right"/>
      </w:pPr>
      <w:r>
        <w:rPr/>
        <w:t>单位：元</w:t>
      </w:r>
    </w:p>
    <w:p>
      <w:pPr>
        <w:spacing w:line="240" w:lineRule="auto" w:before="0"/>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1184"/>
        <w:gridCol w:w="1208"/>
        <w:gridCol w:w="1184"/>
        <w:gridCol w:w="1197"/>
        <w:gridCol w:w="1195"/>
        <w:gridCol w:w="1197"/>
        <w:gridCol w:w="1184"/>
        <w:gridCol w:w="1207"/>
      </w:tblGrid>
      <w:tr>
        <w:trPr>
          <w:trHeight w:val="206" w:hRule="exact"/>
        </w:trPr>
        <w:tc>
          <w:tcPr>
            <w:tcW w:w="1184" w:type="dxa"/>
            <w:tcBorders>
              <w:top w:val="single" w:sz="4" w:space="0" w:color="000000"/>
              <w:left w:val="single" w:sz="4" w:space="0" w:color="000000"/>
              <w:bottom w:val="nil" w:sz="6" w:space="0" w:color="auto"/>
              <w:right w:val="single" w:sz="4" w:space="0" w:color="000000"/>
            </w:tcBorders>
            <w:shd w:val="clear" w:color="auto" w:fill="D2D2D2"/>
          </w:tcPr>
          <w:p>
            <w:pPr/>
          </w:p>
        </w:tc>
        <w:tc>
          <w:tcPr>
            <w:tcW w:w="1208" w:type="dxa"/>
            <w:tcBorders>
              <w:top w:val="single" w:sz="4" w:space="0" w:color="000000"/>
              <w:left w:val="single" w:sz="4" w:space="0" w:color="000000"/>
              <w:bottom w:val="nil" w:sz="6" w:space="0" w:color="auto"/>
              <w:right w:val="single" w:sz="4" w:space="0" w:color="000000"/>
            </w:tcBorders>
            <w:shd w:val="clear" w:color="auto" w:fill="D2D2D2"/>
          </w:tcPr>
          <w:p>
            <w:pPr/>
          </w:p>
        </w:tc>
        <w:tc>
          <w:tcPr>
            <w:tcW w:w="5958"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207" w:type="dxa"/>
            <w:tcBorders>
              <w:top w:val="single" w:sz="4" w:space="0" w:color="000000"/>
              <w:left w:val="single" w:sz="4" w:space="0" w:color="000000"/>
              <w:bottom w:val="nil" w:sz="6" w:space="0" w:color="auto"/>
              <w:right w:val="single" w:sz="4" w:space="0" w:color="000000"/>
            </w:tcBorders>
            <w:shd w:val="clear" w:color="auto" w:fill="D2D2D2"/>
          </w:tcPr>
          <w:p>
            <w:pPr/>
          </w:p>
        </w:tc>
      </w:tr>
      <w:tr>
        <w:trPr>
          <w:trHeight w:val="197" w:hRule="exact"/>
        </w:trPr>
        <w:tc>
          <w:tcPr>
            <w:tcW w:w="1184" w:type="dxa"/>
            <w:vMerge w:val="restart"/>
            <w:tcBorders>
              <w:top w:val="nil" w:sz="6" w:space="0" w:color="auto"/>
              <w:left w:val="single" w:sz="4" w:space="0" w:color="000000"/>
              <w:right w:val="single" w:sz="4" w:space="0" w:color="000000"/>
            </w:tcBorders>
            <w:shd w:val="clear" w:color="auto" w:fill="D2D2D2"/>
          </w:tcPr>
          <w:p>
            <w:pPr/>
          </w:p>
        </w:tc>
        <w:tc>
          <w:tcPr>
            <w:tcW w:w="1208"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58" w:type="dxa"/>
            <w:gridSpan w:val="5"/>
            <w:vMerge/>
            <w:tcBorders>
              <w:left w:val="single" w:sz="4" w:space="0" w:color="000000"/>
              <w:bottom w:val="single" w:sz="4" w:space="0" w:color="000000"/>
              <w:right w:val="single" w:sz="4" w:space="0" w:color="000000"/>
            </w:tcBorders>
            <w:shd w:val="clear" w:color="auto" w:fill="D2D2D2"/>
          </w:tcPr>
          <w:p>
            <w:pPr/>
          </w:p>
        </w:tc>
        <w:tc>
          <w:tcPr>
            <w:tcW w:w="120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244"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6" w:hRule="exact"/>
        </w:trPr>
        <w:tc>
          <w:tcPr>
            <w:tcW w:w="1184" w:type="dxa"/>
            <w:vMerge/>
            <w:tcBorders>
              <w:left w:val="single" w:sz="4" w:space="0" w:color="000000"/>
              <w:bottom w:val="nil" w:sz="6" w:space="0" w:color="auto"/>
              <w:right w:val="single" w:sz="4" w:space="0" w:color="000000"/>
            </w:tcBorders>
            <w:shd w:val="clear" w:color="auto" w:fill="D2D2D2"/>
          </w:tcPr>
          <w:p>
            <w:pPr/>
          </w:p>
        </w:tc>
        <w:tc>
          <w:tcPr>
            <w:tcW w:w="1208" w:type="dxa"/>
            <w:vMerge/>
            <w:tcBorders>
              <w:left w:val="single" w:sz="4" w:space="0" w:color="000000"/>
              <w:bottom w:val="nil" w:sz="6" w:space="0" w:color="auto"/>
              <w:right w:val="single" w:sz="4" w:space="0" w:color="000000"/>
            </w:tcBorders>
            <w:shd w:val="clear" w:color="auto" w:fill="D2D2D2"/>
          </w:tcPr>
          <w:p>
            <w:pPr/>
          </w:p>
        </w:tc>
        <w:tc>
          <w:tcPr>
            <w:tcW w:w="11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222"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4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18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0" w:right="0"/>
              <w:jc w:val="center"/>
              <w:rPr>
                <w:rFonts w:ascii="宋体" w:hAnsi="宋体" w:cs="宋体" w:eastAsia="宋体" w:hint="default"/>
                <w:sz w:val="18"/>
                <w:szCs w:val="18"/>
              </w:rPr>
            </w:pPr>
            <w:r>
              <w:rPr>
                <w:rFonts w:ascii="宋体" w:hAnsi="宋体" w:cs="宋体" w:eastAsia="宋体" w:hint="default"/>
                <w:sz w:val="18"/>
                <w:szCs w:val="18"/>
              </w:rPr>
              <w:t>小计</w:t>
            </w:r>
          </w:p>
        </w:tc>
        <w:tc>
          <w:tcPr>
            <w:tcW w:w="1207" w:type="dxa"/>
            <w:vMerge/>
            <w:tcBorders>
              <w:left w:val="single" w:sz="4" w:space="0" w:color="000000"/>
              <w:bottom w:val="nil" w:sz="6" w:space="0" w:color="auto"/>
              <w:right w:val="single" w:sz="4" w:space="0" w:color="000000"/>
            </w:tcBorders>
            <w:shd w:val="clear" w:color="auto" w:fill="D2D2D2"/>
          </w:tcPr>
          <w:p>
            <w:pPr/>
          </w:p>
        </w:tc>
      </w:tr>
      <w:tr>
        <w:trPr>
          <w:trHeight w:val="205" w:hRule="exact"/>
        </w:trPr>
        <w:tc>
          <w:tcPr>
            <w:tcW w:w="1184" w:type="dxa"/>
            <w:tcBorders>
              <w:top w:val="nil" w:sz="6" w:space="0" w:color="auto"/>
              <w:left w:val="single" w:sz="4" w:space="0" w:color="000000"/>
              <w:bottom w:val="single" w:sz="4" w:space="0" w:color="000000"/>
              <w:right w:val="single" w:sz="4" w:space="0" w:color="000000"/>
            </w:tcBorders>
            <w:shd w:val="clear" w:color="auto" w:fill="D2D2D2"/>
          </w:tcPr>
          <w:p>
            <w:pPr/>
          </w:p>
        </w:tc>
        <w:tc>
          <w:tcPr>
            <w:tcW w:w="1208" w:type="dxa"/>
            <w:tcBorders>
              <w:top w:val="nil" w:sz="6" w:space="0" w:color="auto"/>
              <w:left w:val="single" w:sz="4" w:space="0" w:color="000000"/>
              <w:bottom w:val="single" w:sz="4" w:space="0" w:color="000000"/>
              <w:right w:val="single" w:sz="4" w:space="0" w:color="000000"/>
            </w:tcBorders>
            <w:shd w:val="clear" w:color="auto" w:fill="D2D2D2"/>
          </w:tcPr>
          <w:p>
            <w:pPr/>
          </w:p>
        </w:tc>
        <w:tc>
          <w:tcPr>
            <w:tcW w:w="1184"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95" w:type="dxa"/>
            <w:vMerge/>
            <w:tcBorders>
              <w:left w:val="single" w:sz="4" w:space="0" w:color="000000"/>
              <w:bottom w:val="single" w:sz="4" w:space="0" w:color="000000"/>
              <w:right w:val="single" w:sz="4" w:space="0" w:color="000000"/>
            </w:tcBorders>
            <w:shd w:val="clear" w:color="auto" w:fill="D2D2D2"/>
          </w:tcPr>
          <w:p>
            <w:pPr/>
          </w:p>
        </w:tc>
        <w:tc>
          <w:tcPr>
            <w:tcW w:w="1197" w:type="dxa"/>
            <w:vMerge/>
            <w:tcBorders>
              <w:left w:val="single" w:sz="4" w:space="0" w:color="000000"/>
              <w:bottom w:val="single" w:sz="4" w:space="0" w:color="000000"/>
              <w:right w:val="single" w:sz="4" w:space="0" w:color="000000"/>
            </w:tcBorders>
            <w:shd w:val="clear" w:color="auto" w:fill="D2D2D2"/>
          </w:tcPr>
          <w:p>
            <w:pPr/>
          </w:p>
        </w:tc>
        <w:tc>
          <w:tcPr>
            <w:tcW w:w="1184" w:type="dxa"/>
            <w:vMerge/>
            <w:tcBorders>
              <w:left w:val="single" w:sz="4" w:space="0" w:color="000000"/>
              <w:bottom w:val="single" w:sz="4" w:space="0" w:color="000000"/>
              <w:right w:val="single" w:sz="4" w:space="0" w:color="000000"/>
            </w:tcBorders>
            <w:shd w:val="clear" w:color="auto" w:fill="D2D2D2"/>
          </w:tcPr>
          <w:p>
            <w:pPr/>
          </w:p>
        </w:tc>
        <w:tc>
          <w:tcPr>
            <w:tcW w:w="1207" w:type="dxa"/>
            <w:tcBorders>
              <w:top w:val="nil" w:sz="6" w:space="0" w:color="auto"/>
              <w:left w:val="single" w:sz="4" w:space="0" w:color="000000"/>
              <w:bottom w:val="single" w:sz="4" w:space="0" w:color="000000"/>
              <w:right w:val="single" w:sz="4" w:space="0" w:color="000000"/>
            </w:tcBorders>
            <w:shd w:val="clear" w:color="auto" w:fill="D2D2D2"/>
          </w:tcPr>
          <w:p>
            <w:pPr/>
          </w:p>
        </w:tc>
      </w:tr>
      <w:tr>
        <w:trPr>
          <w:trHeight w:val="403" w:hRule="exact"/>
        </w:trPr>
        <w:tc>
          <w:tcPr>
            <w:tcW w:w="1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20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2"/>
              <w:ind w:left="32" w:right="0"/>
              <w:jc w:val="left"/>
              <w:rPr>
                <w:rFonts w:ascii="Times New Roman" w:hAnsi="Times New Roman" w:cs="Times New Roman" w:eastAsia="Times New Roman" w:hint="default"/>
                <w:sz w:val="18"/>
                <w:szCs w:val="18"/>
              </w:rPr>
            </w:pPr>
            <w:r>
              <w:rPr>
                <w:rFonts w:ascii="Times New Roman"/>
                <w:sz w:val="18"/>
              </w:rPr>
              <w:t>280,000,000.00</w:t>
            </w:r>
          </w:p>
        </w:tc>
        <w:tc>
          <w:tcPr>
            <w:tcW w:w="1184"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84" w:type="dxa"/>
            <w:tcBorders>
              <w:top w:val="single" w:sz="4" w:space="0" w:color="000000"/>
              <w:left w:val="single" w:sz="4" w:space="0" w:color="000000"/>
              <w:bottom w:val="single" w:sz="4" w:space="0" w:color="000000"/>
              <w:right w:val="single" w:sz="4" w:space="0" w:color="000000"/>
            </w:tcBorders>
          </w:tcPr>
          <w:p>
            <w:pPr/>
          </w:p>
        </w:tc>
        <w:tc>
          <w:tcPr>
            <w:tcW w:w="1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0" w:right="0"/>
              <w:jc w:val="left"/>
              <w:rPr>
                <w:rFonts w:ascii="Times New Roman" w:hAnsi="Times New Roman" w:cs="Times New Roman" w:eastAsia="Times New Roman" w:hint="default"/>
                <w:sz w:val="18"/>
                <w:szCs w:val="18"/>
              </w:rPr>
            </w:pPr>
            <w:r>
              <w:rPr>
                <w:rFonts w:ascii="Times New Roman"/>
                <w:sz w:val="18"/>
              </w:rPr>
              <w:t>280,000,000.00</w:t>
            </w:r>
          </w:p>
        </w:tc>
      </w:tr>
    </w:tbl>
    <w:p>
      <w:pPr>
        <w:spacing w:after="0" w:line="240" w:lineRule="auto"/>
        <w:jc w:val="lef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right="1134"/>
        <w:jc w:val="left"/>
        <w:rPr>
          <w:b w:val="0"/>
          <w:bCs w:val="0"/>
        </w:rPr>
      </w:pPr>
      <w:bookmarkStart w:name="23、资本公积" w:id="262"/>
      <w:bookmarkEnd w:id="262"/>
      <w:r>
        <w:rPr>
          <w:b w:val="0"/>
          <w:bCs w:val="0"/>
        </w:rPr>
      </w:r>
      <w:r>
        <w:rPr>
          <w:rFonts w:ascii="Times New Roman" w:hAnsi="Times New Roman" w:cs="Times New Roman" w:eastAsia="Times New Roman" w:hint="default"/>
        </w:rPr>
        <w:t>23</w:t>
      </w:r>
      <w:r>
        <w:rPr/>
        <w:t>、资本公积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27,436,695.79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27,436,695.79</w:t>
            </w:r>
          </w:p>
        </w:tc>
      </w:tr>
      <w:tr>
        <w:trPr>
          <w:trHeight w:val="403"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27,436,695.79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27,436,695.79</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4、其他综合收益" w:id="263"/>
      <w:bookmarkEnd w:id="263"/>
      <w:r>
        <w:rPr>
          <w:b w:val="0"/>
          <w:bCs w:val="0"/>
        </w:rPr>
      </w:r>
      <w:r>
        <w:rPr>
          <w:rFonts w:ascii="Times New Roman" w:hAnsi="Times New Roman" w:cs="Times New Roman" w:eastAsia="Times New Roman" w:hint="default"/>
        </w:rPr>
        <w:t>24</w:t>
      </w:r>
      <w:r>
        <w:rPr/>
        <w:t>、其他综合收益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978"/>
        <w:gridCol w:w="903"/>
        <w:gridCol w:w="935"/>
        <w:gridCol w:w="1152"/>
        <w:gridCol w:w="935"/>
        <w:gridCol w:w="936"/>
        <w:gridCol w:w="810"/>
        <w:gridCol w:w="920"/>
      </w:tblGrid>
      <w:tr>
        <w:trPr>
          <w:trHeight w:val="397" w:hRule="exact"/>
        </w:trPr>
        <w:tc>
          <w:tcPr>
            <w:tcW w:w="2978" w:type="dxa"/>
            <w:vMerge w:val="restart"/>
            <w:tcBorders>
              <w:top w:val="single" w:sz="4" w:space="0" w:color="000000"/>
              <w:left w:val="single" w:sz="4" w:space="0" w:color="000000"/>
              <w:right w:val="single" w:sz="4" w:space="0" w:color="000000"/>
            </w:tcBorders>
            <w:shd w:val="clear" w:color="auto" w:fill="D2D2D2"/>
          </w:tcPr>
          <w:p>
            <w:pPr/>
          </w:p>
        </w:tc>
        <w:tc>
          <w:tcPr>
            <w:tcW w:w="903" w:type="dxa"/>
            <w:vMerge w:val="restart"/>
            <w:tcBorders>
              <w:top w:val="single" w:sz="4" w:space="0" w:color="000000"/>
              <w:left w:val="single" w:sz="4" w:space="0" w:color="000000"/>
              <w:right w:val="single" w:sz="4" w:space="0" w:color="000000"/>
            </w:tcBorders>
            <w:shd w:val="clear" w:color="auto" w:fill="D2D2D2"/>
          </w:tcPr>
          <w:p>
            <w:pPr/>
          </w:p>
        </w:tc>
        <w:tc>
          <w:tcPr>
            <w:tcW w:w="4768"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920" w:type="dxa"/>
            <w:vMerge w:val="restart"/>
            <w:tcBorders>
              <w:top w:val="single" w:sz="4" w:space="0" w:color="000000"/>
              <w:left w:val="single" w:sz="4" w:space="0" w:color="000000"/>
              <w:right w:val="single" w:sz="4" w:space="0" w:color="000000"/>
            </w:tcBorders>
            <w:shd w:val="clear" w:color="auto" w:fill="D2D2D2"/>
          </w:tcPr>
          <w:p>
            <w:pPr/>
          </w:p>
        </w:tc>
      </w:tr>
      <w:tr>
        <w:trPr>
          <w:trHeight w:val="121" w:hRule="exact"/>
        </w:trPr>
        <w:tc>
          <w:tcPr>
            <w:tcW w:w="2978" w:type="dxa"/>
            <w:vMerge/>
            <w:tcBorders>
              <w:left w:val="single" w:sz="4" w:space="0" w:color="000000"/>
              <w:bottom w:val="nil" w:sz="6" w:space="0" w:color="auto"/>
              <w:right w:val="single" w:sz="4" w:space="0" w:color="000000"/>
            </w:tcBorders>
            <w:shd w:val="clear" w:color="auto" w:fill="D2D2D2"/>
          </w:tcPr>
          <w:p>
            <w:pPr/>
          </w:p>
        </w:tc>
        <w:tc>
          <w:tcPr>
            <w:tcW w:w="903" w:type="dxa"/>
            <w:vMerge/>
            <w:tcBorders>
              <w:left w:val="single" w:sz="4" w:space="0" w:color="000000"/>
              <w:bottom w:val="nil" w:sz="6" w:space="0" w:color="auto"/>
              <w:right w:val="single" w:sz="4" w:space="0" w:color="000000"/>
            </w:tcBorders>
            <w:shd w:val="clear" w:color="auto" w:fill="D2D2D2"/>
          </w:tcPr>
          <w:p>
            <w:pPr/>
          </w:p>
        </w:tc>
        <w:tc>
          <w:tcPr>
            <w:tcW w:w="935"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6"/>
              <w:ind w:left="102" w:right="101"/>
              <w:jc w:val="center"/>
              <w:rPr>
                <w:rFonts w:ascii="宋体" w:hAnsi="宋体" w:cs="宋体" w:eastAsia="宋体" w:hint="default"/>
                <w:sz w:val="18"/>
                <w:szCs w:val="18"/>
              </w:rPr>
            </w:pPr>
            <w:r>
              <w:rPr>
                <w:rFonts w:ascii="宋体" w:hAnsi="宋体" w:cs="宋体" w:eastAsia="宋体" w:hint="default"/>
                <w:sz w:val="18"/>
                <w:szCs w:val="18"/>
              </w:rPr>
              <w:t>本期所得 税前发生 额</w:t>
            </w:r>
          </w:p>
        </w:tc>
        <w:tc>
          <w:tcPr>
            <w:tcW w:w="115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6"/>
              <w:ind w:left="30" w:right="30"/>
              <w:jc w:val="both"/>
              <w:rPr>
                <w:rFonts w:ascii="宋体" w:hAnsi="宋体" w:cs="宋体" w:eastAsia="宋体" w:hint="default"/>
                <w:sz w:val="18"/>
                <w:szCs w:val="18"/>
              </w:rPr>
            </w:pPr>
            <w:r>
              <w:rPr>
                <w:rFonts w:ascii="宋体" w:hAnsi="宋体" w:cs="宋体" w:eastAsia="宋体" w:hint="default"/>
                <w:sz w:val="18"/>
                <w:szCs w:val="18"/>
              </w:rPr>
              <w:t>减：前期计入 其他综合收益 当期转入损益</w:t>
            </w:r>
          </w:p>
        </w:tc>
        <w:tc>
          <w:tcPr>
            <w:tcW w:w="935" w:type="dxa"/>
            <w:tcBorders>
              <w:top w:val="single" w:sz="4" w:space="0" w:color="000000"/>
              <w:left w:val="single" w:sz="4" w:space="0" w:color="000000"/>
              <w:bottom w:val="nil" w:sz="6" w:space="0" w:color="auto"/>
              <w:right w:val="single" w:sz="4" w:space="0" w:color="000000"/>
            </w:tcBorders>
            <w:shd w:val="clear" w:color="auto" w:fill="D2D2D2"/>
          </w:tcPr>
          <w:p>
            <w:pPr/>
          </w:p>
        </w:tc>
        <w:tc>
          <w:tcPr>
            <w:tcW w:w="936" w:type="dxa"/>
            <w:tcBorders>
              <w:top w:val="single" w:sz="4" w:space="0" w:color="000000"/>
              <w:left w:val="single" w:sz="4" w:space="0" w:color="000000"/>
              <w:bottom w:val="nil" w:sz="6" w:space="0" w:color="auto"/>
              <w:right w:val="single" w:sz="4" w:space="0" w:color="000000"/>
            </w:tcBorders>
            <w:shd w:val="clear" w:color="auto" w:fill="D2D2D2"/>
          </w:tcPr>
          <w:p>
            <w:pPr/>
          </w:p>
        </w:tc>
        <w:tc>
          <w:tcPr>
            <w:tcW w:w="81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6"/>
              <w:ind w:left="39" w:right="38"/>
              <w:jc w:val="center"/>
              <w:rPr>
                <w:rFonts w:ascii="宋体" w:hAnsi="宋体" w:cs="宋体" w:eastAsia="宋体" w:hint="default"/>
                <w:sz w:val="18"/>
                <w:szCs w:val="18"/>
              </w:rPr>
            </w:pPr>
            <w:r>
              <w:rPr>
                <w:rFonts w:ascii="宋体" w:hAnsi="宋体" w:cs="宋体" w:eastAsia="宋体" w:hint="default"/>
                <w:sz w:val="18"/>
                <w:szCs w:val="18"/>
              </w:rPr>
              <w:t>税后归属 于少数股 东</w:t>
            </w:r>
          </w:p>
        </w:tc>
        <w:tc>
          <w:tcPr>
            <w:tcW w:w="920" w:type="dxa"/>
            <w:vMerge/>
            <w:tcBorders>
              <w:left w:val="single" w:sz="4" w:space="0" w:color="000000"/>
              <w:bottom w:val="nil" w:sz="6" w:space="0" w:color="auto"/>
              <w:right w:val="single" w:sz="4" w:space="0" w:color="000000"/>
            </w:tcBorders>
            <w:shd w:val="clear" w:color="auto" w:fill="D2D2D2"/>
          </w:tcPr>
          <w:p>
            <w:pPr/>
          </w:p>
        </w:tc>
      </w:tr>
      <w:tr>
        <w:trPr>
          <w:trHeight w:val="370" w:hRule="exact"/>
        </w:trPr>
        <w:tc>
          <w:tcPr>
            <w:tcW w:w="2978"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90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87"/>
              <w:jc w:val="right"/>
              <w:rPr>
                <w:rFonts w:ascii="宋体" w:hAnsi="宋体" w:cs="宋体" w:eastAsia="宋体" w:hint="default"/>
                <w:sz w:val="18"/>
                <w:szCs w:val="18"/>
              </w:rPr>
            </w:pPr>
            <w:r>
              <w:rPr>
                <w:rFonts w:ascii="宋体" w:hAnsi="宋体" w:cs="宋体" w:eastAsia="宋体" w:hint="default"/>
                <w:sz w:val="18"/>
                <w:szCs w:val="18"/>
              </w:rPr>
              <w:t>期初余额</w:t>
            </w:r>
          </w:p>
        </w:tc>
        <w:tc>
          <w:tcPr>
            <w:tcW w:w="935"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935"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73"/>
              <w:ind w:left="282" w:right="23" w:hanging="260"/>
              <w:jc w:val="left"/>
              <w:rPr>
                <w:rFonts w:ascii="宋体" w:hAnsi="宋体" w:cs="宋体" w:eastAsia="宋体" w:hint="default"/>
                <w:sz w:val="18"/>
                <w:szCs w:val="18"/>
              </w:rPr>
            </w:pPr>
            <w:r>
              <w:rPr>
                <w:rFonts w:ascii="宋体" w:hAnsi="宋体" w:cs="宋体" w:eastAsia="宋体" w:hint="default"/>
                <w:spacing w:val="-5"/>
                <w:sz w:val="18"/>
                <w:szCs w:val="18"/>
              </w:rPr>
              <w:t>减：所得税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费用</w:t>
            </w:r>
          </w:p>
        </w:tc>
        <w:tc>
          <w:tcPr>
            <w:tcW w:w="936" w:type="dxa"/>
            <w:vMerge w:val="restart"/>
            <w:tcBorders>
              <w:top w:val="nil" w:sz="6" w:space="0" w:color="auto"/>
              <w:left w:val="single" w:sz="4" w:space="0" w:color="000000"/>
              <w:right w:val="single" w:sz="4" w:space="0" w:color="000000"/>
            </w:tcBorders>
            <w:shd w:val="clear" w:color="auto" w:fill="D2D2D2"/>
          </w:tcPr>
          <w:p>
            <w:pPr>
              <w:pStyle w:val="TableParagraph"/>
              <w:spacing w:line="319" w:lineRule="auto" w:before="73"/>
              <w:ind w:left="102" w:right="102"/>
              <w:jc w:val="left"/>
              <w:rPr>
                <w:rFonts w:ascii="宋体" w:hAnsi="宋体" w:cs="宋体" w:eastAsia="宋体" w:hint="default"/>
                <w:sz w:val="18"/>
                <w:szCs w:val="18"/>
              </w:rPr>
            </w:pPr>
            <w:r>
              <w:rPr>
                <w:rFonts w:ascii="宋体" w:hAnsi="宋体" w:cs="宋体" w:eastAsia="宋体" w:hint="default"/>
                <w:sz w:val="18"/>
                <w:szCs w:val="18"/>
              </w:rPr>
              <w:t>税后归属 于母公司</w:t>
            </w:r>
          </w:p>
        </w:tc>
        <w:tc>
          <w:tcPr>
            <w:tcW w:w="810" w:type="dxa"/>
            <w:vMerge/>
            <w:tcBorders>
              <w:left w:val="single" w:sz="4" w:space="0" w:color="000000"/>
              <w:right w:val="single" w:sz="4" w:space="0" w:color="000000"/>
            </w:tcBorders>
            <w:shd w:val="clear" w:color="auto" w:fill="D2D2D2"/>
          </w:tcPr>
          <w:p>
            <w:pPr/>
          </w:p>
        </w:tc>
        <w:tc>
          <w:tcPr>
            <w:tcW w:w="92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29"/>
              <w:ind w:right="95"/>
              <w:jc w:val="right"/>
              <w:rPr>
                <w:rFonts w:ascii="宋体" w:hAnsi="宋体" w:cs="宋体" w:eastAsia="宋体" w:hint="default"/>
                <w:sz w:val="18"/>
                <w:szCs w:val="18"/>
              </w:rPr>
            </w:pPr>
            <w:r>
              <w:rPr>
                <w:rFonts w:ascii="宋体" w:hAnsi="宋体" w:cs="宋体" w:eastAsia="宋体" w:hint="default"/>
                <w:sz w:val="18"/>
                <w:szCs w:val="18"/>
              </w:rPr>
              <w:t>期末余额</w:t>
            </w:r>
          </w:p>
        </w:tc>
      </w:tr>
      <w:tr>
        <w:trPr>
          <w:trHeight w:val="356" w:hRule="exact"/>
        </w:trPr>
        <w:tc>
          <w:tcPr>
            <w:tcW w:w="2978" w:type="dxa"/>
            <w:vMerge w:val="restart"/>
            <w:tcBorders>
              <w:top w:val="nil" w:sz="6" w:space="0" w:color="auto"/>
              <w:left w:val="single" w:sz="4" w:space="0" w:color="000000"/>
              <w:right w:val="single" w:sz="4" w:space="0" w:color="000000"/>
            </w:tcBorders>
            <w:shd w:val="clear" w:color="auto" w:fill="D2D2D2"/>
          </w:tcPr>
          <w:p>
            <w:pPr/>
          </w:p>
        </w:tc>
        <w:tc>
          <w:tcPr>
            <w:tcW w:w="903" w:type="dxa"/>
            <w:vMerge w:val="restart"/>
            <w:tcBorders>
              <w:top w:val="nil" w:sz="6" w:space="0" w:color="auto"/>
              <w:left w:val="single" w:sz="4" w:space="0" w:color="000000"/>
              <w:right w:val="single" w:sz="4" w:space="0" w:color="000000"/>
            </w:tcBorders>
            <w:shd w:val="clear" w:color="auto" w:fill="D2D2D2"/>
          </w:tcPr>
          <w:p>
            <w:pPr/>
          </w:p>
        </w:tc>
        <w:tc>
          <w:tcPr>
            <w:tcW w:w="935" w:type="dxa"/>
            <w:vMerge/>
            <w:tcBorders>
              <w:left w:val="single" w:sz="4" w:space="0" w:color="000000"/>
              <w:right w:val="single" w:sz="4" w:space="0" w:color="000000"/>
            </w:tcBorders>
            <w:shd w:val="clear" w:color="auto" w:fill="D2D2D2"/>
          </w:tcPr>
          <w:p>
            <w:pPr/>
          </w:p>
        </w:tc>
        <w:tc>
          <w:tcPr>
            <w:tcW w:w="1152" w:type="dxa"/>
            <w:vMerge/>
            <w:tcBorders>
              <w:left w:val="single" w:sz="4" w:space="0" w:color="000000"/>
              <w:right w:val="single" w:sz="4" w:space="0" w:color="000000"/>
            </w:tcBorders>
            <w:shd w:val="clear" w:color="auto" w:fill="D2D2D2"/>
          </w:tcPr>
          <w:p>
            <w:pPr/>
          </w:p>
        </w:tc>
        <w:tc>
          <w:tcPr>
            <w:tcW w:w="935" w:type="dxa"/>
            <w:vMerge/>
            <w:tcBorders>
              <w:left w:val="single" w:sz="4" w:space="0" w:color="000000"/>
              <w:bottom w:val="nil" w:sz="6" w:space="0" w:color="auto"/>
              <w:right w:val="single" w:sz="4" w:space="0" w:color="000000"/>
            </w:tcBorders>
            <w:shd w:val="clear" w:color="auto" w:fill="D2D2D2"/>
          </w:tcPr>
          <w:p>
            <w:pPr/>
          </w:p>
        </w:tc>
        <w:tc>
          <w:tcPr>
            <w:tcW w:w="936" w:type="dxa"/>
            <w:vMerge/>
            <w:tcBorders>
              <w:left w:val="single" w:sz="4" w:space="0" w:color="000000"/>
              <w:bottom w:val="nil" w:sz="6" w:space="0" w:color="auto"/>
              <w:right w:val="single" w:sz="4" w:space="0" w:color="000000"/>
            </w:tcBorders>
            <w:shd w:val="clear" w:color="auto" w:fill="D2D2D2"/>
          </w:tcPr>
          <w:p>
            <w:pPr/>
          </w:p>
        </w:tc>
        <w:tc>
          <w:tcPr>
            <w:tcW w:w="810" w:type="dxa"/>
            <w:vMerge/>
            <w:tcBorders>
              <w:left w:val="single" w:sz="4" w:space="0" w:color="000000"/>
              <w:right w:val="single" w:sz="4" w:space="0" w:color="000000"/>
            </w:tcBorders>
            <w:shd w:val="clear" w:color="auto" w:fill="D2D2D2"/>
          </w:tcPr>
          <w:p>
            <w:pPr/>
          </w:p>
        </w:tc>
        <w:tc>
          <w:tcPr>
            <w:tcW w:w="920"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2978" w:type="dxa"/>
            <w:vMerge/>
            <w:tcBorders>
              <w:left w:val="single" w:sz="4" w:space="0" w:color="000000"/>
              <w:bottom w:val="single" w:sz="4" w:space="0" w:color="000000"/>
              <w:right w:val="single" w:sz="4" w:space="0" w:color="000000"/>
            </w:tcBorders>
            <w:shd w:val="clear" w:color="auto" w:fill="D2D2D2"/>
          </w:tcPr>
          <w:p>
            <w:pPr/>
          </w:p>
        </w:tc>
        <w:tc>
          <w:tcPr>
            <w:tcW w:w="903" w:type="dxa"/>
            <w:vMerge/>
            <w:tcBorders>
              <w:left w:val="single" w:sz="4" w:space="0" w:color="000000"/>
              <w:bottom w:val="single" w:sz="4" w:space="0" w:color="000000"/>
              <w:right w:val="single" w:sz="4" w:space="0" w:color="000000"/>
            </w:tcBorders>
            <w:shd w:val="clear" w:color="auto" w:fill="D2D2D2"/>
          </w:tcPr>
          <w:p>
            <w:pPr/>
          </w:p>
        </w:tc>
        <w:tc>
          <w:tcPr>
            <w:tcW w:w="935" w:type="dxa"/>
            <w:vMerge/>
            <w:tcBorders>
              <w:left w:val="single" w:sz="4" w:space="0" w:color="000000"/>
              <w:bottom w:val="single" w:sz="4" w:space="0" w:color="000000"/>
              <w:right w:val="single" w:sz="4" w:space="0" w:color="000000"/>
            </w:tcBorders>
            <w:shd w:val="clear" w:color="auto" w:fill="D2D2D2"/>
          </w:tcPr>
          <w:p>
            <w:pPr/>
          </w:p>
        </w:tc>
        <w:tc>
          <w:tcPr>
            <w:tcW w:w="1152" w:type="dxa"/>
            <w:vMerge/>
            <w:tcBorders>
              <w:left w:val="single" w:sz="4" w:space="0" w:color="000000"/>
              <w:bottom w:val="single" w:sz="4" w:space="0" w:color="000000"/>
              <w:right w:val="single" w:sz="4" w:space="0" w:color="000000"/>
            </w:tcBorders>
            <w:shd w:val="clear" w:color="auto" w:fill="D2D2D2"/>
          </w:tcPr>
          <w:p>
            <w:pPr/>
          </w:p>
        </w:tc>
        <w:tc>
          <w:tcPr>
            <w:tcW w:w="935" w:type="dxa"/>
            <w:tcBorders>
              <w:top w:val="nil" w:sz="6" w:space="0" w:color="auto"/>
              <w:left w:val="single" w:sz="4" w:space="0" w:color="000000"/>
              <w:bottom w:val="single" w:sz="4" w:space="0" w:color="000000"/>
              <w:right w:val="single" w:sz="4" w:space="0" w:color="000000"/>
            </w:tcBorders>
            <w:shd w:val="clear" w:color="auto" w:fill="D2D2D2"/>
          </w:tcPr>
          <w:p>
            <w:pPr/>
          </w:p>
        </w:tc>
        <w:tc>
          <w:tcPr>
            <w:tcW w:w="936" w:type="dxa"/>
            <w:tcBorders>
              <w:top w:val="nil" w:sz="6" w:space="0" w:color="auto"/>
              <w:left w:val="single" w:sz="4" w:space="0" w:color="000000"/>
              <w:bottom w:val="single" w:sz="4" w:space="0" w:color="000000"/>
              <w:right w:val="single" w:sz="4" w:space="0" w:color="000000"/>
            </w:tcBorders>
            <w:shd w:val="clear" w:color="auto" w:fill="D2D2D2"/>
          </w:tcPr>
          <w:p>
            <w:pPr/>
          </w:p>
        </w:tc>
        <w:tc>
          <w:tcPr>
            <w:tcW w:w="810" w:type="dxa"/>
            <w:vMerge/>
            <w:tcBorders>
              <w:left w:val="single" w:sz="4" w:space="0" w:color="000000"/>
              <w:bottom w:val="single" w:sz="4" w:space="0" w:color="000000"/>
              <w:right w:val="single" w:sz="4" w:space="0" w:color="000000"/>
            </w:tcBorders>
            <w:shd w:val="clear" w:color="auto" w:fill="D2D2D2"/>
          </w:tcPr>
          <w:p>
            <w:pPr/>
          </w:p>
        </w:tc>
        <w:tc>
          <w:tcPr>
            <w:tcW w:w="920"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二、将重分类进损益的其他综合收益</w:t>
            </w:r>
          </w:p>
        </w:tc>
        <w:tc>
          <w:tcPr>
            <w:tcW w:w="9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-72,919.43</w:t>
            </w:r>
            <w:r>
              <w:rPr>
                <w:rFonts w:ascii="Times New Roman"/>
                <w:sz w:val="18"/>
              </w:rPr>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-19,659.67</w:t>
            </w:r>
            <w:r>
              <w:rPr>
                <w:rFonts w:ascii="Times New Roman"/>
                <w:sz w:val="18"/>
              </w:rPr>
            </w:r>
          </w:p>
        </w:tc>
        <w:tc>
          <w:tcPr>
            <w:tcW w:w="1152"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-19,659.67</w:t>
            </w:r>
            <w:r>
              <w:rPr>
                <w:rFonts w:ascii="Times New Roman"/>
                <w:sz w:val="18"/>
              </w:rPr>
            </w:r>
          </w:p>
        </w:tc>
        <w:tc>
          <w:tcPr>
            <w:tcW w:w="810" w:type="dxa"/>
            <w:tcBorders>
              <w:top w:val="single" w:sz="4" w:space="0" w:color="000000"/>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-92,579.10</w:t>
            </w:r>
            <w:r>
              <w:rPr>
                <w:rFonts w:ascii="Times New Roman"/>
                <w:sz w:val="18"/>
              </w:rPr>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外币财务报表折算差额</w:t>
            </w:r>
          </w:p>
        </w:tc>
        <w:tc>
          <w:tcPr>
            <w:tcW w:w="9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-72,919.43</w:t>
            </w:r>
            <w:r>
              <w:rPr>
                <w:rFonts w:ascii="Times New Roman"/>
                <w:sz w:val="18"/>
              </w:rPr>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-19,659.67</w:t>
            </w:r>
            <w:r>
              <w:rPr>
                <w:rFonts w:ascii="Times New Roman"/>
                <w:sz w:val="18"/>
              </w:rPr>
            </w:r>
          </w:p>
        </w:tc>
        <w:tc>
          <w:tcPr>
            <w:tcW w:w="1152"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-19,659.67</w:t>
            </w:r>
            <w:r>
              <w:rPr>
                <w:rFonts w:ascii="Times New Roman"/>
                <w:sz w:val="18"/>
              </w:rPr>
            </w:r>
          </w:p>
        </w:tc>
        <w:tc>
          <w:tcPr>
            <w:tcW w:w="810" w:type="dxa"/>
            <w:tcBorders>
              <w:top w:val="single" w:sz="4" w:space="0" w:color="000000"/>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-92,579.10</w:t>
            </w:r>
            <w:r>
              <w:rPr>
                <w:rFonts w:ascii="Times New Roman"/>
                <w:sz w:val="18"/>
              </w:rPr>
            </w:r>
          </w:p>
        </w:tc>
      </w:tr>
      <w:tr>
        <w:trPr>
          <w:trHeight w:val="402" w:hRule="exact"/>
        </w:trPr>
        <w:tc>
          <w:tcPr>
            <w:tcW w:w="29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其他综合收益合计</w:t>
            </w:r>
          </w:p>
        </w:tc>
        <w:tc>
          <w:tcPr>
            <w:tcW w:w="9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-72,919.43</w:t>
            </w:r>
            <w:r>
              <w:rPr>
                <w:rFonts w:ascii="Times New Roman"/>
                <w:sz w:val="18"/>
              </w:rPr>
            </w:r>
          </w:p>
        </w:tc>
        <w:tc>
          <w:tcPr>
            <w:tcW w:w="9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-19,659.67</w:t>
            </w:r>
            <w:r>
              <w:rPr>
                <w:rFonts w:ascii="Times New Roman"/>
                <w:sz w:val="18"/>
              </w:rPr>
            </w:r>
          </w:p>
        </w:tc>
        <w:tc>
          <w:tcPr>
            <w:tcW w:w="1152" w:type="dxa"/>
            <w:tcBorders>
              <w:top w:val="single" w:sz="4" w:space="0" w:color="000000"/>
              <w:left w:val="single" w:sz="4" w:space="0" w:color="000000"/>
              <w:bottom w:val="single" w:sz="4" w:space="0" w:color="000000"/>
              <w:right w:val="single" w:sz="4" w:space="0" w:color="000000"/>
            </w:tcBorders>
          </w:tcPr>
          <w:p>
            <w:pPr/>
          </w:p>
        </w:tc>
        <w:tc>
          <w:tcPr>
            <w:tcW w:w="935" w:type="dxa"/>
            <w:tcBorders>
              <w:top w:val="single" w:sz="4" w:space="0" w:color="000000"/>
              <w:left w:val="single" w:sz="4" w:space="0" w:color="000000"/>
              <w:bottom w:val="single" w:sz="4" w:space="0" w:color="000000"/>
              <w:right w:val="single" w:sz="4" w:space="0" w:color="000000"/>
            </w:tcBorders>
          </w:tcPr>
          <w:p>
            <w:pPr/>
          </w:p>
        </w:tc>
        <w:tc>
          <w:tcPr>
            <w:tcW w:w="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-19,659.67</w:t>
            </w:r>
            <w:r>
              <w:rPr>
                <w:rFonts w:ascii="Times New Roman"/>
                <w:sz w:val="18"/>
              </w:rPr>
            </w:r>
          </w:p>
        </w:tc>
        <w:tc>
          <w:tcPr>
            <w:tcW w:w="810" w:type="dxa"/>
            <w:tcBorders>
              <w:top w:val="single" w:sz="4" w:space="0" w:color="000000"/>
              <w:left w:val="single" w:sz="4" w:space="0" w:color="000000"/>
              <w:bottom w:val="single" w:sz="4" w:space="0" w:color="000000"/>
              <w:right w:val="single" w:sz="4" w:space="0" w:color="000000"/>
            </w:tcBorders>
          </w:tcPr>
          <w:p>
            <w:pPr/>
          </w:p>
        </w:tc>
        <w:tc>
          <w:tcPr>
            <w:tcW w:w="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-92,579.10</w:t>
            </w:r>
            <w:r>
              <w:rPr>
                <w:rFonts w:ascii="Times New Roman"/>
                <w:sz w:val="18"/>
              </w:rPr>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5、盈余公积" w:id="264"/>
      <w:bookmarkEnd w:id="264"/>
      <w:r>
        <w:rPr>
          <w:b w:val="0"/>
          <w:bCs w:val="0"/>
        </w:rPr>
      </w:r>
      <w:r>
        <w:rPr>
          <w:rFonts w:ascii="Times New Roman" w:hAnsi="Times New Roman" w:cs="Times New Roman" w:eastAsia="Times New Roman" w:hint="default"/>
        </w:rPr>
        <w:t>25</w:t>
      </w:r>
      <w:r>
        <w:rPr/>
        <w:t>、盈余公积</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889"/>
        <w:gridCol w:w="1928"/>
        <w:gridCol w:w="1914"/>
        <w:gridCol w:w="1914"/>
        <w:gridCol w:w="1914"/>
      </w:tblGrid>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05"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14,252,149.49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4,924,422.48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19,176,571.97</w:t>
            </w:r>
          </w:p>
        </w:tc>
      </w:tr>
      <w:tr>
        <w:trPr>
          <w:trHeight w:val="402" w:hRule="exact"/>
        </w:trPr>
        <w:tc>
          <w:tcPr>
            <w:tcW w:w="18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2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14,252,149.49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4,924,422.48</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19,176,571.97</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6、未分配利润" w:id="265"/>
      <w:bookmarkEnd w:id="265"/>
      <w:r>
        <w:rPr>
          <w:b w:val="0"/>
          <w:bCs w:val="0"/>
        </w:rPr>
      </w:r>
      <w:r>
        <w:rPr>
          <w:rFonts w:ascii="Times New Roman" w:hAnsi="Times New Roman" w:cs="Times New Roman" w:eastAsia="Times New Roman" w:hint="default"/>
        </w:rPr>
        <w:t>26</w:t>
      </w:r>
      <w:r>
        <w:rPr/>
        <w:t>、未分配利润</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714"/>
        <w:gridCol w:w="2936"/>
        <w:gridCol w:w="2919"/>
      </w:tblGrid>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275,248,992.99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242,195,631.08</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275,248,992.99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242,195,631.08</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117,250,420.08</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48,613,327.58</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4,924,422.48</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3,559,965.67</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2"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5,600,000.00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12,000,000.00</w:t>
            </w:r>
          </w:p>
        </w:tc>
      </w:tr>
      <w:tr>
        <w:trPr>
          <w:trHeight w:val="402" w:hRule="exact"/>
        </w:trPr>
        <w:tc>
          <w:tcPr>
            <w:tcW w:w="37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36"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381,974,990.59</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275,248,992.99</w:t>
            </w:r>
          </w:p>
        </w:tc>
      </w:tr>
    </w:tbl>
    <w:p>
      <w:pPr>
        <w:pStyle w:val="BodyText"/>
        <w:spacing w:line="240" w:lineRule="auto" w:before="51"/>
        <w:ind w:right="1134"/>
        <w:jc w:val="left"/>
      </w:pPr>
      <w:r>
        <w:rPr/>
        <w:t>调整期初未分配利润明细：</w:t>
      </w:r>
    </w:p>
    <w:p>
      <w:pPr>
        <w:pStyle w:val="BodyText"/>
        <w:spacing w:line="240" w:lineRule="auto" w:before="117"/>
        <w:ind w:right="1134"/>
        <w:jc w:val="left"/>
      </w:pPr>
      <w:r>
        <w:rPr>
          <w:rFonts w:ascii="Times New Roman" w:hAnsi="Times New Roman" w:cs="Times New Roman" w:eastAsia="Times New Roman" w:hint="default"/>
        </w:rPr>
        <w:t>1)</w:t>
      </w:r>
      <w:r>
        <w:rPr/>
        <w:t>、由于《企业会计准则》及其相关新规定进行追溯调整，影响期初未分配利润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pStyle w:val="BodyText"/>
        <w:spacing w:line="240" w:lineRule="auto" w:before="102"/>
        <w:ind w:right="1134"/>
        <w:jc w:val="left"/>
      </w:pPr>
      <w:r>
        <w:rPr>
          <w:rFonts w:ascii="Times New Roman" w:hAnsi="Times New Roman" w:cs="Times New Roman" w:eastAsia="Times New Roman" w:hint="default"/>
        </w:rPr>
        <w:t>2)</w:t>
      </w:r>
      <w:r>
        <w:rPr/>
        <w:t>、由于会计政策变更，影响期初未分配利润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after="0" w:line="240"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1134"/>
        <w:jc w:val="left"/>
      </w:pPr>
      <w:r>
        <w:rPr>
          <w:rFonts w:ascii="Times New Roman" w:hAnsi="Times New Roman" w:cs="Times New Roman" w:eastAsia="Times New Roman" w:hint="default"/>
        </w:rPr>
        <w:t>3)</w:t>
      </w:r>
      <w:r>
        <w:rPr/>
        <w:t>、由于重大会计差错更正，影响期初未分配利润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pStyle w:val="BodyText"/>
        <w:spacing w:line="240" w:lineRule="auto" w:before="102"/>
        <w:ind w:right="1134"/>
        <w:jc w:val="left"/>
      </w:pPr>
      <w:r>
        <w:rPr>
          <w:rFonts w:ascii="Times New Roman" w:hAnsi="Times New Roman" w:cs="Times New Roman" w:eastAsia="Times New Roman" w:hint="default"/>
        </w:rPr>
        <w:t>4)</w:t>
      </w:r>
      <w:r>
        <w:rPr/>
        <w:t>、由于同一控制导致的合并范围变更，影响期初未分配利润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w:t>
      </w:r>
    </w:p>
    <w:p>
      <w:pPr>
        <w:pStyle w:val="BodyText"/>
        <w:spacing w:line="240" w:lineRule="auto" w:before="103"/>
        <w:ind w:right="1134"/>
        <w:jc w:val="left"/>
      </w:pPr>
      <w:r>
        <w:rPr>
          <w:rFonts w:ascii="Times New Roman" w:hAnsi="Times New Roman" w:cs="Times New Roman" w:eastAsia="Times New Roman" w:hint="default"/>
        </w:rPr>
        <w:t>5)</w:t>
      </w:r>
      <w:r>
        <w:rPr/>
        <w:t>、其他调整合计影响期初未分配利润</w:t>
      </w:r>
      <w:r>
        <w:rPr>
          <w:spacing w:val="-46"/>
        </w:rPr>
        <w:t> </w:t>
      </w:r>
      <w:r>
        <w:rPr>
          <w:rFonts w:ascii="Times New Roman" w:hAnsi="Times New Roman" w:cs="Times New Roman" w:eastAsia="Times New Roman" w:hint="default"/>
        </w:rPr>
        <w:t>0.00</w:t>
      </w:r>
      <w:r>
        <w:rPr>
          <w:rFonts w:ascii="Times New Roman" w:hAnsi="Times New Roman" w:cs="Times New Roman" w:eastAsia="Times New Roman" w:hint="default"/>
          <w:spacing w:val="-1"/>
        </w:rPr>
        <w:t> </w:t>
      </w:r>
      <w:r>
        <w:rPr/>
        <w:t>元。</w:t>
      </w:r>
    </w:p>
    <w:p>
      <w:pPr>
        <w:spacing w:line="240" w:lineRule="auto" w:before="9"/>
        <w:rPr>
          <w:rFonts w:ascii="宋体" w:hAnsi="宋体" w:cs="宋体" w:eastAsia="宋体" w:hint="default"/>
          <w:sz w:val="25"/>
          <w:szCs w:val="25"/>
        </w:rPr>
      </w:pPr>
    </w:p>
    <w:p>
      <w:pPr>
        <w:pStyle w:val="Heading3"/>
        <w:spacing w:line="240" w:lineRule="auto"/>
        <w:ind w:right="1134"/>
        <w:jc w:val="left"/>
        <w:rPr>
          <w:b w:val="0"/>
          <w:bCs w:val="0"/>
        </w:rPr>
      </w:pPr>
      <w:bookmarkStart w:name="27、营业收入和营业成本" w:id="266"/>
      <w:bookmarkEnd w:id="266"/>
      <w:r>
        <w:rPr>
          <w:b w:val="0"/>
          <w:bCs w:val="0"/>
        </w:rPr>
      </w:r>
      <w:r>
        <w:rPr>
          <w:rFonts w:ascii="Times New Roman" w:hAnsi="Times New Roman" w:cs="Times New Roman" w:eastAsia="Times New Roman" w:hint="default"/>
        </w:rPr>
        <w:t>27</w:t>
      </w:r>
      <w:r>
        <w:rPr/>
        <w:t>、营业收入和营业成本</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01"/>
        <w:gridCol w:w="1917"/>
        <w:gridCol w:w="1914"/>
        <w:gridCol w:w="1914"/>
        <w:gridCol w:w="1914"/>
      </w:tblGrid>
      <w:tr>
        <w:trPr>
          <w:trHeight w:val="206" w:hRule="exact"/>
        </w:trPr>
        <w:tc>
          <w:tcPr>
            <w:tcW w:w="1901" w:type="dxa"/>
            <w:tcBorders>
              <w:top w:val="single" w:sz="4" w:space="0" w:color="000000"/>
              <w:left w:val="single" w:sz="4" w:space="0" w:color="000000"/>
              <w:bottom w:val="nil" w:sz="6" w:space="0" w:color="auto"/>
              <w:right w:val="single" w:sz="4" w:space="0" w:color="000000"/>
            </w:tcBorders>
            <w:shd w:val="clear" w:color="auto" w:fill="D2D2D2"/>
          </w:tcPr>
          <w:p>
            <w:pPr/>
          </w:p>
        </w:tc>
        <w:tc>
          <w:tcPr>
            <w:tcW w:w="383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1" w:hRule="exact"/>
        </w:trPr>
        <w:tc>
          <w:tcPr>
            <w:tcW w:w="1901"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vMerge/>
            <w:tcBorders>
              <w:left w:val="single" w:sz="4" w:space="0" w:color="000000"/>
              <w:bottom w:val="single" w:sz="4" w:space="0" w:color="000000"/>
              <w:right w:val="single" w:sz="4" w:space="0" w:color="000000"/>
            </w:tcBorders>
            <w:shd w:val="clear" w:color="auto" w:fill="D2D2D2"/>
          </w:tcPr>
          <w:p>
            <w:pPr/>
          </w:p>
        </w:tc>
        <w:tc>
          <w:tcPr>
            <w:tcW w:w="3828"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1901" w:type="dxa"/>
            <w:vMerge/>
            <w:tcBorders>
              <w:left w:val="single" w:sz="4" w:space="0" w:color="000000"/>
              <w:bottom w:val="nil" w:sz="6" w:space="0" w:color="auto"/>
              <w:right w:val="single" w:sz="4" w:space="0" w:color="000000"/>
            </w:tcBorders>
            <w:shd w:val="clear" w:color="auto" w:fill="D2D2D2"/>
          </w:tcPr>
          <w:p>
            <w:pPr/>
          </w:p>
        </w:tc>
        <w:tc>
          <w:tcPr>
            <w:tcW w:w="191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1"/>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5" w:hRule="exact"/>
        </w:trPr>
        <w:tc>
          <w:tcPr>
            <w:tcW w:w="1901" w:type="dxa"/>
            <w:tcBorders>
              <w:top w:val="nil" w:sz="6" w:space="0" w:color="auto"/>
              <w:left w:val="single" w:sz="4" w:space="0" w:color="000000"/>
              <w:bottom w:val="single" w:sz="4" w:space="0" w:color="000000"/>
              <w:right w:val="single" w:sz="4" w:space="0" w:color="000000"/>
            </w:tcBorders>
            <w:shd w:val="clear" w:color="auto" w:fill="D2D2D2"/>
          </w:tcPr>
          <w:p>
            <w:pPr/>
          </w:p>
        </w:tc>
        <w:tc>
          <w:tcPr>
            <w:tcW w:w="1917"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c>
          <w:tcPr>
            <w:tcW w:w="1914"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951,939,425.66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634,928,821.30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443,219,977.40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277,183,767.82</w:t>
            </w:r>
          </w:p>
        </w:tc>
      </w:tr>
      <w:tr>
        <w:trPr>
          <w:trHeight w:val="402" w:hRule="exact"/>
        </w:trPr>
        <w:tc>
          <w:tcPr>
            <w:tcW w:w="19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951,939,425.66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634,928,821.30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443,219,977.40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277,183,767.82</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8、税金及附加" w:id="267"/>
      <w:bookmarkEnd w:id="267"/>
      <w:r>
        <w:rPr>
          <w:b w:val="0"/>
          <w:bCs w:val="0"/>
        </w:rPr>
      </w:r>
      <w:r>
        <w:rPr>
          <w:rFonts w:ascii="Times New Roman" w:hAnsi="Times New Roman" w:cs="Times New Roman" w:eastAsia="Times New Roman" w:hint="default"/>
        </w:rPr>
        <w:t>28</w:t>
      </w:r>
      <w:r>
        <w:rPr/>
        <w:t>、税金及附加</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2,328,142.16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1,728,705.88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1,636,970.08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1,234,073.03</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103,627.82</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印花税等</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794,545.52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321,154.48</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4,863,285.58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3,283,933.39</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9、销售费用" w:id="268"/>
      <w:bookmarkEnd w:id="268"/>
      <w:r>
        <w:rPr>
          <w:b w:val="0"/>
          <w:bCs w:val="0"/>
        </w:rPr>
      </w:r>
      <w:r>
        <w:rPr>
          <w:rFonts w:ascii="Times New Roman" w:hAnsi="Times New Roman" w:cs="Times New Roman" w:eastAsia="Times New Roman" w:hint="default"/>
        </w:rPr>
        <w:t>29</w:t>
      </w:r>
      <w:r>
        <w:rPr/>
        <w:t>、销售费用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24,904,491.46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15,557,461.28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市场推广费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14,182,530.49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8,056,889.79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办公及差旅费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4,677,106.44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3,141,506.08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房租水电费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2,277,677.19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1,493,058.34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交通运输费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2,948,774.85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2,173,902.25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咨询服务费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2,627,882.99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2,144,434.87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售后费用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7,165,407.58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3,423,433.87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1,105,171.57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484,411.05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59,889,042.57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36,475,097.53</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right="1134"/>
        <w:jc w:val="left"/>
        <w:rPr>
          <w:b w:val="0"/>
          <w:bCs w:val="0"/>
        </w:rPr>
      </w:pPr>
      <w:bookmarkStart w:name="30、管理费用" w:id="269"/>
      <w:bookmarkEnd w:id="269"/>
      <w:r>
        <w:rPr>
          <w:b w:val="0"/>
          <w:bCs w:val="0"/>
        </w:rPr>
      </w:r>
      <w:r>
        <w:rPr>
          <w:rFonts w:ascii="Times New Roman" w:hAnsi="Times New Roman" w:cs="Times New Roman" w:eastAsia="Times New Roman" w:hint="default"/>
        </w:rPr>
        <w:t>30</w:t>
      </w:r>
      <w:r>
        <w:rPr/>
        <w:t>、管理费用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11,341,447.94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9,336,970.28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行政办公费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3,321,394.46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3,793,608.46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中介及咨询费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1,967,811.67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2,742,132.44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房租水电费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1,717,968.46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1,472,779.12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交通运输费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416,617.03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514,960.31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折旧及摊销费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1,796,126.90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1,294,727.68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存货损失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15,040,848.74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2,368,091.16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440,829.57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261,488.17</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36,043,044.77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21,784,757.62</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31、研发费用" w:id="270"/>
      <w:bookmarkEnd w:id="270"/>
      <w:r>
        <w:rPr>
          <w:b w:val="0"/>
          <w:bCs w:val="0"/>
        </w:rPr>
      </w:r>
      <w:r>
        <w:rPr>
          <w:rFonts w:ascii="Times New Roman" w:hAnsi="Times New Roman" w:cs="Times New Roman" w:eastAsia="Times New Roman" w:hint="default"/>
        </w:rPr>
        <w:t>31</w:t>
      </w:r>
      <w:r>
        <w:rPr/>
        <w:t>、研发费用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43,440,748.58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32,650,065.86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房租水电费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3,670,331.15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3,534,391.87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咨询服务费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1,844,683.30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943,372.67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原材料费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2,781,611.00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2,281,672.81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折旧及摊销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2,828,759.69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1,683,510.02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技术维护费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13,305,678.98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10,484,234.32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4,359,612.35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4,292,648.26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72,231,425.05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55,869,895.81</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32、财务费用" w:id="271"/>
      <w:bookmarkEnd w:id="271"/>
      <w:r>
        <w:rPr>
          <w:b w:val="0"/>
          <w:bCs w:val="0"/>
        </w:rPr>
      </w:r>
      <w:r>
        <w:rPr>
          <w:rFonts w:ascii="Times New Roman" w:hAnsi="Times New Roman" w:cs="Times New Roman" w:eastAsia="Times New Roman" w:hint="default"/>
        </w:rPr>
        <w:t>32</w:t>
      </w:r>
      <w:r>
        <w:rPr/>
        <w:t>、财务费用</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3,950,449.39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-156,871.40</w:t>
            </w:r>
            <w:r>
              <w:rPr>
                <w:rFonts w:ascii="Times New Roman"/>
                <w:sz w:val="18"/>
              </w:rPr>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3,207,330.84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1,560,105.95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-4,869,107.54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1,927,245.29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银行手续费及其他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2,907,205.31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489,598.27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-1,218,783.68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699,866.21</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right="1134"/>
        <w:jc w:val="left"/>
        <w:rPr>
          <w:b w:val="0"/>
          <w:bCs w:val="0"/>
        </w:rPr>
      </w:pPr>
      <w:bookmarkStart w:name="33、资产减值损失" w:id="272"/>
      <w:bookmarkEnd w:id="272"/>
      <w:r>
        <w:rPr>
          <w:b w:val="0"/>
          <w:bCs w:val="0"/>
        </w:rPr>
      </w:r>
      <w:r>
        <w:rPr>
          <w:rFonts w:ascii="Times New Roman" w:hAnsi="Times New Roman" w:cs="Times New Roman" w:eastAsia="Times New Roman" w:hint="default"/>
        </w:rPr>
        <w:t>33</w:t>
      </w:r>
      <w:r>
        <w:rPr/>
        <w:t>、资产减值损失</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11,818,660.37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3,285,162.49</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二、存货跌价损失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18,074,814.70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7,434,801.83</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十三、商誉减值损失</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2,400,390.72</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32,293,865.79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10,719,964.32</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34、其他收益" w:id="273"/>
      <w:bookmarkEnd w:id="273"/>
      <w:r>
        <w:rPr>
          <w:b w:val="0"/>
          <w:bCs w:val="0"/>
        </w:rPr>
      </w:r>
      <w:r>
        <w:rPr>
          <w:rFonts w:ascii="Times New Roman" w:hAnsi="Times New Roman" w:cs="Times New Roman" w:eastAsia="Times New Roman" w:hint="default"/>
        </w:rPr>
        <w:t>34</w:t>
      </w:r>
      <w:r>
        <w:rPr/>
        <w:t>、其他收益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8,827,558.45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5,454,429.83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税收返还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19,339,558.58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13,164,252.39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个税手续费返还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91,569.35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83,550.08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28,258,686.38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18,702,232.30</w:t>
            </w:r>
          </w:p>
        </w:tc>
      </w:tr>
    </w:tbl>
    <w:p>
      <w:pPr>
        <w:pStyle w:val="BodyText"/>
        <w:spacing w:line="240" w:lineRule="auto" w:before="10"/>
        <w:ind w:left="514" w:right="1134"/>
        <w:jc w:val="left"/>
      </w:pPr>
      <w:r>
        <w:rPr/>
        <w:t>计入其他收益的政府补助：</w:t>
      </w:r>
    </w:p>
    <w:p>
      <w:pPr>
        <w:spacing w:line="240" w:lineRule="auto" w:before="1"/>
        <w:rPr>
          <w:rFonts w:ascii="宋体" w:hAnsi="宋体" w:cs="宋体" w:eastAsia="宋体" w:hint="default"/>
          <w:sz w:val="5"/>
          <w:szCs w:val="5"/>
        </w:rPr>
      </w:pPr>
    </w:p>
    <w:tbl>
      <w:tblPr>
        <w:tblW w:w="0" w:type="auto"/>
        <w:jc w:val="left"/>
        <w:tblInd w:w="164" w:type="dxa"/>
        <w:tblLayout w:type="fixed"/>
        <w:tblCellMar>
          <w:top w:w="0" w:type="dxa"/>
          <w:left w:w="0" w:type="dxa"/>
          <w:bottom w:w="0" w:type="dxa"/>
          <w:right w:w="0" w:type="dxa"/>
        </w:tblCellMar>
        <w:tblLook w:val="01E0"/>
      </w:tblPr>
      <w:tblGrid>
        <w:gridCol w:w="2436"/>
        <w:gridCol w:w="2438"/>
        <w:gridCol w:w="2438"/>
        <w:gridCol w:w="2296"/>
      </w:tblGrid>
      <w:tr>
        <w:trPr>
          <w:trHeight w:val="317" w:hRule="exact"/>
        </w:trPr>
        <w:tc>
          <w:tcPr>
            <w:tcW w:w="24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763"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43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763"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29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left="217" w:right="0"/>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Times New Roman" w:hAnsi="Times New Roman" w:cs="Times New Roman" w:eastAsia="Times New Roman" w:hint="default"/>
                <w:sz w:val="18"/>
                <w:szCs w:val="18"/>
              </w:rPr>
              <w:t>/</w:t>
            </w:r>
            <w:r>
              <w:rPr>
                <w:rFonts w:ascii="宋体" w:hAnsi="宋体" w:cs="宋体" w:eastAsia="宋体" w:hint="default"/>
                <w:sz w:val="18"/>
                <w:szCs w:val="18"/>
              </w:rPr>
              <w:t>与收益相关</w:t>
            </w:r>
          </w:p>
        </w:tc>
      </w:tr>
      <w:tr>
        <w:trPr>
          <w:trHeight w:val="383" w:hRule="exact"/>
        </w:trPr>
        <w:tc>
          <w:tcPr>
            <w:tcW w:w="2436" w:type="dxa"/>
            <w:tcBorders>
              <w:top w:val="single" w:sz="11" w:space="0" w:color="D9D9D9"/>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递延收益转入</w:t>
            </w:r>
          </w:p>
        </w:tc>
        <w:tc>
          <w:tcPr>
            <w:tcW w:w="2438" w:type="dxa"/>
            <w:tcBorders>
              <w:top w:val="single" w:sz="11" w:space="0" w:color="D9D9D9"/>
              <w:left w:val="single" w:sz="4" w:space="0" w:color="000000"/>
              <w:bottom w:val="single" w:sz="4" w:space="0" w:color="000000"/>
              <w:right w:val="single" w:sz="4" w:space="0" w:color="000000"/>
            </w:tcBorders>
          </w:tcPr>
          <w:p>
            <w:pPr>
              <w:pStyle w:val="TableParagraph"/>
              <w:spacing w:line="240" w:lineRule="auto" w:before="74"/>
              <w:ind w:right="100"/>
              <w:jc w:val="right"/>
              <w:rPr>
                <w:rFonts w:ascii="Times New Roman" w:hAnsi="Times New Roman" w:cs="Times New Roman" w:eastAsia="Times New Roman" w:hint="default"/>
                <w:sz w:val="18"/>
                <w:szCs w:val="18"/>
              </w:rPr>
            </w:pPr>
            <w:r>
              <w:rPr>
                <w:rFonts w:ascii="Times New Roman"/>
                <w:spacing w:val="-1"/>
                <w:sz w:val="18"/>
              </w:rPr>
              <w:t>8,827,558.45</w:t>
            </w:r>
          </w:p>
        </w:tc>
        <w:tc>
          <w:tcPr>
            <w:tcW w:w="2438" w:type="dxa"/>
            <w:tcBorders>
              <w:top w:val="single" w:sz="11" w:space="0" w:color="D9D9D9"/>
              <w:left w:val="single" w:sz="4" w:space="0" w:color="000000"/>
              <w:bottom w:val="single" w:sz="4" w:space="0" w:color="000000"/>
              <w:right w:val="single" w:sz="4" w:space="0" w:color="000000"/>
            </w:tcBorders>
          </w:tcPr>
          <w:p>
            <w:pPr>
              <w:pStyle w:val="TableParagraph"/>
              <w:spacing w:line="240" w:lineRule="auto" w:before="74"/>
              <w:ind w:right="101"/>
              <w:jc w:val="right"/>
              <w:rPr>
                <w:rFonts w:ascii="Times New Roman" w:hAnsi="Times New Roman" w:cs="Times New Roman" w:eastAsia="Times New Roman" w:hint="default"/>
                <w:sz w:val="18"/>
                <w:szCs w:val="18"/>
              </w:rPr>
            </w:pPr>
            <w:r>
              <w:rPr>
                <w:rFonts w:ascii="Times New Roman"/>
                <w:spacing w:val="-1"/>
                <w:sz w:val="18"/>
              </w:rPr>
              <w:t>5,454,429.83</w:t>
            </w:r>
          </w:p>
        </w:tc>
        <w:tc>
          <w:tcPr>
            <w:tcW w:w="2296" w:type="dxa"/>
            <w:tcBorders>
              <w:top w:val="single" w:sz="11" w:space="0" w:color="D9D9D9"/>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详见本注释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p>
        </w:tc>
      </w:tr>
      <w:tr>
        <w:trPr>
          <w:trHeight w:val="350" w:hRule="exact"/>
        </w:trPr>
        <w:tc>
          <w:tcPr>
            <w:tcW w:w="24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0"/>
              <w:jc w:val="right"/>
              <w:rPr>
                <w:rFonts w:ascii="Times New Roman" w:hAnsi="Times New Roman" w:cs="Times New Roman" w:eastAsia="Times New Roman" w:hint="default"/>
                <w:sz w:val="18"/>
                <w:szCs w:val="18"/>
              </w:rPr>
            </w:pPr>
            <w:r>
              <w:rPr>
                <w:rFonts w:ascii="Times New Roman"/>
                <w:spacing w:val="-1"/>
                <w:sz w:val="18"/>
              </w:rPr>
              <w:t>8,827,558.45</w:t>
            </w:r>
          </w:p>
        </w:tc>
        <w:tc>
          <w:tcPr>
            <w:tcW w:w="24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01"/>
              <w:jc w:val="right"/>
              <w:rPr>
                <w:rFonts w:ascii="Times New Roman" w:hAnsi="Times New Roman" w:cs="Times New Roman" w:eastAsia="Times New Roman" w:hint="default"/>
                <w:sz w:val="18"/>
                <w:szCs w:val="18"/>
              </w:rPr>
            </w:pPr>
            <w:r>
              <w:rPr>
                <w:rFonts w:ascii="Times New Roman"/>
                <w:spacing w:val="-1"/>
                <w:sz w:val="18"/>
              </w:rPr>
              <w:t>5,454,429.83</w:t>
            </w:r>
          </w:p>
        </w:tc>
        <w:tc>
          <w:tcPr>
            <w:tcW w:w="2296"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35、投资收益" w:id="274"/>
      <w:bookmarkEnd w:id="274"/>
      <w:r>
        <w:rPr>
          <w:b w:val="0"/>
          <w:bCs w:val="0"/>
        </w:rPr>
      </w:r>
      <w:r>
        <w:rPr>
          <w:rFonts w:ascii="Times New Roman" w:hAnsi="Times New Roman" w:cs="Times New Roman" w:eastAsia="Times New Roman" w:hint="default"/>
        </w:rPr>
        <w:t>35</w:t>
      </w:r>
      <w:r>
        <w:rPr/>
        <w:t>、投资收益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460"/>
        <w:gridCol w:w="3191"/>
        <w:gridCol w:w="2918"/>
      </w:tblGrid>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19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6,531,113.71</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271,365.44</w:t>
            </w:r>
          </w:p>
        </w:tc>
      </w:tr>
      <w:tr>
        <w:trPr>
          <w:trHeight w:val="402"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理财产品收益</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1,355,814.32</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3,397,186.75</w:t>
            </w:r>
          </w:p>
        </w:tc>
      </w:tr>
      <w:tr>
        <w:trPr>
          <w:trHeight w:val="403"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7,886,928.03</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3,668,552.19</w:t>
            </w:r>
          </w:p>
        </w:tc>
      </w:tr>
    </w:tbl>
    <w:p>
      <w:pPr>
        <w:pStyle w:val="BodyText"/>
        <w:spacing w:line="240" w:lineRule="auto" w:before="51"/>
        <w:ind w:right="1134"/>
        <w:jc w:val="left"/>
      </w:pPr>
      <w:r>
        <w:rPr/>
        <w:t>其他说明：投资收益本期发生额较上期增加</w:t>
      </w:r>
      <w:r>
        <w:rPr>
          <w:spacing w:val="-54"/>
        </w:rPr>
        <w:t> </w:t>
      </w:r>
      <w:r>
        <w:rPr>
          <w:rFonts w:ascii="Times New Roman" w:hAnsi="Times New Roman" w:cs="Times New Roman" w:eastAsia="Times New Roman" w:hint="default"/>
        </w:rPr>
        <w:t>114.99%</w:t>
      </w:r>
      <w:r>
        <w:rPr/>
        <w:t>，主要系公司联营企业权益法核算确认投资收益所致。</w:t>
      </w:r>
    </w:p>
    <w:p>
      <w:pPr>
        <w:spacing w:line="240" w:lineRule="auto" w:before="9"/>
        <w:rPr>
          <w:rFonts w:ascii="宋体" w:hAnsi="宋体" w:cs="宋体" w:eastAsia="宋体" w:hint="default"/>
          <w:sz w:val="25"/>
          <w:szCs w:val="25"/>
        </w:rPr>
      </w:pPr>
    </w:p>
    <w:p>
      <w:pPr>
        <w:pStyle w:val="Heading3"/>
        <w:spacing w:line="240" w:lineRule="auto"/>
        <w:ind w:right="1134"/>
        <w:jc w:val="left"/>
        <w:rPr>
          <w:b w:val="0"/>
          <w:bCs w:val="0"/>
        </w:rPr>
      </w:pPr>
      <w:bookmarkStart w:name="36、公允价值变动收益" w:id="275"/>
      <w:bookmarkEnd w:id="275"/>
      <w:r>
        <w:rPr>
          <w:b w:val="0"/>
          <w:bCs w:val="0"/>
        </w:rPr>
      </w:r>
      <w:r>
        <w:rPr>
          <w:rFonts w:ascii="Times New Roman" w:hAnsi="Times New Roman" w:cs="Times New Roman" w:eastAsia="Times New Roman" w:hint="default"/>
        </w:rPr>
        <w:t>36</w:t>
      </w:r>
      <w:r>
        <w:rPr/>
        <w:t>、公允价值变动收益</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17" w:right="0"/>
              <w:jc w:val="left"/>
              <w:rPr>
                <w:rFonts w:ascii="宋体" w:hAnsi="宋体" w:cs="宋体" w:eastAsia="宋体" w:hint="default"/>
                <w:sz w:val="18"/>
                <w:szCs w:val="18"/>
              </w:rPr>
            </w:pPr>
            <w:r>
              <w:rPr>
                <w:rFonts w:ascii="宋体" w:hAnsi="宋体" w:cs="宋体" w:eastAsia="宋体" w:hint="default"/>
                <w:sz w:val="18"/>
                <w:szCs w:val="18"/>
              </w:rPr>
              <w:t>产生公允价值变动收益的来源</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货币掉期收益</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1,628,397.10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结构性存款</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w w:val="95"/>
                <w:sz w:val="18"/>
              </w:rPr>
              <w:t>-359,802.74</w:t>
            </w:r>
            <w:r>
              <w:rPr>
                <w:rFonts w:ascii="Times New Roman"/>
                <w:sz w:val="18"/>
              </w:rPr>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应收业绩补偿款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1,664,820.06</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3,293,217.16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-359,802.74</w:t>
            </w:r>
            <w:r>
              <w:rPr>
                <w:rFonts w:ascii="Times New Roman"/>
                <w:sz w:val="18"/>
              </w:rPr>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37、资产处置收益" w:id="276"/>
      <w:bookmarkEnd w:id="276"/>
      <w:r>
        <w:rPr>
          <w:b w:val="0"/>
          <w:bCs w:val="0"/>
        </w:rPr>
      </w:r>
      <w:r>
        <w:rPr>
          <w:rFonts w:ascii="Times New Roman" w:hAnsi="Times New Roman" w:cs="Times New Roman" w:eastAsia="Times New Roman" w:hint="default"/>
        </w:rPr>
        <w:t>37</w:t>
      </w:r>
      <w:r>
        <w:rPr/>
        <w:t>、资产处置收益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固定资产处置利得或损失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70,749.14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579.13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长期待摊费用处置利得或损失</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45,645.78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70,749.14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46,224.91</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38、营业外收入" w:id="277"/>
      <w:bookmarkEnd w:id="277"/>
      <w:r>
        <w:rPr>
          <w:b w:val="0"/>
          <w:bCs w:val="0"/>
        </w:rPr>
      </w:r>
      <w:r>
        <w:rPr>
          <w:rFonts w:ascii="Times New Roman" w:hAnsi="Times New Roman" w:cs="Times New Roman" w:eastAsia="Times New Roman" w:hint="default"/>
        </w:rPr>
        <w:t>38</w:t>
      </w:r>
      <w:r>
        <w:rPr/>
        <w:t>、营业外收入</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71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违约赔偿款</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450,000.00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662,393.17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450,000.00</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156,548.68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119,609.41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156,548.68</w:t>
            </w: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606,548.68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782,002.58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606,548.68</w:t>
            </w:r>
          </w:p>
        </w:tc>
      </w:tr>
    </w:tbl>
    <w:p>
      <w:pPr>
        <w:spacing w:line="240" w:lineRule="auto" w:before="3"/>
        <w:rPr>
          <w:rFonts w:ascii="宋体" w:hAnsi="宋体" w:cs="宋体" w:eastAsia="宋体" w:hint="default"/>
          <w:sz w:val="19"/>
          <w:szCs w:val="19"/>
        </w:rPr>
      </w:pPr>
    </w:p>
    <w:p>
      <w:pPr>
        <w:pStyle w:val="Heading3"/>
        <w:spacing w:line="240" w:lineRule="auto" w:before="35"/>
        <w:ind w:right="1134"/>
        <w:jc w:val="left"/>
        <w:rPr>
          <w:b w:val="0"/>
          <w:bCs w:val="0"/>
        </w:rPr>
      </w:pPr>
      <w:bookmarkStart w:name="39、营业外支出" w:id="278"/>
      <w:bookmarkEnd w:id="278"/>
      <w:r>
        <w:rPr>
          <w:b w:val="0"/>
          <w:bCs w:val="0"/>
        </w:rPr>
      </w:r>
      <w:r>
        <w:rPr>
          <w:rFonts w:ascii="Times New Roman" w:hAnsi="Times New Roman" w:cs="Times New Roman" w:eastAsia="Times New Roman" w:hint="default"/>
        </w:rPr>
        <w:t>39</w:t>
      </w:r>
      <w:r>
        <w:rPr/>
        <w:t>、营业外支出</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0"/>
        <w:gridCol w:w="2396"/>
        <w:gridCol w:w="2392"/>
        <w:gridCol w:w="2392"/>
      </w:tblGrid>
      <w:tr>
        <w:trPr>
          <w:trHeight w:val="161" w:hRule="exact"/>
        </w:trPr>
        <w:tc>
          <w:tcPr>
            <w:tcW w:w="2390"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6"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tcBorders>
              <w:top w:val="single" w:sz="4" w:space="0" w:color="000000"/>
              <w:left w:val="single" w:sz="4" w:space="0" w:color="000000"/>
              <w:bottom w:val="nil" w:sz="6" w:space="0" w:color="auto"/>
              <w:right w:val="single" w:sz="4" w:space="0" w:color="000000"/>
            </w:tcBorders>
            <w:shd w:val="clear" w:color="auto" w:fill="D2D2D2"/>
          </w:tcPr>
          <w:p>
            <w:pPr/>
          </w:p>
        </w:tc>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391" w:hRule="exact"/>
        </w:trPr>
        <w:tc>
          <w:tcPr>
            <w:tcW w:w="2390"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vMerge/>
            <w:tcBorders>
              <w:left w:val="single" w:sz="4" w:space="0" w:color="000000"/>
              <w:right w:val="single" w:sz="4" w:space="0" w:color="000000"/>
            </w:tcBorders>
            <w:shd w:val="clear" w:color="auto" w:fill="D2D2D2"/>
          </w:tcPr>
          <w:p>
            <w:pPr/>
          </w:p>
        </w:tc>
      </w:tr>
      <w:tr>
        <w:trPr>
          <w:trHeight w:val="161" w:hRule="exact"/>
        </w:trPr>
        <w:tc>
          <w:tcPr>
            <w:tcW w:w="2390"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tcBorders>
              <w:top w:val="nil" w:sz="6" w:space="0" w:color="auto"/>
              <w:left w:val="single" w:sz="4" w:space="0" w:color="000000"/>
              <w:bottom w:val="single" w:sz="4" w:space="0" w:color="000000"/>
              <w:right w:val="single" w:sz="4" w:space="0" w:color="000000"/>
            </w:tcBorders>
            <w:shd w:val="clear" w:color="auto" w:fill="D2D2D2"/>
          </w:tcPr>
          <w:p>
            <w:pPr/>
          </w:p>
        </w:tc>
        <w:tc>
          <w:tcPr>
            <w:tcW w:w="2392"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1,658,450.00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1,658,450.00</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非流动资产毁损报废损失</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96,380.99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202,663.79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96,380.99</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滞纳金</w:t>
            </w:r>
          </w:p>
        </w:tc>
        <w:tc>
          <w:tcPr>
            <w:tcW w:w="2396"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1,507.01</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201,247.06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4,253.58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201,247.06</w:t>
            </w:r>
          </w:p>
        </w:tc>
      </w:tr>
      <w:tr>
        <w:trPr>
          <w:trHeight w:val="403"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1,956,078.05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218,424.38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1,956,078.05</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40、所得税费用" w:id="279"/>
      <w:bookmarkEnd w:id="279"/>
      <w:r>
        <w:rPr>
          <w:b w:val="0"/>
          <w:bCs w:val="0"/>
        </w:rPr>
      </w:r>
      <w:r>
        <w:rPr>
          <w:rFonts w:ascii="Times New Roman" w:hAnsi="Times New Roman" w:cs="Times New Roman" w:eastAsia="Times New Roman" w:hint="default"/>
        </w:rPr>
        <w:t>40</w:t>
      </w:r>
      <w:r>
        <w:rPr/>
        <w:t>、所得税费用</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所得税费用表" w:id="280"/>
      <w:bookmarkEnd w:id="280"/>
      <w:r>
        <w:rPr>
          <w:b w:val="0"/>
          <w:bCs w:val="0"/>
        </w:rPr>
      </w:r>
      <w:r>
        <w:rPr/>
        <w:t>（</w:t>
      </w:r>
      <w:r>
        <w:rPr>
          <w:rFonts w:ascii="Times New Roman" w:hAnsi="Times New Roman" w:cs="Times New Roman" w:eastAsia="Times New Roman" w:hint="default"/>
        </w:rPr>
        <w:t>1</w:t>
      </w:r>
      <w:r>
        <w:rPr/>
        <w:t>）所得税费用表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4"/>
        <w:gridCol w:w="3206"/>
        <w:gridCol w:w="3189"/>
      </w:tblGrid>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23,246,442.21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5,390,301.60</w:t>
            </w:r>
          </w:p>
        </w:tc>
      </w:tr>
      <w:tr>
        <w:trPr>
          <w:trHeight w:val="402" w:hRule="exact"/>
        </w:trPr>
        <w:tc>
          <w:tcPr>
            <w:tcW w:w="3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20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-2,700,103.04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-883,315.10</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20,546,339.17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4,506,986.50</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会计利润与所得税费用调整过程" w:id="281"/>
      <w:bookmarkEnd w:id="281"/>
      <w:r>
        <w:rPr>
          <w:b w:val="0"/>
          <w:bCs w:val="0"/>
        </w:rPr>
      </w:r>
      <w:r>
        <w:rPr/>
        <w:t>（</w:t>
      </w:r>
      <w:r>
        <w:rPr>
          <w:rFonts w:ascii="Times New Roman" w:hAnsi="Times New Roman" w:cs="Times New Roman" w:eastAsia="Times New Roman" w:hint="default"/>
        </w:rPr>
        <w:t>2</w:t>
      </w:r>
      <w:r>
        <w:rPr/>
        <w:t>）会计利润与所得税费用调整过程</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4757"/>
        <w:gridCol w:w="4800"/>
      </w:tblGrid>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151,068,775.62</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22,660,316.34</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3,549,645.76</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348,418.62</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-1,109,567.81</w:t>
            </w:r>
          </w:p>
        </w:tc>
      </w:tr>
      <w:tr>
        <w:trPr>
          <w:trHeight w:val="714"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 w:right="55"/>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 损的影响</w:t>
            </w:r>
          </w:p>
        </w:tc>
        <w:tc>
          <w:tcPr>
            <w:tcW w:w="4800"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2,058,325.12</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4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w w:val="95"/>
                <w:sz w:val="18"/>
              </w:rPr>
              <w:t>-131.98</w:t>
            </w:r>
            <w:r>
              <w:rPr>
                <w:rFonts w:ascii="Times New Roman"/>
                <w:sz w:val="18"/>
              </w:rPr>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研发费用加计扣除影响</w:t>
            </w:r>
          </w:p>
        </w:tc>
        <w:tc>
          <w:tcPr>
            <w:tcW w:w="4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-6,960,666.88</w:t>
            </w:r>
          </w:p>
        </w:tc>
      </w:tr>
      <w:tr>
        <w:trPr>
          <w:trHeight w:val="402" w:hRule="exact"/>
        </w:trPr>
        <w:tc>
          <w:tcPr>
            <w:tcW w:w="47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20,546,339.17</w:t>
            </w:r>
          </w:p>
        </w:tc>
      </w:tr>
    </w:tbl>
    <w:p>
      <w:pPr>
        <w:spacing w:line="240" w:lineRule="auto" w:before="2"/>
        <w:rPr>
          <w:rFonts w:ascii="宋体" w:hAnsi="宋体" w:cs="宋体" w:eastAsia="宋体" w:hint="default"/>
          <w:sz w:val="19"/>
          <w:szCs w:val="19"/>
        </w:rPr>
      </w:pPr>
    </w:p>
    <w:p>
      <w:pPr>
        <w:spacing w:line="544" w:lineRule="auto" w:before="35"/>
        <w:ind w:left="154" w:right="8855" w:firstLine="0"/>
        <w:jc w:val="left"/>
        <w:rPr>
          <w:rFonts w:ascii="宋体" w:hAnsi="宋体" w:cs="宋体" w:eastAsia="宋体" w:hint="default"/>
          <w:sz w:val="21"/>
          <w:szCs w:val="21"/>
        </w:rPr>
      </w:pPr>
      <w:bookmarkStart w:name="41、其他综合收益" w:id="282"/>
      <w:bookmarkEnd w:id="282"/>
      <w:r>
        <w:rPr/>
      </w:r>
      <w:r>
        <w:rPr>
          <w:rFonts w:ascii="Times New Roman" w:hAnsi="Times New Roman" w:cs="Times New Roman" w:eastAsia="Times New Roman" w:hint="default"/>
          <w:b/>
          <w:bCs/>
          <w:sz w:val="21"/>
          <w:szCs w:val="21"/>
        </w:rPr>
        <w:t>41</w:t>
      </w:r>
      <w:r>
        <w:rPr>
          <w:rFonts w:ascii="宋体" w:hAnsi="宋体" w:cs="宋体" w:eastAsia="宋体" w:hint="default"/>
          <w:b/>
          <w:bCs/>
          <w:sz w:val="21"/>
          <w:szCs w:val="21"/>
        </w:rPr>
        <w:t>、其他综合收益</w:t>
      </w:r>
      <w:r>
        <w:rPr>
          <w:rFonts w:ascii="宋体" w:hAnsi="宋体" w:cs="宋体" w:eastAsia="宋体" w:hint="default"/>
          <w:b/>
          <w:bCs/>
          <w:w w:val="99"/>
          <w:sz w:val="21"/>
          <w:szCs w:val="21"/>
        </w:rPr>
        <w:t> </w:t>
      </w:r>
      <w:r>
        <w:rPr>
          <w:rFonts w:ascii="宋体" w:hAnsi="宋体" w:cs="宋体" w:eastAsia="宋体" w:hint="default"/>
          <w:sz w:val="18"/>
          <w:szCs w:val="18"/>
        </w:rPr>
        <w:t>详见附注七、</w:t>
      </w:r>
      <w:r>
        <w:rPr>
          <w:rFonts w:ascii="Times New Roman" w:hAnsi="Times New Roman" w:cs="Times New Roman" w:eastAsia="Times New Roman" w:hint="default"/>
          <w:sz w:val="18"/>
          <w:szCs w:val="18"/>
        </w:rPr>
        <w:t>24</w:t>
      </w:r>
      <w:r>
        <w:rPr>
          <w:rFonts w:ascii="宋体" w:hAnsi="宋体" w:cs="宋体" w:eastAsia="宋体" w:hint="default"/>
          <w:sz w:val="18"/>
          <w:szCs w:val="18"/>
        </w:rPr>
        <w:t>。 </w:t>
      </w:r>
      <w:bookmarkStart w:name="42、现金流量表项目" w:id="283"/>
      <w:bookmarkEnd w:id="283"/>
      <w:r>
        <w:rPr>
          <w:rFonts w:ascii="宋体" w:hAnsi="宋体" w:cs="宋体" w:eastAsia="宋体" w:hint="default"/>
          <w:sz w:val="18"/>
          <w:szCs w:val="18"/>
        </w:rPr>
      </w:r>
      <w:r>
        <w:rPr>
          <w:rFonts w:ascii="Times New Roman" w:hAnsi="Times New Roman" w:cs="Times New Roman" w:eastAsia="Times New Roman" w:hint="default"/>
          <w:b/>
          <w:bCs/>
          <w:sz w:val="21"/>
          <w:szCs w:val="21"/>
        </w:rPr>
        <w:t>42</w:t>
      </w:r>
      <w:r>
        <w:rPr>
          <w:rFonts w:ascii="宋体" w:hAnsi="宋体" w:cs="宋体" w:eastAsia="宋体" w:hint="default"/>
          <w:b/>
          <w:bCs/>
          <w:sz w:val="21"/>
          <w:szCs w:val="21"/>
        </w:rPr>
        <w:t>、现金流量表项目</w:t>
      </w:r>
      <w:r>
        <w:rPr>
          <w:rFonts w:ascii="宋体" w:hAnsi="宋体" w:cs="宋体" w:eastAsia="宋体" w:hint="default"/>
          <w:sz w:val="21"/>
          <w:szCs w:val="21"/>
        </w:rPr>
      </w:r>
    </w:p>
    <w:p>
      <w:pPr>
        <w:pStyle w:val="Heading3"/>
        <w:spacing w:line="240" w:lineRule="auto" w:before="28"/>
        <w:ind w:right="1134"/>
        <w:jc w:val="left"/>
        <w:rPr>
          <w:b w:val="0"/>
          <w:bCs w:val="0"/>
        </w:rPr>
      </w:pPr>
      <w:bookmarkStart w:name="（1）收到的其他与经营活动有关的现金" w:id="284"/>
      <w:bookmarkEnd w:id="284"/>
      <w:r>
        <w:rPr>
          <w:b w:val="0"/>
          <w:bCs w:val="0"/>
        </w:rPr>
      </w:r>
      <w:r>
        <w:rPr/>
        <w:t>（</w:t>
      </w:r>
      <w:r>
        <w:rPr>
          <w:rFonts w:ascii="Times New Roman" w:hAnsi="Times New Roman" w:cs="Times New Roman" w:eastAsia="Times New Roman" w:hint="default"/>
        </w:rPr>
        <w:t>1</w:t>
      </w:r>
      <w:r>
        <w:rPr/>
        <w:t>）收到的其他与经营活动有关的现金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8,309,087.12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3,634,007.96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2,926,015.88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483,849.47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8,871,970.16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2,078,265.78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79,537.47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1,003,276.78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20,186,610.63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7,199,399.99</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支付的其他与经营活动有关的现金" w:id="285"/>
      <w:bookmarkEnd w:id="285"/>
      <w:r>
        <w:rPr>
          <w:b w:val="0"/>
          <w:bCs w:val="0"/>
        </w:rPr>
      </w:r>
      <w:r>
        <w:rPr/>
        <w:t>（</w:t>
      </w:r>
      <w:r>
        <w:rPr>
          <w:rFonts w:ascii="Times New Roman" w:hAnsi="Times New Roman" w:cs="Times New Roman" w:eastAsia="Times New Roman" w:hint="default"/>
        </w:rPr>
        <w:t>2</w:t>
      </w:r>
      <w:r>
        <w:rPr/>
        <w:t>）支付的其他与经营活动有关的现金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3,964,734.57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4,186,043.90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费用支出</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60,593,404.42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47,051,199.59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64,558,138.99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51,237,243.49</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3）收到的其他与投资活动有关的现金" w:id="286"/>
      <w:bookmarkEnd w:id="286"/>
      <w:r>
        <w:rPr>
          <w:b w:val="0"/>
          <w:bCs w:val="0"/>
        </w:rPr>
      </w:r>
      <w:r>
        <w:rPr/>
        <w:t>（</w:t>
      </w:r>
      <w:r>
        <w:rPr>
          <w:rFonts w:ascii="Times New Roman" w:hAnsi="Times New Roman" w:cs="Times New Roman" w:eastAsia="Times New Roman" w:hint="default"/>
        </w:rPr>
        <w:t>3</w:t>
      </w:r>
      <w:r>
        <w:rPr/>
        <w:t>）收到的其他与投资活动有关的现金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理财产品</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442,500,000.00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469,000,000.00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并购重组诚意金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232,451.22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447,500,000.00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469,232,451.22</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p>
      <w:pPr>
        <w:pStyle w:val="Heading3"/>
        <w:spacing w:line="240" w:lineRule="auto" w:before="35"/>
        <w:ind w:right="1134"/>
        <w:jc w:val="left"/>
        <w:rPr>
          <w:b w:val="0"/>
          <w:bCs w:val="0"/>
        </w:rPr>
      </w:pPr>
      <w:bookmarkStart w:name="（4）支付的其他与投资活动有关的现金" w:id="287"/>
      <w:bookmarkEnd w:id="287"/>
      <w:r>
        <w:rPr>
          <w:b w:val="0"/>
          <w:bCs w:val="0"/>
        </w:rPr>
      </w:r>
      <w:r>
        <w:rPr/>
        <w:t>（</w:t>
      </w:r>
      <w:r>
        <w:rPr>
          <w:rFonts w:ascii="Times New Roman" w:hAnsi="Times New Roman" w:cs="Times New Roman" w:eastAsia="Times New Roman" w:hint="default"/>
        </w:rPr>
        <w:t>4</w:t>
      </w:r>
      <w:r>
        <w:rPr/>
        <w:t>）支付的其他与投资活动有关的现金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理财产品及结构性存款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442,500,000.00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331,000,000.00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并购重组诚意金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447,500,000.00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331,000,000.00</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5）收到的其他与筹资活动有关的现金" w:id="288"/>
      <w:bookmarkEnd w:id="288"/>
      <w:r>
        <w:rPr>
          <w:b w:val="0"/>
          <w:bCs w:val="0"/>
        </w:rPr>
      </w:r>
      <w:r>
        <w:rPr/>
        <w:t>（</w:t>
      </w:r>
      <w:r>
        <w:rPr>
          <w:rFonts w:ascii="Times New Roman" w:hAnsi="Times New Roman" w:cs="Times New Roman" w:eastAsia="Times New Roman" w:hint="default"/>
        </w:rPr>
        <w:t>5</w:t>
      </w:r>
      <w:r>
        <w:rPr/>
        <w:t>）收到的其他与筹资活动有关的现金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募集资金存款利息及其他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207,686.44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711,283.50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银行承兑及保函保证金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3,052,505.26</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3,260,191.70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711,283.50</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6）支付的其他与筹资活动有关的现金" w:id="289"/>
      <w:bookmarkEnd w:id="289"/>
      <w:r>
        <w:rPr>
          <w:b w:val="0"/>
          <w:bCs w:val="0"/>
        </w:rPr>
      </w:r>
      <w:r>
        <w:rPr/>
        <w:t>（</w:t>
      </w:r>
      <w:r>
        <w:rPr>
          <w:rFonts w:ascii="Times New Roman" w:hAnsi="Times New Roman" w:cs="Times New Roman" w:eastAsia="Times New Roman" w:hint="default"/>
        </w:rPr>
        <w:t>6</w:t>
      </w:r>
      <w:r>
        <w:rPr/>
        <w:t>）支付的其他与筹资活动有关的现金</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银行承兑汇票及保函保证金</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17,008,151.80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保函手续费等融资费用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2,339,359.51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1,062,397.21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发行费用及其他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2,072.08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763,517.66</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2,341,431.59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18,834,066.67</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sz w:val="24"/>
          <w:szCs w:val="24"/>
        </w:rPr>
      </w:pPr>
    </w:p>
    <w:p>
      <w:pPr>
        <w:pStyle w:val="Heading3"/>
        <w:spacing w:line="240" w:lineRule="auto" w:before="35"/>
        <w:ind w:right="1134"/>
        <w:jc w:val="left"/>
        <w:rPr>
          <w:b w:val="0"/>
          <w:bCs w:val="0"/>
        </w:rPr>
      </w:pPr>
      <w:bookmarkStart w:name="43、现金流量表补充资料" w:id="290"/>
      <w:bookmarkEnd w:id="290"/>
      <w:r>
        <w:rPr>
          <w:b w:val="0"/>
          <w:bCs w:val="0"/>
        </w:rPr>
      </w:r>
      <w:r>
        <w:rPr>
          <w:rFonts w:ascii="Times New Roman" w:hAnsi="Times New Roman" w:cs="Times New Roman" w:eastAsia="Times New Roman" w:hint="default"/>
        </w:rPr>
        <w:t>43</w:t>
      </w:r>
      <w:r>
        <w:rPr/>
        <w:t>、现金流量表补充资料</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现金流量表补充资料" w:id="291"/>
      <w:bookmarkEnd w:id="291"/>
      <w:r>
        <w:rPr>
          <w:b w:val="0"/>
          <w:bCs w:val="0"/>
        </w:rPr>
      </w:r>
      <w:r>
        <w:rPr/>
        <w:t>（</w:t>
      </w:r>
      <w:r>
        <w:rPr>
          <w:rFonts w:ascii="Times New Roman" w:hAnsi="Times New Roman" w:cs="Times New Roman" w:eastAsia="Times New Roman" w:hint="default"/>
        </w:rPr>
        <w:t>1</w:t>
      </w:r>
      <w:r>
        <w:rPr/>
        <w:t>）现金流量表补充资料</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947"/>
        <w:gridCol w:w="2988"/>
        <w:gridCol w:w="2622"/>
      </w:tblGrid>
      <w:tr>
        <w:trPr>
          <w:trHeight w:val="403"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1"/>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2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2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130,522,436.45</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55,316,493.06</w:t>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32,293,865.79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10,719,964.32</w:t>
            </w:r>
          </w:p>
        </w:tc>
      </w:tr>
      <w:tr>
        <w:trPr>
          <w:trHeight w:val="714"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1" w:right="11"/>
              <w:jc w:val="left"/>
              <w:rPr>
                <w:rFonts w:ascii="宋体" w:hAnsi="宋体" w:cs="宋体" w:eastAsia="宋体" w:hint="default"/>
                <w:sz w:val="18"/>
                <w:szCs w:val="18"/>
              </w:rPr>
            </w:pPr>
            <w:r>
              <w:rPr>
                <w:rFonts w:ascii="宋体" w:hAnsi="宋体" w:cs="宋体" w:eastAsia="宋体" w:hint="default"/>
                <w:spacing w:val="-3"/>
                <w:sz w:val="18"/>
                <w:szCs w:val="18"/>
              </w:rPr>
              <w:t>固定资产折旧、油气资产折耗、生产性生物资产折</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旧</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4,171,667.30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2,581,127.77</w:t>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937,914.72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451,629.69</w:t>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3,658,313.54</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3,380,390.84</w:t>
            </w:r>
          </w:p>
        </w:tc>
      </w:tr>
      <w:tr>
        <w:trPr>
          <w:trHeight w:val="714"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w:t>
            </w:r>
          </w:p>
          <w:p>
            <w:pPr>
              <w:pStyle w:val="TableParagraph"/>
              <w:spacing w:line="240" w:lineRule="auto" w:before="76"/>
              <w:ind w:left="11" w:right="0"/>
              <w:jc w:val="left"/>
              <w:rPr>
                <w:rFonts w:ascii="宋体" w:hAnsi="宋体" w:cs="宋体" w:eastAsia="宋体" w:hint="default"/>
                <w:sz w:val="18"/>
                <w:szCs w:val="18"/>
              </w:rPr>
            </w:pPr>
            <w:r>
              <w:rPr>
                <w:rFonts w:ascii="宋体" w:hAnsi="宋体" w:cs="宋体" w:eastAsia="宋体" w:hint="default"/>
                <w:sz w:val="18"/>
                <w:szCs w:val="18"/>
              </w:rPr>
              <w:t>（收益以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-70,749.14</w:t>
            </w:r>
            <w:r>
              <w:rPr>
                <w:rFonts w:ascii="Times New Roman"/>
                <w:sz w:val="18"/>
              </w:rPr>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w w:val="95"/>
                <w:sz w:val="18"/>
              </w:rPr>
              <w:t>-46,224.91</w:t>
            </w:r>
            <w:r>
              <w:rPr>
                <w:rFonts w:ascii="Times New Roman"/>
                <w:sz w:val="18"/>
              </w:rPr>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96,380.99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202,663.79</w:t>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-3,293,217.16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359,802.74</w:t>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5,564,272.21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2,552,018.00</w:t>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-7,886,928.03</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-3,668,552.19</w:t>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-2,641,467.46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-782,057.87</w:t>
            </w:r>
            <w:r>
              <w:rPr>
                <w:rFonts w:ascii="Times New Roman"/>
                <w:sz w:val="18"/>
              </w:rPr>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-58,635.58</w:t>
            </w:r>
            <w:r>
              <w:rPr>
                <w:rFonts w:ascii="Times New Roman"/>
                <w:sz w:val="18"/>
              </w:rPr>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w w:val="95"/>
                <w:sz w:val="18"/>
              </w:rPr>
              <w:t>-101,257.23</w:t>
            </w:r>
            <w:r>
              <w:rPr>
                <w:rFonts w:ascii="Times New Roman"/>
                <w:sz w:val="18"/>
              </w:rPr>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-145,776,446.12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3,337,852.98</w:t>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-153,993,954.59</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-37,410,292.82</w:t>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109,196,682.96</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21,922,810.97</w:t>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-27,279,864.12</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58,816,369.14</w:t>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．不涉及现金收支的重大投资和筹资活动：</w:t>
            </w:r>
          </w:p>
        </w:tc>
        <w:tc>
          <w:tcPr>
            <w:tcW w:w="2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2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2" w:right="0"/>
              <w:jc w:val="center"/>
              <w:rPr>
                <w:rFonts w:ascii="Times New Roman" w:hAnsi="Times New Roman" w:cs="Times New Roman" w:eastAsia="Times New Roman" w:hint="default"/>
                <w:sz w:val="18"/>
                <w:szCs w:val="18"/>
              </w:rPr>
            </w:pPr>
            <w:r>
              <w:rPr>
                <w:rFonts w:ascii="Times New Roman"/>
                <w:sz w:val="18"/>
              </w:rPr>
              <w:t>--</w:t>
            </w:r>
          </w:p>
        </w:tc>
        <w:tc>
          <w:tcPr>
            <w:tcW w:w="26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361,387,283.21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303,043,074.70</w:t>
            </w:r>
          </w:p>
        </w:tc>
      </w:tr>
      <w:tr>
        <w:trPr>
          <w:trHeight w:val="402"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303,043,074.70</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186,811,730.63</w:t>
            </w:r>
          </w:p>
        </w:tc>
      </w:tr>
      <w:tr>
        <w:trPr>
          <w:trHeight w:val="403" w:hRule="exact"/>
        </w:trPr>
        <w:tc>
          <w:tcPr>
            <w:tcW w:w="39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98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58,344,208.51</w:t>
            </w:r>
          </w:p>
        </w:tc>
        <w:tc>
          <w:tcPr>
            <w:tcW w:w="26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116,231,344.07</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现金和现金等价物的构成" w:id="292"/>
      <w:bookmarkEnd w:id="292"/>
      <w:r>
        <w:rPr>
          <w:b w:val="0"/>
          <w:bCs w:val="0"/>
        </w:rPr>
      </w:r>
      <w:r>
        <w:rPr/>
        <w:t>（</w:t>
      </w:r>
      <w:r>
        <w:rPr>
          <w:rFonts w:ascii="Times New Roman" w:hAnsi="Times New Roman" w:cs="Times New Roman" w:eastAsia="Times New Roman" w:hint="default"/>
        </w:rPr>
        <w:t>2</w:t>
      </w:r>
      <w:r>
        <w:rPr/>
        <w:t>）现金和现金等价物的构成</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4"/>
      </w:tblGrid>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361,387,283.21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303,043,074.70</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61,287.18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54,972.24</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327"/>
        <w:gridCol w:w="3057"/>
        <w:gridCol w:w="3184"/>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361,325,996.03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302,988,102.46</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361,387,283.21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303,043,074.70</w:t>
            </w:r>
          </w:p>
        </w:tc>
      </w:tr>
      <w:tr>
        <w:trPr>
          <w:trHeight w:val="71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2" w:right="54"/>
              <w:jc w:val="left"/>
              <w:rPr>
                <w:rFonts w:ascii="宋体" w:hAnsi="宋体" w:cs="宋体" w:eastAsia="宋体" w:hint="default"/>
                <w:sz w:val="18"/>
                <w:szCs w:val="18"/>
              </w:rPr>
            </w:pPr>
            <w:r>
              <w:rPr>
                <w:rFonts w:ascii="宋体" w:hAnsi="宋体" w:cs="宋体" w:eastAsia="宋体" w:hint="default"/>
                <w:sz w:val="18"/>
                <w:szCs w:val="18"/>
              </w:rPr>
              <w:t>其中：母公司或集团内子公司使用受限制 的现金和现金等价物</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23,000,054.21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21,052,559.47</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44、所有权或使用权受到限制的资产" w:id="293"/>
      <w:bookmarkEnd w:id="293"/>
      <w:r>
        <w:rPr>
          <w:b w:val="0"/>
          <w:bCs w:val="0"/>
        </w:rPr>
      </w:r>
      <w:r>
        <w:rPr>
          <w:rFonts w:ascii="Times New Roman" w:hAnsi="Times New Roman" w:cs="Times New Roman" w:eastAsia="Times New Roman" w:hint="default"/>
        </w:rPr>
        <w:t>44</w:t>
      </w:r>
      <w:r>
        <w:rPr/>
        <w:t>、所有权或使用权受到限制的资产</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305"/>
        <w:gridCol w:w="3069"/>
        <w:gridCol w:w="3184"/>
      </w:tblGrid>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95"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23,000,054.21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受限资金</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06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36,718,048.00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质押票据，详见注释</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r>
      <w:tr>
        <w:trPr>
          <w:trHeight w:val="402" w:hRule="exact"/>
        </w:trPr>
        <w:tc>
          <w:tcPr>
            <w:tcW w:w="3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69" w:type="dxa"/>
            <w:tcBorders>
              <w:top w:val="single" w:sz="4" w:space="0" w:color="000000"/>
              <w:left w:val="single" w:sz="13" w:space="0" w:color="D2D2D2"/>
              <w:bottom w:val="single" w:sz="4" w:space="0" w:color="000000"/>
              <w:right w:val="single" w:sz="9" w:space="0" w:color="D2D2D2"/>
            </w:tcBorders>
          </w:tcPr>
          <w:p>
            <w:pPr>
              <w:pStyle w:val="TableParagraph"/>
              <w:spacing w:line="240" w:lineRule="auto" w:before="91"/>
              <w:ind w:right="13"/>
              <w:jc w:val="right"/>
              <w:rPr>
                <w:rFonts w:ascii="Times New Roman" w:hAnsi="Times New Roman" w:cs="Times New Roman" w:eastAsia="Times New Roman" w:hint="default"/>
                <w:sz w:val="18"/>
                <w:szCs w:val="18"/>
              </w:rPr>
            </w:pPr>
            <w:r>
              <w:rPr>
                <w:rFonts w:ascii="Times New Roman"/>
                <w:spacing w:val="-1"/>
                <w:sz w:val="18"/>
              </w:rPr>
              <w:t>59,718,102.21</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45、外币货币性项目" w:id="294"/>
      <w:bookmarkEnd w:id="294"/>
      <w:r>
        <w:rPr>
          <w:b w:val="0"/>
          <w:bCs w:val="0"/>
        </w:rPr>
      </w:r>
      <w:r>
        <w:rPr>
          <w:rFonts w:ascii="Times New Roman" w:hAnsi="Times New Roman" w:cs="Times New Roman" w:eastAsia="Times New Roman" w:hint="default"/>
        </w:rPr>
        <w:t>45</w:t>
      </w:r>
      <w:r>
        <w:rPr/>
        <w:t>、外币货币性项目</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外币货币性项目" w:id="295"/>
      <w:bookmarkEnd w:id="295"/>
      <w:r>
        <w:rPr>
          <w:b w:val="0"/>
          <w:bCs w:val="0"/>
        </w:rPr>
      </w:r>
      <w:r>
        <w:rPr/>
        <w:t>（</w:t>
      </w:r>
      <w:r>
        <w:rPr>
          <w:rFonts w:ascii="Times New Roman" w:hAnsi="Times New Roman" w:cs="Times New Roman" w:eastAsia="Times New Roman" w:hint="default"/>
        </w:rPr>
        <w:t>1</w:t>
      </w:r>
      <w:r>
        <w:rPr/>
        <w:t>）外币货币性项目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484"/>
        <w:gridCol w:w="2305"/>
        <w:gridCol w:w="2391"/>
        <w:gridCol w:w="2389"/>
      </w:tblGrid>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2" w:right="0"/>
              <w:jc w:val="left"/>
              <w:rPr>
                <w:rFonts w:ascii="宋体" w:hAnsi="宋体" w:cs="宋体" w:eastAsia="宋体" w:hint="default"/>
                <w:sz w:val="18"/>
                <w:szCs w:val="18"/>
              </w:rPr>
            </w:pPr>
            <w:r>
              <w:rPr>
                <w:rFonts w:ascii="宋体" w:hAnsi="宋体" w:cs="宋体" w:eastAsia="宋体" w:hint="default"/>
                <w:sz w:val="18"/>
                <w:szCs w:val="18"/>
              </w:rPr>
              <w:t>期末外币余额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9"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13" w:space="0" w:color="D2D2D2"/>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16,564,155.19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6.8632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113,683,109.90</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46,470.10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7.8473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364,664.81</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1,809,010.54</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0.8762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1,585,055.04</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472" w:right="0"/>
              <w:jc w:val="left"/>
              <w:rPr>
                <w:rFonts w:ascii="宋体" w:hAnsi="宋体" w:cs="宋体" w:eastAsia="宋体" w:hint="default"/>
                <w:sz w:val="18"/>
                <w:szCs w:val="18"/>
              </w:rPr>
            </w:pPr>
            <w:r>
              <w:rPr>
                <w:rFonts w:ascii="宋体" w:hAnsi="宋体" w:cs="宋体" w:eastAsia="宋体" w:hint="default"/>
                <w:sz w:val="18"/>
                <w:szCs w:val="18"/>
              </w:rPr>
              <w:t>林吉特</w:t>
            </w:r>
          </w:p>
        </w:tc>
        <w:tc>
          <w:tcPr>
            <w:tcW w:w="2305" w:type="dxa"/>
            <w:tcBorders>
              <w:top w:val="single" w:sz="4" w:space="0" w:color="000000"/>
              <w:left w:val="single" w:sz="9" w:space="0" w:color="D9D9D9"/>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3,178.70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1.6479</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5,238.08</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1,768,027.65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6.8632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12,134,327.37</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193,170.00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7.8473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1,515,862.94</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05" w:type="dxa"/>
            <w:tcBorders>
              <w:top w:val="single" w:sz="4" w:space="0" w:color="000000"/>
              <w:left w:val="single" w:sz="9"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1,190,891.83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0.8762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1,043,459.42</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3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9" w:right="0"/>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23"/>
              <w:jc w:val="right"/>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305" w:type="dxa"/>
            <w:tcBorders>
              <w:top w:val="single" w:sz="4" w:space="0" w:color="000000"/>
              <w:left w:val="single" w:sz="9"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305" w:type="dxa"/>
            <w:tcBorders>
              <w:top w:val="single" w:sz="4" w:space="0" w:color="000000"/>
              <w:left w:val="single" w:sz="9"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305" w:type="dxa"/>
            <w:tcBorders>
              <w:top w:val="single" w:sz="4" w:space="0" w:color="000000"/>
              <w:left w:val="single" w:sz="9" w:space="0" w:color="D2D2D2"/>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05"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其中：港币</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0.8762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876.20</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2305"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其中：欧元</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7,149,000.00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7.8473</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56,100,347.70</w:t>
            </w:r>
          </w:p>
        </w:tc>
      </w:tr>
      <w:tr>
        <w:trPr>
          <w:trHeight w:val="402" w:hRule="exact"/>
        </w:trPr>
        <w:tc>
          <w:tcPr>
            <w:tcW w:w="24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305"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2495"/>
        <w:gridCol w:w="2294"/>
        <w:gridCol w:w="2391"/>
        <w:gridCol w:w="2389"/>
      </w:tblGrid>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其中：港币</w:t>
            </w:r>
          </w:p>
        </w:tc>
        <w:tc>
          <w:tcPr>
            <w:tcW w:w="2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29,985.27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0.8762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26,273.09</w:t>
            </w:r>
          </w:p>
        </w:tc>
      </w:tr>
    </w:tbl>
    <w:p>
      <w:pPr>
        <w:spacing w:line="240" w:lineRule="auto" w:before="2"/>
        <w:rPr>
          <w:rFonts w:ascii="宋体" w:hAnsi="宋体" w:cs="宋体" w:eastAsia="宋体" w:hint="default"/>
          <w:sz w:val="19"/>
          <w:szCs w:val="19"/>
        </w:rPr>
      </w:pPr>
    </w:p>
    <w:p>
      <w:pPr>
        <w:pStyle w:val="Heading3"/>
        <w:spacing w:line="259" w:lineRule="auto" w:before="35"/>
        <w:ind w:right="1134"/>
        <w:jc w:val="left"/>
        <w:rPr>
          <w:b w:val="0"/>
          <w:bCs w:val="0"/>
        </w:rPr>
      </w:pPr>
      <w:bookmarkStart w:name="（2）境外经营实体说明，包括对于重要的境外经营实体，应披露其境外主要经营地、记账" w:id="296"/>
      <w:bookmarkEnd w:id="296"/>
      <w:r>
        <w:rPr>
          <w:b w:val="0"/>
          <w:bCs w:val="0"/>
        </w:rPr>
      </w:r>
      <w:r>
        <w:rPr/>
        <w:t>（</w:t>
      </w:r>
      <w:r>
        <w:rPr>
          <w:rFonts w:ascii="Times New Roman" w:hAnsi="Times New Roman" w:cs="Times New Roman" w:eastAsia="Times New Roman" w:hint="default"/>
        </w:rPr>
        <w:t>2</w:t>
      </w:r>
      <w:r>
        <w:rPr/>
        <w:t>）境外经营实体说明，包括对于重要的境外经营实体，应披露其境外主要经营地、记账本位币及选择</w:t>
      </w:r>
      <w:r>
        <w:rPr>
          <w:spacing w:val="-74"/>
        </w:rPr>
        <w:t> </w:t>
      </w:r>
      <w:r>
        <w:rPr>
          <w:spacing w:val="-74"/>
        </w:rPr>
      </w:r>
      <w:r>
        <w:rPr/>
        <w:t>依据，记账本位币发生变化的还应披露原因。</w:t>
      </w:r>
      <w:r>
        <w:rPr>
          <w:b w:val="0"/>
          <w:bCs w:val="0"/>
        </w:rPr>
      </w:r>
    </w:p>
    <w:p>
      <w:pPr>
        <w:spacing w:line="240" w:lineRule="auto" w:before="7"/>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5"/>
        <w:rPr>
          <w:rFonts w:ascii="宋体" w:hAnsi="宋体" w:cs="宋体" w:eastAsia="宋体" w:hint="default"/>
          <w:sz w:val="8"/>
          <w:szCs w:val="8"/>
        </w:rPr>
      </w:pPr>
    </w:p>
    <w:tbl>
      <w:tblPr>
        <w:tblW w:w="0" w:type="auto"/>
        <w:jc w:val="left"/>
        <w:tblInd w:w="146" w:type="dxa"/>
        <w:tblLayout w:type="fixed"/>
        <w:tblCellMar>
          <w:top w:w="0" w:type="dxa"/>
          <w:left w:w="0" w:type="dxa"/>
          <w:bottom w:w="0" w:type="dxa"/>
          <w:right w:w="0" w:type="dxa"/>
        </w:tblCellMar>
        <w:tblLook w:val="01E0"/>
      </w:tblPr>
      <w:tblGrid>
        <w:gridCol w:w="2584"/>
        <w:gridCol w:w="2099"/>
        <w:gridCol w:w="2261"/>
        <w:gridCol w:w="2745"/>
      </w:tblGrid>
      <w:tr>
        <w:trPr>
          <w:trHeight w:val="329" w:hRule="exact"/>
        </w:trPr>
        <w:tc>
          <w:tcPr>
            <w:tcW w:w="258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子公司名称</w:t>
            </w:r>
          </w:p>
        </w:tc>
        <w:tc>
          <w:tcPr>
            <w:tcW w:w="209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right="1"/>
              <w:jc w:val="center"/>
              <w:rPr>
                <w:rFonts w:ascii="宋体" w:hAnsi="宋体" w:cs="宋体" w:eastAsia="宋体" w:hint="default"/>
                <w:sz w:val="18"/>
                <w:szCs w:val="18"/>
              </w:rPr>
            </w:pPr>
            <w:r>
              <w:rPr>
                <w:rFonts w:ascii="宋体" w:hAnsi="宋体" w:cs="宋体" w:eastAsia="宋体" w:hint="default"/>
                <w:sz w:val="18"/>
                <w:szCs w:val="18"/>
              </w:rPr>
              <w:t>主要经营地</w:t>
            </w:r>
          </w:p>
        </w:tc>
        <w:tc>
          <w:tcPr>
            <w:tcW w:w="226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记账本位币</w:t>
            </w:r>
          </w:p>
        </w:tc>
        <w:tc>
          <w:tcPr>
            <w:tcW w:w="274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本期记账本位币是否发生变化</w:t>
            </w:r>
          </w:p>
        </w:tc>
      </w:tr>
      <w:tr>
        <w:trPr>
          <w:trHeight w:val="347" w:hRule="exact"/>
        </w:trPr>
        <w:tc>
          <w:tcPr>
            <w:tcW w:w="2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香港优博讯公司</w:t>
            </w:r>
          </w:p>
        </w:tc>
        <w:tc>
          <w:tcPr>
            <w:tcW w:w="20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22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香港</w:t>
            </w:r>
          </w:p>
        </w:tc>
        <w:tc>
          <w:tcPr>
            <w:tcW w:w="27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48" w:hRule="exact"/>
        </w:trPr>
        <w:tc>
          <w:tcPr>
            <w:tcW w:w="25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马来西亚优博讯</w:t>
            </w:r>
          </w:p>
        </w:tc>
        <w:tc>
          <w:tcPr>
            <w:tcW w:w="209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马来西亚</w:t>
            </w:r>
          </w:p>
        </w:tc>
        <w:tc>
          <w:tcPr>
            <w:tcW w:w="22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林吉特</w:t>
            </w:r>
          </w:p>
        </w:tc>
        <w:tc>
          <w:tcPr>
            <w:tcW w:w="27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2"/>
        <w:rPr>
          <w:rFonts w:ascii="宋体" w:hAnsi="宋体" w:cs="宋体" w:eastAsia="宋体" w:hint="default"/>
          <w:sz w:val="18"/>
          <w:szCs w:val="18"/>
        </w:rPr>
      </w:pPr>
    </w:p>
    <w:p>
      <w:pPr>
        <w:pStyle w:val="Heading2"/>
        <w:spacing w:line="240" w:lineRule="auto" w:before="26"/>
        <w:ind w:right="1134"/>
        <w:jc w:val="left"/>
        <w:rPr>
          <w:b w:val="0"/>
          <w:bCs w:val="0"/>
        </w:rPr>
      </w:pPr>
      <w:bookmarkStart w:name="八、合并范围的变更" w:id="297"/>
      <w:bookmarkEnd w:id="297"/>
      <w:r>
        <w:rPr>
          <w:b w:val="0"/>
          <w:bCs w:val="0"/>
        </w:rPr>
      </w:r>
      <w:r>
        <w:rPr/>
        <w:t>八、合并范围的变更</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其他原因的合并范围变动" w:id="298"/>
      <w:bookmarkEnd w:id="298"/>
      <w:r>
        <w:rPr>
          <w:b w:val="0"/>
          <w:bCs w:val="0"/>
        </w:rPr>
      </w:r>
      <w:r>
        <w:rPr>
          <w:rFonts w:ascii="Times New Roman" w:hAnsi="Times New Roman" w:cs="Times New Roman" w:eastAsia="Times New Roman" w:hint="default"/>
        </w:rPr>
        <w:t>1</w:t>
      </w:r>
      <w:r>
        <w:rPr/>
        <w:t>、其他原因的合并范围变动</w:t>
      </w:r>
      <w:r>
        <w:rPr>
          <w:b w:val="0"/>
          <w:bCs w:val="0"/>
        </w:rPr>
      </w:r>
    </w:p>
    <w:p>
      <w:pPr>
        <w:spacing w:line="240" w:lineRule="auto" w:before="8"/>
        <w:rPr>
          <w:rFonts w:ascii="宋体" w:hAnsi="宋体" w:cs="宋体" w:eastAsia="宋体" w:hint="default"/>
          <w:b/>
          <w:bCs/>
          <w:sz w:val="26"/>
          <w:szCs w:val="26"/>
        </w:rPr>
      </w:pPr>
    </w:p>
    <w:p>
      <w:pPr>
        <w:pStyle w:val="BodyText"/>
        <w:spacing w:line="357" w:lineRule="auto"/>
        <w:ind w:left="514" w:right="1125" w:hanging="360"/>
        <w:jc w:val="left"/>
        <w:rPr>
          <w:rFonts w:ascii="Times New Roman" w:hAnsi="Times New Roman" w:cs="Times New Roman" w:eastAsia="Times New Roman" w:hint="default"/>
        </w:rPr>
      </w:pPr>
      <w:r>
        <w:rPr/>
        <w:t>说明其他原因导致的合并范围变动（如，新设子公司、清算子公司等）及其相关情况： 瑞柏泰公司在香港投资设立全资子公司</w:t>
      </w:r>
      <w:r>
        <w:rPr>
          <w:rFonts w:ascii="Times New Roman" w:hAnsi="Times New Roman" w:cs="Times New Roman" w:eastAsia="Times New Roman" w:hint="default"/>
        </w:rPr>
        <w:t>Easy Go Payment Technologies</w:t>
      </w:r>
      <w:r>
        <w:rPr>
          <w:rFonts w:ascii="Times New Roman" w:hAnsi="Times New Roman" w:cs="Times New Roman" w:eastAsia="Times New Roman" w:hint="default"/>
          <w:spacing w:val="-25"/>
        </w:rPr>
        <w:t> </w:t>
      </w:r>
      <w:r>
        <w:rPr>
          <w:rFonts w:ascii="Times New Roman" w:hAnsi="Times New Roman" w:cs="Times New Roman" w:eastAsia="Times New Roman" w:hint="default"/>
          <w:spacing w:val="-3"/>
        </w:rPr>
        <w:t>Limited</w:t>
      </w:r>
      <w:r>
        <w:rPr>
          <w:spacing w:val="-3"/>
        </w:rPr>
        <w:t>（以下简称</w:t>
      </w:r>
      <w:r>
        <w:rPr>
          <w:rFonts w:ascii="Times New Roman" w:hAnsi="Times New Roman" w:cs="Times New Roman" w:eastAsia="Times New Roman" w:hint="default"/>
          <w:spacing w:val="-3"/>
        </w:rPr>
        <w:t>“</w:t>
      </w:r>
      <w:r>
        <w:rPr>
          <w:spacing w:val="-3"/>
        </w:rPr>
        <w:t>香港乐乐高公司</w:t>
      </w:r>
      <w:r>
        <w:rPr>
          <w:rFonts w:ascii="Times New Roman" w:hAnsi="Times New Roman" w:cs="Times New Roman" w:eastAsia="Times New Roman" w:hint="default"/>
          <w:spacing w:val="-3"/>
        </w:rPr>
        <w:t>”</w:t>
      </w:r>
      <w:r>
        <w:rPr>
          <w:spacing w:val="-3"/>
        </w:rPr>
        <w:t>），并于</w:t>
      </w:r>
      <w:r>
        <w:rPr>
          <w:rFonts w:ascii="Times New Roman" w:hAnsi="Times New Roman" w:cs="Times New Roman" w:eastAsia="Times New Roman" w:hint="default"/>
          <w:spacing w:val="-3"/>
        </w:rPr>
        <w:t>2018</w:t>
      </w:r>
    </w:p>
    <w:p>
      <w:pPr>
        <w:pStyle w:val="BodyText"/>
        <w:spacing w:line="214" w:lineRule="exact"/>
        <w:ind w:right="0"/>
        <w:jc w:val="left"/>
      </w:pP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4</w:t>
      </w:r>
      <w:r>
        <w:rPr/>
        <w:t>日取得香港特别行政区公司注册处签发的公司注册证明书。</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2</w:t>
      </w:r>
      <w:r>
        <w:rPr/>
        <w:t>日，取得深圳市经济贸易和信息化委员会颁发</w:t>
      </w:r>
    </w:p>
    <w:p>
      <w:pPr>
        <w:pStyle w:val="BodyText"/>
        <w:spacing w:line="300" w:lineRule="auto" w:before="63"/>
        <w:ind w:right="1029"/>
        <w:jc w:val="left"/>
      </w:pPr>
      <w:r>
        <w:rPr/>
        <w:t>的编号境外投资证第</w:t>
      </w:r>
      <w:r>
        <w:rPr>
          <w:rFonts w:ascii="Times New Roman" w:hAnsi="Times New Roman" w:cs="Times New Roman" w:eastAsia="Times New Roman" w:hint="default"/>
        </w:rPr>
        <w:t>N4403201800410</w:t>
      </w:r>
      <w:r>
        <w:rPr/>
        <w:t>号的企业境外投资证书。公司经营范围：金融支付产品设计研发和销售；售后服务； </w:t>
      </w:r>
      <w:r>
        <w:rPr>
          <w:spacing w:val="-3"/>
        </w:rPr>
        <w:t>计算机软硬件及其配套设备的设计和技术开发；自助终端产品设计、研发和销售。截止至</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31</w:t>
      </w:r>
      <w:r>
        <w:rPr>
          <w:spacing w:val="-3"/>
        </w:rPr>
        <w:t>日，投资款尚未支付。</w:t>
      </w:r>
    </w:p>
    <w:p>
      <w:pPr>
        <w:spacing w:line="240" w:lineRule="auto" w:before="4"/>
        <w:rPr>
          <w:rFonts w:ascii="宋体" w:hAnsi="宋体" w:cs="宋体" w:eastAsia="宋体" w:hint="default"/>
          <w:sz w:val="20"/>
          <w:szCs w:val="20"/>
        </w:rPr>
      </w:pPr>
    </w:p>
    <w:p>
      <w:pPr>
        <w:pStyle w:val="Heading2"/>
        <w:spacing w:line="240" w:lineRule="auto"/>
        <w:ind w:right="1134"/>
        <w:jc w:val="left"/>
        <w:rPr>
          <w:b w:val="0"/>
          <w:bCs w:val="0"/>
        </w:rPr>
      </w:pPr>
      <w:bookmarkStart w:name="九、在其他主体中的权益" w:id="299"/>
      <w:bookmarkEnd w:id="299"/>
      <w:r>
        <w:rPr>
          <w:b w:val="0"/>
          <w:bCs w:val="0"/>
        </w:rPr>
      </w:r>
      <w:r>
        <w:rPr/>
        <w:t>九、在其他主体中的权益</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在子公司中的权益" w:id="300"/>
      <w:bookmarkEnd w:id="300"/>
      <w:r>
        <w:rPr>
          <w:b w:val="0"/>
          <w:bCs w:val="0"/>
        </w:rPr>
      </w:r>
      <w:r>
        <w:rPr>
          <w:rFonts w:ascii="Times New Roman" w:hAnsi="Times New Roman" w:cs="Times New Roman" w:eastAsia="Times New Roman" w:hint="default"/>
        </w:rPr>
        <w:t>1</w:t>
      </w:r>
      <w:r>
        <w:rPr/>
        <w:t>、在子公司中的权益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企业集团的构成" w:id="301"/>
      <w:bookmarkEnd w:id="301"/>
      <w:r>
        <w:rPr>
          <w:b w:val="0"/>
          <w:bCs w:val="0"/>
        </w:rPr>
      </w:r>
      <w:r>
        <w:rPr/>
        <w:t>（</w:t>
      </w:r>
      <w:r>
        <w:rPr>
          <w:rFonts w:ascii="Times New Roman" w:hAnsi="Times New Roman" w:cs="Times New Roman" w:eastAsia="Times New Roman" w:hint="default"/>
        </w:rPr>
        <w:t>1</w:t>
      </w:r>
      <w:r>
        <w:rPr/>
        <w:t>）企业集团的构成</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706"/>
        <w:gridCol w:w="1027"/>
        <w:gridCol w:w="1367"/>
        <w:gridCol w:w="1366"/>
      </w:tblGrid>
      <w:tr>
        <w:trPr>
          <w:trHeight w:val="402" w:hRule="exact"/>
        </w:trPr>
        <w:tc>
          <w:tcPr>
            <w:tcW w:w="13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227"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70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488"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39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2" w:hRule="exact"/>
        </w:trPr>
        <w:tc>
          <w:tcPr>
            <w:tcW w:w="1372"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706" w:type="dxa"/>
            <w:vMerge/>
            <w:tcBorders>
              <w:left w:val="single" w:sz="4" w:space="0" w:color="000000"/>
              <w:bottom w:val="single" w:sz="4" w:space="0" w:color="000000"/>
              <w:right w:val="single" w:sz="4" w:space="0" w:color="000000"/>
            </w:tcBorders>
            <w:shd w:val="clear" w:color="auto" w:fill="D2D2D2"/>
          </w:tcPr>
          <w:p>
            <w:pPr/>
          </w:p>
        </w:tc>
        <w:tc>
          <w:tcPr>
            <w:tcW w:w="10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8" w:right="0"/>
              <w:jc w:val="left"/>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深圳正达资讯公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深圳市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深圳市</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贸易、软件</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350" w:right="0"/>
              <w:jc w:val="lef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同一控制下合并</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深圳蓝云达公司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深圳市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深圳市</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贸易、软件</w:t>
            </w:r>
          </w:p>
        </w:tc>
        <w:tc>
          <w:tcPr>
            <w:tcW w:w="102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89" w:right="0"/>
              <w:jc w:val="lef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同一控制下合并</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深圳江南正鼎公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深圳市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深圳市</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贸易、软件</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350" w:right="0"/>
              <w:jc w:val="lef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同一控制下合并</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优博讯软件公司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深圳市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深圳市</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软件</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0" w:right="0"/>
              <w:jc w:val="lef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投资设立</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香港优博讯公司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贸易</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0" w:right="0"/>
              <w:jc w:val="lef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同一控制下合并</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马来西亚优博讯 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马来西亚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马来西亚</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贸易</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350" w:right="0"/>
              <w:jc w:val="lef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非同一控制下合 并</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优金支付公司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深圳市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深圳市</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软件</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0" w:right="0"/>
              <w:jc w:val="lef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77"/>
              <w:jc w:val="left"/>
              <w:rPr>
                <w:rFonts w:ascii="宋体" w:hAnsi="宋体" w:cs="宋体" w:eastAsia="宋体" w:hint="default"/>
                <w:sz w:val="18"/>
                <w:szCs w:val="18"/>
              </w:rPr>
            </w:pPr>
            <w:r>
              <w:rPr>
                <w:rFonts w:ascii="宋体" w:hAnsi="宋体" w:cs="宋体" w:eastAsia="宋体" w:hint="default"/>
                <w:sz w:val="18"/>
                <w:szCs w:val="18"/>
              </w:rPr>
              <w:t>武汉优博讯软件 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武汉市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武汉市</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软件</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350" w:right="0"/>
              <w:jc w:val="lef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投资设立</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1372"/>
        <w:gridCol w:w="1367"/>
        <w:gridCol w:w="1367"/>
        <w:gridCol w:w="1706"/>
        <w:gridCol w:w="1027"/>
        <w:gridCol w:w="1367"/>
        <w:gridCol w:w="1366"/>
      </w:tblGrid>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瑞柏泰公司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深圳市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深圳市</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贸易</w:t>
            </w:r>
          </w:p>
        </w:tc>
        <w:tc>
          <w:tcPr>
            <w:tcW w:w="10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440" w:right="0"/>
              <w:jc w:val="left"/>
              <w:rPr>
                <w:rFonts w:ascii="Times New Roman" w:hAnsi="Times New Roman" w:cs="Times New Roman" w:eastAsia="Times New Roman" w:hint="default"/>
                <w:sz w:val="18"/>
                <w:szCs w:val="18"/>
              </w:rPr>
            </w:pPr>
            <w:r>
              <w:rPr>
                <w:rFonts w:ascii="Times New Roman"/>
                <w:sz w:val="18"/>
              </w:rPr>
              <w:t>51.00%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帕思菲特公司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深圳市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深圳市</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软件</w:t>
            </w:r>
          </w:p>
        </w:tc>
        <w:tc>
          <w:tcPr>
            <w:tcW w:w="102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71"/>
              <w:jc w:val="left"/>
              <w:rPr>
                <w:rFonts w:ascii="宋体" w:hAnsi="宋体" w:cs="宋体" w:eastAsia="宋体" w:hint="default"/>
                <w:sz w:val="18"/>
                <w:szCs w:val="18"/>
              </w:rPr>
            </w:pPr>
            <w:r>
              <w:rPr>
                <w:rFonts w:ascii="宋体" w:hAnsi="宋体" w:cs="宋体" w:eastAsia="宋体" w:hint="default"/>
                <w:sz w:val="18"/>
                <w:szCs w:val="18"/>
              </w:rPr>
              <w:t>非同一控制下企 业合并</w:t>
            </w:r>
          </w:p>
        </w:tc>
      </w:tr>
      <w:tr>
        <w:trPr>
          <w:trHeight w:val="402"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香港乐乐高公司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香港</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贸易、软件</w:t>
            </w:r>
          </w:p>
        </w:tc>
        <w:tc>
          <w:tcPr>
            <w:tcW w:w="102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100.00%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投资设立</w:t>
            </w:r>
          </w:p>
        </w:tc>
      </w:tr>
    </w:tbl>
    <w:p>
      <w:pPr>
        <w:pStyle w:val="BodyText"/>
        <w:spacing w:line="360" w:lineRule="auto" w:before="51"/>
        <w:ind w:right="2292"/>
        <w:jc w:val="left"/>
      </w:pPr>
      <w:r>
        <w:rPr/>
        <w:t>在子公司的持股比例不同于表决权比例的说明：不适用 持有半数或以下表决权但仍控制被投资单位、以及持有半数以上表决权但不控制被投资单位的依据：不适用 对于纳入合并范围的重要的结构化主体，控制的依据：不适用</w:t>
      </w:r>
    </w:p>
    <w:p>
      <w:pPr>
        <w:pStyle w:val="BodyText"/>
        <w:spacing w:line="240" w:lineRule="auto" w:before="27"/>
        <w:ind w:right="1134"/>
        <w:jc w:val="left"/>
      </w:pPr>
      <w:r>
        <w:rPr/>
        <w:t>确定公司是代理人还是委托人的依据：不适用</w:t>
      </w:r>
    </w:p>
    <w:p>
      <w:pPr>
        <w:spacing w:line="240" w:lineRule="auto" w:before="10"/>
        <w:rPr>
          <w:rFonts w:ascii="宋体" w:hAnsi="宋体" w:cs="宋体" w:eastAsia="宋体" w:hint="default"/>
          <w:sz w:val="26"/>
          <w:szCs w:val="26"/>
        </w:rPr>
      </w:pPr>
    </w:p>
    <w:p>
      <w:pPr>
        <w:pStyle w:val="Heading3"/>
        <w:spacing w:line="240" w:lineRule="auto"/>
        <w:ind w:right="1134"/>
        <w:jc w:val="left"/>
        <w:rPr>
          <w:b w:val="0"/>
          <w:bCs w:val="0"/>
        </w:rPr>
      </w:pPr>
      <w:bookmarkStart w:name="（2）重要的非全资子公司" w:id="302"/>
      <w:bookmarkEnd w:id="302"/>
      <w:r>
        <w:rPr>
          <w:b w:val="0"/>
          <w:bCs w:val="0"/>
        </w:rPr>
      </w:r>
      <w:r>
        <w:rPr/>
        <w:t>（</w:t>
      </w:r>
      <w:r>
        <w:rPr>
          <w:rFonts w:ascii="Times New Roman" w:hAnsi="Times New Roman" w:cs="Times New Roman" w:eastAsia="Times New Roman" w:hint="default"/>
        </w:rPr>
        <w:t>2</w:t>
      </w:r>
      <w:r>
        <w:rPr/>
        <w:t>）重要的非全资子公司</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17"/>
        <w:gridCol w:w="1914"/>
        <w:gridCol w:w="1914"/>
        <w:gridCol w:w="1913"/>
        <w:gridCol w:w="1913"/>
      </w:tblGrid>
      <w:tr>
        <w:trPr>
          <w:trHeight w:val="764" w:hRule="exact"/>
        </w:trPr>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503"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76"/>
              <w:ind w:left="771" w:right="50" w:hanging="720"/>
              <w:jc w:val="left"/>
              <w:rPr>
                <w:rFonts w:ascii="宋体" w:hAnsi="宋体" w:cs="宋体" w:eastAsia="宋体" w:hint="default"/>
                <w:sz w:val="18"/>
                <w:szCs w:val="18"/>
              </w:rPr>
            </w:pPr>
            <w:r>
              <w:rPr>
                <w:rFonts w:ascii="宋体" w:hAnsi="宋体" w:cs="宋体" w:eastAsia="宋体" w:hint="default"/>
                <w:sz w:val="18"/>
                <w:szCs w:val="18"/>
              </w:rPr>
              <w:t>本期归属于少数股东的 损益</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76"/>
              <w:ind w:left="591" w:right="51" w:hanging="540"/>
              <w:jc w:val="left"/>
              <w:rPr>
                <w:rFonts w:ascii="宋体" w:hAnsi="宋体" w:cs="宋体" w:eastAsia="宋体" w:hint="default"/>
                <w:sz w:val="18"/>
                <w:szCs w:val="18"/>
              </w:rPr>
            </w:pPr>
            <w:r>
              <w:rPr>
                <w:rFonts w:ascii="宋体" w:hAnsi="宋体" w:cs="宋体" w:eastAsia="宋体" w:hint="default"/>
                <w:sz w:val="18"/>
                <w:szCs w:val="18"/>
              </w:rPr>
              <w:t>本期向少数股东宣告分 派的股利</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49"/>
              <w:jc w:val="right"/>
              <w:rPr>
                <w:rFonts w:ascii="宋体" w:hAnsi="宋体" w:cs="宋体" w:eastAsia="宋体" w:hint="default"/>
                <w:sz w:val="18"/>
                <w:szCs w:val="18"/>
              </w:rPr>
            </w:pPr>
            <w:r>
              <w:rPr>
                <w:rFonts w:ascii="宋体" w:hAnsi="宋体" w:cs="宋体" w:eastAsia="宋体" w:hint="default"/>
                <w:sz w:val="18"/>
                <w:szCs w:val="18"/>
              </w:rPr>
              <w:t>期末少数股东权益余额</w:t>
            </w:r>
          </w:p>
        </w:tc>
      </w:tr>
      <w:tr>
        <w:trPr>
          <w:trHeight w:val="402" w:hRule="exact"/>
        </w:trPr>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瑞柏泰公司</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49.00%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5" w:right="0"/>
              <w:jc w:val="left"/>
              <w:rPr>
                <w:rFonts w:ascii="Times New Roman" w:hAnsi="Times New Roman" w:cs="Times New Roman" w:eastAsia="Times New Roman" w:hint="default"/>
                <w:sz w:val="18"/>
                <w:szCs w:val="18"/>
              </w:rPr>
            </w:pPr>
            <w:r>
              <w:rPr>
                <w:rFonts w:ascii="Times New Roman"/>
                <w:sz w:val="18"/>
              </w:rPr>
              <w:t>13,272,016.37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936" w:right="0"/>
              <w:jc w:val="left"/>
              <w:rPr>
                <w:rFonts w:ascii="Times New Roman" w:hAnsi="Times New Roman" w:cs="Times New Roman" w:eastAsia="Times New Roman" w:hint="default"/>
                <w:sz w:val="18"/>
                <w:szCs w:val="18"/>
              </w:rPr>
            </w:pPr>
            <w:r>
              <w:rPr>
                <w:rFonts w:ascii="Times New Roman"/>
                <w:sz w:val="18"/>
              </w:rPr>
              <w:t>7,105,000.00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37,020,957.86</w:t>
            </w:r>
          </w:p>
        </w:tc>
      </w:tr>
    </w:tbl>
    <w:p>
      <w:pPr>
        <w:pStyle w:val="BodyText"/>
        <w:spacing w:line="240" w:lineRule="auto" w:before="51"/>
        <w:ind w:right="1134"/>
        <w:jc w:val="left"/>
      </w:pPr>
      <w:r>
        <w:rPr/>
        <w:t>子公司少数股东的持股比例不同于表决权比例的说明：不适用</w:t>
      </w:r>
    </w:p>
    <w:p>
      <w:pPr>
        <w:spacing w:line="240" w:lineRule="auto" w:before="11"/>
        <w:rPr>
          <w:rFonts w:ascii="宋体" w:hAnsi="宋体" w:cs="宋体" w:eastAsia="宋体" w:hint="default"/>
          <w:sz w:val="26"/>
          <w:szCs w:val="26"/>
        </w:rPr>
      </w:pPr>
    </w:p>
    <w:p>
      <w:pPr>
        <w:pStyle w:val="Heading3"/>
        <w:spacing w:line="240" w:lineRule="auto"/>
        <w:ind w:right="1134"/>
        <w:jc w:val="left"/>
        <w:rPr>
          <w:b w:val="0"/>
          <w:bCs w:val="0"/>
        </w:rPr>
      </w:pPr>
      <w:bookmarkStart w:name="（3）重要非全资子公司的主要财务信息" w:id="303"/>
      <w:bookmarkEnd w:id="303"/>
      <w:r>
        <w:rPr>
          <w:b w:val="0"/>
          <w:bCs w:val="0"/>
        </w:rPr>
      </w:r>
      <w:r>
        <w:rPr/>
        <w:t>（</w:t>
      </w:r>
      <w:r>
        <w:rPr>
          <w:rFonts w:ascii="Times New Roman" w:hAnsi="Times New Roman" w:cs="Times New Roman" w:eastAsia="Times New Roman" w:hint="default"/>
        </w:rPr>
        <w:t>3</w:t>
      </w:r>
      <w:r>
        <w:rPr/>
        <w:t>）重要非全资子公司的主要财务信息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36"/>
        <w:gridCol w:w="737"/>
        <w:gridCol w:w="736"/>
        <w:gridCol w:w="736"/>
        <w:gridCol w:w="737"/>
        <w:gridCol w:w="735"/>
        <w:gridCol w:w="736"/>
        <w:gridCol w:w="734"/>
        <w:gridCol w:w="736"/>
        <w:gridCol w:w="735"/>
        <w:gridCol w:w="737"/>
        <w:gridCol w:w="737"/>
        <w:gridCol w:w="724"/>
      </w:tblGrid>
      <w:tr>
        <w:trPr>
          <w:trHeight w:val="402" w:hRule="exact"/>
        </w:trPr>
        <w:tc>
          <w:tcPr>
            <w:tcW w:w="7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82" w:right="93" w:hanging="90"/>
              <w:jc w:val="left"/>
              <w:rPr>
                <w:rFonts w:ascii="宋体" w:hAnsi="宋体" w:cs="宋体" w:eastAsia="宋体" w:hint="default"/>
                <w:sz w:val="18"/>
                <w:szCs w:val="18"/>
              </w:rPr>
            </w:pPr>
            <w:r>
              <w:rPr>
                <w:rFonts w:ascii="宋体" w:hAnsi="宋体" w:cs="宋体" w:eastAsia="宋体" w:hint="default"/>
                <w:sz w:val="18"/>
                <w:szCs w:val="18"/>
              </w:rPr>
              <w:t>子公司 名称</w:t>
            </w:r>
          </w:p>
        </w:tc>
        <w:tc>
          <w:tcPr>
            <w:tcW w:w="441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03"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714" w:hRule="exact"/>
        </w:trPr>
        <w:tc>
          <w:tcPr>
            <w:tcW w:w="736" w:type="dxa"/>
            <w:vMerge/>
            <w:tcBorders>
              <w:left w:val="single" w:sz="4" w:space="0" w:color="000000"/>
              <w:bottom w:val="single" w:sz="4" w:space="0" w:color="000000"/>
              <w:right w:val="single" w:sz="4" w:space="0" w:color="000000"/>
            </w:tcBorders>
            <w:shd w:val="clear" w:color="auto" w:fill="D2D2D2"/>
          </w:tcPr>
          <w:p>
            <w:pP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2" w:right="91" w:hanging="90"/>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2" w:right="90" w:hanging="90"/>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2" w:right="91" w:hanging="180"/>
              <w:jc w:val="left"/>
              <w:rPr>
                <w:rFonts w:ascii="宋体" w:hAnsi="宋体" w:cs="宋体" w:eastAsia="宋体" w:hint="default"/>
                <w:sz w:val="18"/>
                <w:szCs w:val="18"/>
              </w:rPr>
            </w:pPr>
            <w:r>
              <w:rPr>
                <w:rFonts w:ascii="宋体" w:hAnsi="宋体" w:cs="宋体" w:eastAsia="宋体" w:hint="default"/>
                <w:sz w:val="18"/>
                <w:szCs w:val="18"/>
              </w:rPr>
              <w:t>负债合 计</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2" w:right="90" w:hanging="180"/>
              <w:jc w:val="left"/>
              <w:rPr>
                <w:rFonts w:ascii="宋体" w:hAnsi="宋体" w:cs="宋体" w:eastAsia="宋体" w:hint="default"/>
                <w:sz w:val="18"/>
                <w:szCs w:val="18"/>
              </w:rPr>
            </w:pPr>
            <w:r>
              <w:rPr>
                <w:rFonts w:ascii="宋体" w:hAnsi="宋体" w:cs="宋体" w:eastAsia="宋体" w:hint="default"/>
                <w:sz w:val="18"/>
                <w:szCs w:val="18"/>
              </w:rPr>
              <w:t>流动资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2" w:right="91" w:hanging="90"/>
              <w:jc w:val="left"/>
              <w:rPr>
                <w:rFonts w:ascii="宋体" w:hAnsi="宋体" w:cs="宋体" w:eastAsia="宋体" w:hint="default"/>
                <w:sz w:val="18"/>
                <w:szCs w:val="18"/>
              </w:rPr>
            </w:pPr>
            <w:r>
              <w:rPr>
                <w:rFonts w:ascii="宋体" w:hAnsi="宋体" w:cs="宋体" w:eastAsia="宋体" w:hint="default"/>
                <w:sz w:val="18"/>
                <w:szCs w:val="18"/>
              </w:rPr>
              <w:t>非流动 资产</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2" w:right="90" w:hanging="180"/>
              <w:jc w:val="left"/>
              <w:rPr>
                <w:rFonts w:ascii="宋体" w:hAnsi="宋体" w:cs="宋体" w:eastAsia="宋体" w:hint="default"/>
                <w:sz w:val="18"/>
                <w:szCs w:val="18"/>
              </w:rPr>
            </w:pPr>
            <w:r>
              <w:rPr>
                <w:rFonts w:ascii="宋体" w:hAnsi="宋体" w:cs="宋体" w:eastAsia="宋体" w:hint="default"/>
                <w:sz w:val="18"/>
                <w:szCs w:val="18"/>
              </w:rPr>
              <w:t>资产合 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3" w:right="91" w:hanging="180"/>
              <w:jc w:val="left"/>
              <w:rPr>
                <w:rFonts w:ascii="宋体" w:hAnsi="宋体" w:cs="宋体" w:eastAsia="宋体" w:hint="default"/>
                <w:sz w:val="18"/>
                <w:szCs w:val="18"/>
              </w:rPr>
            </w:pPr>
            <w:r>
              <w:rPr>
                <w:rFonts w:ascii="宋体" w:hAnsi="宋体" w:cs="宋体" w:eastAsia="宋体" w:hint="default"/>
                <w:sz w:val="18"/>
                <w:szCs w:val="18"/>
              </w:rPr>
              <w:t>流动负 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83" w:right="91" w:hanging="90"/>
              <w:jc w:val="left"/>
              <w:rPr>
                <w:rFonts w:ascii="宋体" w:hAnsi="宋体" w:cs="宋体" w:eastAsia="宋体" w:hint="default"/>
                <w:sz w:val="18"/>
                <w:szCs w:val="18"/>
              </w:rPr>
            </w:pPr>
            <w:r>
              <w:rPr>
                <w:rFonts w:ascii="宋体" w:hAnsi="宋体" w:cs="宋体" w:eastAsia="宋体" w:hint="default"/>
                <w:sz w:val="18"/>
                <w:szCs w:val="18"/>
              </w:rPr>
              <w:t>非流动 负债</w:t>
            </w:r>
          </w:p>
        </w:tc>
        <w:tc>
          <w:tcPr>
            <w:tcW w:w="7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72" w:right="80" w:hanging="180"/>
              <w:jc w:val="left"/>
              <w:rPr>
                <w:rFonts w:ascii="宋体" w:hAnsi="宋体" w:cs="宋体" w:eastAsia="宋体" w:hint="default"/>
                <w:sz w:val="18"/>
                <w:szCs w:val="18"/>
              </w:rPr>
            </w:pPr>
            <w:r>
              <w:rPr>
                <w:rFonts w:ascii="宋体" w:hAnsi="宋体" w:cs="宋体" w:eastAsia="宋体" w:hint="default"/>
                <w:sz w:val="18"/>
                <w:szCs w:val="18"/>
              </w:rPr>
              <w:t>负债合 计</w:t>
            </w:r>
          </w:p>
        </w:tc>
      </w:tr>
      <w:tr>
        <w:trPr>
          <w:trHeight w:val="714"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161"/>
              <w:jc w:val="left"/>
              <w:rPr>
                <w:rFonts w:ascii="宋体" w:hAnsi="宋体" w:cs="宋体" w:eastAsia="宋体" w:hint="default"/>
                <w:sz w:val="18"/>
                <w:szCs w:val="18"/>
              </w:rPr>
            </w:pPr>
            <w:r>
              <w:rPr>
                <w:rFonts w:ascii="宋体" w:hAnsi="宋体" w:cs="宋体" w:eastAsia="宋体" w:hint="default"/>
                <w:sz w:val="18"/>
                <w:szCs w:val="18"/>
              </w:rPr>
              <w:t>瑞柏泰 公司</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82,942,6</w:t>
            </w:r>
          </w:p>
          <w:p>
            <w:pPr>
              <w:pStyle w:val="TableParagraph"/>
              <w:spacing w:line="240" w:lineRule="auto" w:before="105"/>
              <w:ind w:left="299" w:right="0"/>
              <w:jc w:val="left"/>
              <w:rPr>
                <w:rFonts w:ascii="Times New Roman" w:hAnsi="Times New Roman" w:cs="Times New Roman" w:eastAsia="Times New Roman" w:hint="default"/>
                <w:sz w:val="18"/>
                <w:szCs w:val="18"/>
              </w:rPr>
            </w:pPr>
            <w:r>
              <w:rPr>
                <w:rFonts w:ascii="Times New Roman"/>
                <w:sz w:val="18"/>
              </w:rPr>
              <w:t>86.62</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4,611,39</w:t>
            </w:r>
          </w:p>
          <w:p>
            <w:pPr>
              <w:pStyle w:val="TableParagraph"/>
              <w:spacing w:line="240" w:lineRule="auto" w:before="105"/>
              <w:ind w:left="388" w:right="0"/>
              <w:jc w:val="left"/>
              <w:rPr>
                <w:rFonts w:ascii="Times New Roman" w:hAnsi="Times New Roman" w:cs="Times New Roman" w:eastAsia="Times New Roman" w:hint="default"/>
                <w:sz w:val="18"/>
                <w:szCs w:val="18"/>
              </w:rPr>
            </w:pPr>
            <w:r>
              <w:rPr>
                <w:rFonts w:ascii="Times New Roman"/>
                <w:sz w:val="18"/>
              </w:rPr>
              <w:t>3.60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87,554,0</w:t>
            </w:r>
          </w:p>
          <w:p>
            <w:pPr>
              <w:pStyle w:val="TableParagraph"/>
              <w:spacing w:line="240" w:lineRule="auto" w:before="105"/>
              <w:ind w:left="298" w:right="0"/>
              <w:jc w:val="left"/>
              <w:rPr>
                <w:rFonts w:ascii="Times New Roman" w:hAnsi="Times New Roman" w:cs="Times New Roman" w:eastAsia="Times New Roman" w:hint="default"/>
                <w:sz w:val="18"/>
                <w:szCs w:val="18"/>
              </w:rPr>
            </w:pPr>
            <w:r>
              <w:rPr>
                <w:rFonts w:ascii="Times New Roman"/>
                <w:sz w:val="18"/>
              </w:rPr>
              <w:t>80.22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1" w:right="0"/>
              <w:jc w:val="left"/>
              <w:rPr>
                <w:rFonts w:ascii="Times New Roman" w:hAnsi="Times New Roman" w:cs="Times New Roman" w:eastAsia="Times New Roman" w:hint="default"/>
                <w:sz w:val="18"/>
                <w:szCs w:val="18"/>
              </w:rPr>
            </w:pPr>
            <w:r>
              <w:rPr>
                <w:rFonts w:ascii="Times New Roman"/>
                <w:sz w:val="18"/>
              </w:rPr>
              <w:t>11,957,9</w:t>
            </w:r>
          </w:p>
          <w:p>
            <w:pPr>
              <w:pStyle w:val="TableParagraph"/>
              <w:spacing w:line="240" w:lineRule="auto" w:before="105"/>
              <w:ind w:left="299" w:right="0"/>
              <w:jc w:val="left"/>
              <w:rPr>
                <w:rFonts w:ascii="Times New Roman" w:hAnsi="Times New Roman" w:cs="Times New Roman" w:eastAsia="Times New Roman" w:hint="default"/>
                <w:sz w:val="18"/>
                <w:szCs w:val="18"/>
              </w:rPr>
            </w:pPr>
            <w:r>
              <w:rPr>
                <w:rFonts w:ascii="Times New Roman"/>
                <w:sz w:val="18"/>
              </w:rPr>
              <w:t>98.35</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43,106.6</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4</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12,001,1</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04.99</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85,510,0</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77.59</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5,734,57</w:t>
            </w:r>
          </w:p>
          <w:p>
            <w:pPr>
              <w:pStyle w:val="TableParagraph"/>
              <w:spacing w:line="240" w:lineRule="auto" w:before="105"/>
              <w:ind w:left="387" w:right="0"/>
              <w:jc w:val="left"/>
              <w:rPr>
                <w:rFonts w:ascii="Times New Roman" w:hAnsi="Times New Roman" w:cs="Times New Roman" w:eastAsia="Times New Roman" w:hint="default"/>
                <w:sz w:val="18"/>
                <w:szCs w:val="18"/>
              </w:rPr>
            </w:pPr>
            <w:r>
              <w:rPr>
                <w:rFonts w:ascii="Times New Roman"/>
                <w:sz w:val="18"/>
              </w:rPr>
              <w:t>9.31</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1" w:right="0"/>
              <w:jc w:val="left"/>
              <w:rPr>
                <w:rFonts w:ascii="Times New Roman" w:hAnsi="Times New Roman" w:cs="Times New Roman" w:eastAsia="Times New Roman" w:hint="default"/>
                <w:sz w:val="18"/>
                <w:szCs w:val="18"/>
              </w:rPr>
            </w:pPr>
            <w:r>
              <w:rPr>
                <w:rFonts w:ascii="Times New Roman"/>
                <w:sz w:val="18"/>
              </w:rPr>
              <w:t>91,244,6</w:t>
            </w:r>
          </w:p>
          <w:p>
            <w:pPr>
              <w:pStyle w:val="TableParagraph"/>
              <w:spacing w:line="240" w:lineRule="auto" w:before="105"/>
              <w:ind w:left="297" w:right="0"/>
              <w:jc w:val="left"/>
              <w:rPr>
                <w:rFonts w:ascii="Times New Roman" w:hAnsi="Times New Roman" w:cs="Times New Roman" w:eastAsia="Times New Roman" w:hint="default"/>
                <w:sz w:val="18"/>
                <w:szCs w:val="18"/>
              </w:rPr>
            </w:pPr>
            <w:r>
              <w:rPr>
                <w:rFonts w:ascii="Times New Roman"/>
                <w:sz w:val="18"/>
              </w:rPr>
              <w:t>56.90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4" w:right="0"/>
              <w:jc w:val="left"/>
              <w:rPr>
                <w:rFonts w:ascii="Times New Roman" w:hAnsi="Times New Roman" w:cs="Times New Roman" w:eastAsia="Times New Roman" w:hint="default"/>
                <w:sz w:val="18"/>
                <w:szCs w:val="18"/>
              </w:rPr>
            </w:pPr>
            <w:r>
              <w:rPr>
                <w:rFonts w:ascii="Times New Roman"/>
                <w:sz w:val="18"/>
              </w:rPr>
              <w:t>28,175,6</w:t>
            </w:r>
          </w:p>
          <w:p>
            <w:pPr>
              <w:pStyle w:val="TableParagraph"/>
              <w:spacing w:line="240" w:lineRule="auto" w:before="105"/>
              <w:ind w:left="299" w:right="0"/>
              <w:jc w:val="left"/>
              <w:rPr>
                <w:rFonts w:ascii="Times New Roman" w:hAnsi="Times New Roman" w:cs="Times New Roman" w:eastAsia="Times New Roman" w:hint="default"/>
                <w:sz w:val="18"/>
                <w:szCs w:val="18"/>
              </w:rPr>
            </w:pPr>
            <w:r>
              <w:rPr>
                <w:rFonts w:ascii="Times New Roman"/>
                <w:sz w:val="18"/>
              </w:rPr>
              <w:t>87.15</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101,742.</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22</w:t>
            </w:r>
          </w:p>
        </w:tc>
        <w:tc>
          <w:tcPr>
            <w:tcW w:w="7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left"/>
              <w:rPr>
                <w:rFonts w:ascii="Times New Roman" w:hAnsi="Times New Roman" w:cs="Times New Roman" w:eastAsia="Times New Roman" w:hint="default"/>
                <w:sz w:val="18"/>
                <w:szCs w:val="18"/>
              </w:rPr>
            </w:pPr>
            <w:r>
              <w:rPr>
                <w:rFonts w:ascii="Times New Roman"/>
                <w:sz w:val="18"/>
              </w:rPr>
              <w:t>28,277,4</w:t>
            </w:r>
          </w:p>
          <w:p>
            <w:pPr>
              <w:pStyle w:val="TableParagraph"/>
              <w:spacing w:line="240" w:lineRule="auto" w:before="105"/>
              <w:ind w:left="298" w:right="0"/>
              <w:jc w:val="left"/>
              <w:rPr>
                <w:rFonts w:ascii="Times New Roman" w:hAnsi="Times New Roman" w:cs="Times New Roman" w:eastAsia="Times New Roman" w:hint="default"/>
                <w:sz w:val="18"/>
                <w:szCs w:val="18"/>
              </w:rPr>
            </w:pPr>
            <w:r>
              <w:rPr>
                <w:rFonts w:ascii="Times New Roman"/>
                <w:sz w:val="18"/>
              </w:rPr>
              <w:t>29.37</w:t>
            </w:r>
          </w:p>
        </w:tc>
      </w:tr>
    </w:tbl>
    <w:p>
      <w:pPr>
        <w:pStyle w:val="BodyText"/>
        <w:spacing w:line="240" w:lineRule="auto" w:before="51"/>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061"/>
        <w:gridCol w:w="1061"/>
        <w:gridCol w:w="1062"/>
        <w:gridCol w:w="1066"/>
        <w:gridCol w:w="1064"/>
        <w:gridCol w:w="1063"/>
        <w:gridCol w:w="1064"/>
        <w:gridCol w:w="1063"/>
        <w:gridCol w:w="1054"/>
      </w:tblGrid>
      <w:tr>
        <w:trPr>
          <w:trHeight w:val="402"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75"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425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44"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37" w:right="76"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56" w:right="77"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35" w:right="77" w:hanging="360"/>
              <w:jc w:val="left"/>
              <w:rPr>
                <w:rFonts w:ascii="宋体" w:hAnsi="宋体" w:cs="宋体" w:eastAsia="宋体" w:hint="default"/>
                <w:sz w:val="18"/>
                <w:szCs w:val="18"/>
              </w:rPr>
            </w:pPr>
            <w:r>
              <w:rPr>
                <w:rFonts w:ascii="宋体" w:hAnsi="宋体" w:cs="宋体" w:eastAsia="宋体" w:hint="default"/>
                <w:sz w:val="18"/>
                <w:szCs w:val="18"/>
              </w:rPr>
              <w:t>综合收益总 额</w:t>
            </w:r>
          </w:p>
        </w:tc>
        <w:tc>
          <w:tcPr>
            <w:tcW w:w="1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57" w:right="64" w:hanging="180"/>
              <w:jc w:val="left"/>
              <w:rPr>
                <w:rFonts w:ascii="宋体" w:hAnsi="宋体" w:cs="宋体" w:eastAsia="宋体" w:hint="default"/>
                <w:sz w:val="18"/>
                <w:szCs w:val="18"/>
              </w:rPr>
            </w:pPr>
            <w:r>
              <w:rPr>
                <w:rFonts w:ascii="宋体" w:hAnsi="宋体" w:cs="宋体" w:eastAsia="宋体" w:hint="default"/>
                <w:sz w:val="18"/>
                <w:szCs w:val="18"/>
              </w:rPr>
              <w:t>经营活动现 金流量</w:t>
            </w:r>
          </w:p>
        </w:tc>
      </w:tr>
      <w:tr>
        <w:trPr>
          <w:trHeight w:val="714"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瑞柏泰公司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71,183,003.9</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2</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27,085,747.7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27,085,747.7</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7" w:right="0"/>
              <w:jc w:val="left"/>
              <w:rPr>
                <w:rFonts w:ascii="Times New Roman" w:hAnsi="Times New Roman" w:cs="Times New Roman" w:eastAsia="Times New Roman" w:hint="default"/>
                <w:sz w:val="18"/>
                <w:szCs w:val="18"/>
              </w:rPr>
            </w:pPr>
            <w:r>
              <w:rPr>
                <w:rFonts w:ascii="Times New Roman"/>
                <w:sz w:val="18"/>
              </w:rPr>
              <w:t>4,952,639.96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34,609,106.0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13,679,929.5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13,679,929.5</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5</w:t>
            </w:r>
          </w:p>
        </w:tc>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8"/>
              <w:jc w:val="right"/>
              <w:rPr>
                <w:rFonts w:ascii="Times New Roman" w:hAnsi="Times New Roman" w:cs="Times New Roman" w:eastAsia="Times New Roman" w:hint="default"/>
                <w:sz w:val="18"/>
                <w:szCs w:val="18"/>
              </w:rPr>
            </w:pPr>
            <w:r>
              <w:rPr>
                <w:rFonts w:ascii="Times New Roman"/>
                <w:spacing w:val="-1"/>
                <w:sz w:val="18"/>
              </w:rPr>
              <w:t>28,652,301.6</w:t>
            </w:r>
          </w:p>
          <w:p>
            <w:pPr>
              <w:pStyle w:val="TableParagraph"/>
              <w:spacing w:line="240" w:lineRule="auto" w:before="105"/>
              <w:ind w:right="9"/>
              <w:jc w:val="right"/>
              <w:rPr>
                <w:rFonts w:ascii="Times New Roman" w:hAnsi="Times New Roman" w:cs="Times New Roman" w:eastAsia="Times New Roman" w:hint="default"/>
                <w:sz w:val="18"/>
                <w:szCs w:val="18"/>
              </w:rPr>
            </w:pPr>
            <w:r>
              <w:rPr>
                <w:rFonts w:ascii="Times New Roman"/>
                <w:sz w:val="18"/>
              </w:rPr>
              <w:t>3</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在合营安排或联营企业中的权益" w:id="304"/>
      <w:bookmarkEnd w:id="304"/>
      <w:r>
        <w:rPr>
          <w:b w:val="0"/>
          <w:bCs w:val="0"/>
        </w:rPr>
      </w:r>
      <w:r>
        <w:rPr>
          <w:rFonts w:ascii="Times New Roman" w:hAnsi="Times New Roman" w:cs="Times New Roman" w:eastAsia="Times New Roman" w:hint="default"/>
        </w:rPr>
        <w:t>2</w:t>
      </w:r>
      <w:r>
        <w:rPr/>
        <w:t>、在合营安排或联营企业中的权益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重要的合营企业或联营企业" w:id="305"/>
      <w:bookmarkEnd w:id="305"/>
      <w:r>
        <w:rPr>
          <w:b w:val="0"/>
          <w:bCs w:val="0"/>
        </w:rPr>
      </w:r>
      <w:r>
        <w:rPr/>
        <w:t>（</w:t>
      </w:r>
      <w:r>
        <w:rPr>
          <w:rFonts w:ascii="Times New Roman" w:hAnsi="Times New Roman" w:cs="Times New Roman" w:eastAsia="Times New Roman" w:hint="default"/>
        </w:rPr>
        <w:t>1</w:t>
      </w:r>
      <w:r>
        <w:rPr/>
        <w:t>）重要的合营企业或联营企业</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2128"/>
        <w:gridCol w:w="991"/>
        <w:gridCol w:w="987"/>
        <w:gridCol w:w="1367"/>
        <w:gridCol w:w="1367"/>
        <w:gridCol w:w="1367"/>
        <w:gridCol w:w="1366"/>
      </w:tblGrid>
      <w:tr>
        <w:trPr>
          <w:trHeight w:val="402" w:hRule="exact"/>
        </w:trPr>
        <w:tc>
          <w:tcPr>
            <w:tcW w:w="212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68"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9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40"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98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217"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47" w:right="47"/>
              <w:jc w:val="center"/>
              <w:rPr>
                <w:rFonts w:ascii="宋体" w:hAnsi="宋体" w:cs="宋体" w:eastAsia="宋体" w:hint="default"/>
                <w:sz w:val="18"/>
                <w:szCs w:val="18"/>
              </w:rPr>
            </w:pPr>
            <w:r>
              <w:rPr>
                <w:rFonts w:ascii="宋体" w:hAnsi="宋体" w:cs="宋体" w:eastAsia="宋体" w:hint="default"/>
                <w:sz w:val="18"/>
                <w:szCs w:val="18"/>
              </w:rPr>
              <w:t>对合营企业或联 营企业投资的会 计处理方法</w:t>
            </w:r>
          </w:p>
        </w:tc>
      </w:tr>
      <w:tr>
        <w:trPr>
          <w:trHeight w:val="624" w:hRule="exact"/>
        </w:trPr>
        <w:tc>
          <w:tcPr>
            <w:tcW w:w="2128" w:type="dxa"/>
            <w:vMerge/>
            <w:tcBorders>
              <w:left w:val="single" w:sz="4" w:space="0" w:color="000000"/>
              <w:bottom w:val="single" w:sz="4" w:space="0" w:color="000000"/>
              <w:right w:val="single" w:sz="4" w:space="0" w:color="000000"/>
            </w:tcBorders>
            <w:shd w:val="clear" w:color="auto" w:fill="D2D2D2"/>
          </w:tcPr>
          <w:p>
            <w:pPr/>
          </w:p>
        </w:tc>
        <w:tc>
          <w:tcPr>
            <w:tcW w:w="991" w:type="dxa"/>
            <w:vMerge/>
            <w:tcBorders>
              <w:left w:val="single" w:sz="4" w:space="0" w:color="000000"/>
              <w:bottom w:val="single" w:sz="4" w:space="0" w:color="000000"/>
              <w:right w:val="single" w:sz="4" w:space="0" w:color="000000"/>
            </w:tcBorders>
            <w:shd w:val="clear" w:color="auto" w:fill="D2D2D2"/>
          </w:tcPr>
          <w:p>
            <w:pPr/>
          </w:p>
        </w:tc>
        <w:tc>
          <w:tcPr>
            <w:tcW w:w="98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b/>
                <w:bCs/>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209" w:type="dxa"/>
        <w:tblLayout w:type="fixed"/>
        <w:tblCellMar>
          <w:top w:w="0" w:type="dxa"/>
          <w:left w:w="0" w:type="dxa"/>
          <w:bottom w:w="0" w:type="dxa"/>
          <w:right w:w="0" w:type="dxa"/>
        </w:tblCellMar>
        <w:tblLook w:val="01E0"/>
      </w:tblPr>
      <w:tblGrid>
        <w:gridCol w:w="2128"/>
        <w:gridCol w:w="991"/>
        <w:gridCol w:w="987"/>
        <w:gridCol w:w="1367"/>
        <w:gridCol w:w="1367"/>
        <w:gridCol w:w="1367"/>
        <w:gridCol w:w="1366"/>
      </w:tblGrid>
      <w:tr>
        <w:trPr>
          <w:trHeight w:val="714" w:hRule="exact"/>
        </w:trPr>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3"/>
              <w:jc w:val="left"/>
              <w:rPr>
                <w:rFonts w:ascii="宋体" w:hAnsi="宋体" w:cs="宋体" w:eastAsia="宋体" w:hint="default"/>
                <w:sz w:val="18"/>
                <w:szCs w:val="18"/>
              </w:rPr>
            </w:pPr>
            <w:r>
              <w:rPr>
                <w:rFonts w:ascii="宋体" w:hAnsi="宋体" w:cs="宋体" w:eastAsia="宋体" w:hint="default"/>
                <w:sz w:val="18"/>
                <w:szCs w:val="18"/>
              </w:rPr>
              <w:t>上海芝柯智能科技有限公 司</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上海</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贸易、软件</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27.50%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权益法核算</w:t>
            </w:r>
          </w:p>
        </w:tc>
      </w:tr>
      <w:tr>
        <w:trPr>
          <w:trHeight w:val="714" w:hRule="exact"/>
        </w:trPr>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2"/>
              <w:jc w:val="left"/>
              <w:rPr>
                <w:rFonts w:ascii="宋体" w:hAnsi="宋体" w:cs="宋体" w:eastAsia="宋体" w:hint="default"/>
                <w:sz w:val="18"/>
                <w:szCs w:val="18"/>
              </w:rPr>
            </w:pPr>
            <w:r>
              <w:rPr>
                <w:rFonts w:ascii="宋体" w:hAnsi="宋体" w:cs="宋体" w:eastAsia="宋体" w:hint="default"/>
                <w:spacing w:val="-8"/>
                <w:sz w:val="18"/>
                <w:szCs w:val="18"/>
              </w:rPr>
              <w:t>中世顺科技（北京）股份有</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限公司</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北京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贸易、软件</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20.00%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权益法核算</w:t>
            </w:r>
          </w:p>
        </w:tc>
      </w:tr>
      <w:tr>
        <w:trPr>
          <w:trHeight w:val="714" w:hRule="exact"/>
        </w:trPr>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3"/>
              <w:jc w:val="left"/>
              <w:rPr>
                <w:rFonts w:ascii="宋体" w:hAnsi="宋体" w:cs="宋体" w:eastAsia="宋体" w:hint="default"/>
                <w:sz w:val="18"/>
                <w:szCs w:val="18"/>
              </w:rPr>
            </w:pPr>
            <w:r>
              <w:rPr>
                <w:rFonts w:ascii="宋体" w:hAnsi="宋体" w:cs="宋体" w:eastAsia="宋体" w:hint="default"/>
                <w:sz w:val="18"/>
                <w:szCs w:val="18"/>
              </w:rPr>
              <w:t>深圳市天眼智通科技有限 公司</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深圳</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深圳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贸易、软件</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40.00%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权益法核算</w:t>
            </w:r>
          </w:p>
        </w:tc>
      </w:tr>
      <w:tr>
        <w:trPr>
          <w:trHeight w:val="714" w:hRule="exact"/>
        </w:trPr>
        <w:tc>
          <w:tcPr>
            <w:tcW w:w="212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13"/>
              <w:jc w:val="left"/>
              <w:rPr>
                <w:rFonts w:ascii="宋体" w:hAnsi="宋体" w:cs="宋体" w:eastAsia="宋体" w:hint="default"/>
                <w:sz w:val="18"/>
                <w:szCs w:val="18"/>
              </w:rPr>
            </w:pPr>
            <w:r>
              <w:rPr>
                <w:rFonts w:ascii="宋体" w:hAnsi="宋体" w:cs="宋体" w:eastAsia="宋体" w:hint="default"/>
                <w:sz w:val="18"/>
                <w:szCs w:val="18"/>
              </w:rPr>
              <w:t>湖南爱买单信息技术有限 公司</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长沙</w:t>
            </w:r>
          </w:p>
        </w:tc>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长沙</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软件</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869" w:right="0"/>
              <w:jc w:val="left"/>
              <w:rPr>
                <w:rFonts w:ascii="Times New Roman" w:hAnsi="Times New Roman" w:cs="Times New Roman" w:eastAsia="Times New Roman" w:hint="default"/>
                <w:sz w:val="18"/>
                <w:szCs w:val="18"/>
              </w:rPr>
            </w:pPr>
            <w:r>
              <w:rPr>
                <w:rFonts w:ascii="Times New Roman"/>
                <w:sz w:val="18"/>
              </w:rPr>
              <w:t>5.56%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权益法核算</w:t>
            </w:r>
          </w:p>
        </w:tc>
      </w:tr>
    </w:tbl>
    <w:p>
      <w:pPr>
        <w:pStyle w:val="BodyText"/>
        <w:spacing w:line="240" w:lineRule="auto" w:before="51"/>
        <w:ind w:left="214" w:right="2962"/>
        <w:jc w:val="left"/>
      </w:pPr>
      <w:r>
        <w:rPr/>
        <w:t>在合营企业或联营企业的持股比例不同于表决权比例的说明：不适用</w:t>
      </w:r>
    </w:p>
    <w:p>
      <w:pPr>
        <w:pStyle w:val="BodyText"/>
        <w:spacing w:line="319" w:lineRule="auto" w:before="117"/>
        <w:ind w:left="214" w:right="0"/>
        <w:jc w:val="left"/>
      </w:pPr>
      <w:r>
        <w:rPr/>
        <w:t>持有</w:t>
      </w:r>
      <w:r>
        <w:rPr>
          <w:spacing w:val="-46"/>
        </w:rPr>
        <w:t> </w:t>
      </w:r>
      <w:r>
        <w:rPr>
          <w:rFonts w:ascii="Times New Roman" w:hAnsi="Times New Roman" w:cs="Times New Roman" w:eastAsia="Times New Roman" w:hint="default"/>
        </w:rPr>
        <w:t>20%</w:t>
      </w:r>
      <w:r>
        <w:rPr/>
        <w:t>以下表决权但具有重大影响，或者持有</w:t>
      </w:r>
      <w:r>
        <w:rPr>
          <w:spacing w:val="-46"/>
        </w:rPr>
        <w:t> </w:t>
      </w:r>
      <w:r>
        <w:rPr>
          <w:rFonts w:ascii="Times New Roman" w:hAnsi="Times New Roman" w:cs="Times New Roman" w:eastAsia="Times New Roman" w:hint="default"/>
        </w:rPr>
        <w:t>20%</w:t>
      </w:r>
      <w:r>
        <w:rPr/>
        <w:t>或以上表决权但不具有重大影响的依据： </w:t>
      </w: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10</w:t>
      </w:r>
      <w:r>
        <w:rPr>
          <w:spacing w:val="-2"/>
        </w:rPr>
        <w:t>月</w:t>
      </w:r>
      <w:r>
        <w:rPr>
          <w:rFonts w:ascii="Times New Roman" w:hAnsi="Times New Roman" w:cs="Times New Roman" w:eastAsia="Times New Roman" w:hint="default"/>
          <w:spacing w:val="-2"/>
        </w:rPr>
        <w:t>10</w:t>
      </w:r>
      <w:r>
        <w:rPr>
          <w:spacing w:val="-2"/>
        </w:rPr>
        <w:t>日，本公司之子公司瑞柏泰与周瑜、陈贤政、永州亿科互联信息网络有限公司签署了《关于湖南爱买单信息技</w:t>
      </w:r>
      <w:r>
        <w:rPr>
          <w:spacing w:val="-58"/>
        </w:rPr>
        <w:t> </w:t>
      </w:r>
      <w:r>
        <w:rPr>
          <w:spacing w:val="-58"/>
        </w:rPr>
      </w:r>
      <w:r>
        <w:rPr/>
        <w:t>术有限公司之投资协议》，瑞柏泰以人民币</w:t>
      </w:r>
      <w:r>
        <w:rPr>
          <w:rFonts w:ascii="Times New Roman" w:hAnsi="Times New Roman" w:cs="Times New Roman" w:eastAsia="Times New Roman" w:hint="default"/>
        </w:rPr>
        <w:t>250.00</w:t>
      </w:r>
      <w:r>
        <w:rPr/>
        <w:t>万元的价格认购湖南爱买单信息技术有限公司</w:t>
      </w:r>
      <w:r>
        <w:rPr>
          <w:rFonts w:ascii="Times New Roman" w:hAnsi="Times New Roman" w:cs="Times New Roman" w:eastAsia="Times New Roman" w:hint="default"/>
        </w:rPr>
        <w:t>5.56%</w:t>
      </w:r>
      <w:r>
        <w:rPr/>
        <w:t>的股权，</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10</w:t>
      </w:r>
      <w:r>
        <w:rPr/>
        <w:t>月</w:t>
      </w:r>
    </w:p>
    <w:p>
      <w:pPr>
        <w:pStyle w:val="BodyText"/>
        <w:spacing w:line="309" w:lineRule="auto"/>
        <w:ind w:left="214" w:right="1130"/>
        <w:jc w:val="both"/>
      </w:pPr>
      <w:r>
        <w:rPr>
          <w:rFonts w:ascii="Times New Roman" w:hAnsi="Times New Roman" w:cs="Times New Roman" w:eastAsia="Times New Roman" w:hint="default"/>
          <w:spacing w:val="-2"/>
        </w:rPr>
        <w:t>19</w:t>
      </w:r>
      <w:r>
        <w:rPr>
          <w:spacing w:val="-2"/>
        </w:rPr>
        <w:t>日湖南爱买单信息技术有限公司完成工商变更。由于瑞柏泰在湖南爱买单信息技术有限公司董事会中派有一名董事并参与</w:t>
      </w:r>
      <w:r>
        <w:rPr>
          <w:spacing w:val="-62"/>
        </w:rPr>
        <w:t> </w:t>
      </w:r>
      <w:r>
        <w:rPr>
          <w:spacing w:val="-62"/>
        </w:rPr>
      </w:r>
      <w:r>
        <w:rPr>
          <w:spacing w:val="-2"/>
        </w:rPr>
        <w:t>对其财务和经营政策的决策，本公司认为控股子公司瑞柏泰能够对湖南爱买单信息技术有限公司施加重大影响，故按权益法</w:t>
      </w:r>
      <w:r>
        <w:rPr>
          <w:spacing w:val="-63"/>
        </w:rPr>
        <w:t> </w:t>
      </w:r>
      <w:r>
        <w:rPr>
          <w:spacing w:val="-63"/>
        </w:rPr>
      </w:r>
      <w:r>
        <w:rPr/>
        <w:t>进行核算。</w:t>
      </w:r>
    </w:p>
    <w:p>
      <w:pPr>
        <w:spacing w:line="240" w:lineRule="auto" w:before="12"/>
        <w:rPr>
          <w:rFonts w:ascii="宋体" w:hAnsi="宋体" w:cs="宋体" w:eastAsia="宋体" w:hint="default"/>
          <w:sz w:val="22"/>
          <w:szCs w:val="22"/>
        </w:rPr>
      </w:pPr>
    </w:p>
    <w:p>
      <w:pPr>
        <w:pStyle w:val="Heading3"/>
        <w:spacing w:line="240" w:lineRule="auto"/>
        <w:ind w:left="214" w:right="6792"/>
        <w:jc w:val="left"/>
        <w:rPr>
          <w:b w:val="0"/>
          <w:bCs w:val="0"/>
        </w:rPr>
      </w:pPr>
      <w:bookmarkStart w:name="（2）重要联营企业的主要财务信息" w:id="306"/>
      <w:bookmarkEnd w:id="306"/>
      <w:r>
        <w:rPr>
          <w:b w:val="0"/>
          <w:bCs w:val="0"/>
        </w:rPr>
      </w:r>
      <w:r>
        <w:rPr/>
        <w:t>（</w:t>
      </w:r>
      <w:r>
        <w:rPr>
          <w:rFonts w:ascii="Times New Roman" w:hAnsi="Times New Roman" w:cs="Times New Roman" w:eastAsia="Times New Roman" w:hint="default"/>
        </w:rPr>
        <w:t>2</w:t>
      </w:r>
      <w:r>
        <w:rPr/>
        <w:t>）重要联营企业的主要财务信息</w:t>
      </w:r>
      <w:r>
        <w:rPr>
          <w:b w:val="0"/>
          <w:bCs w:val="0"/>
        </w:rPr>
      </w:r>
    </w:p>
    <w:p>
      <w:pPr>
        <w:spacing w:line="240" w:lineRule="auto" w:before="10"/>
        <w:rPr>
          <w:rFonts w:ascii="宋体" w:hAnsi="宋体" w:cs="宋体" w:eastAsia="宋体" w:hint="default"/>
          <w:b/>
          <w:bCs/>
          <w:sz w:val="25"/>
          <w:szCs w:val="25"/>
        </w:rPr>
      </w:pPr>
    </w:p>
    <w:tbl>
      <w:tblPr>
        <w:tblW w:w="0" w:type="auto"/>
        <w:jc w:val="left"/>
        <w:tblInd w:w="101" w:type="dxa"/>
        <w:tblLayout w:type="fixed"/>
        <w:tblCellMar>
          <w:top w:w="0" w:type="dxa"/>
          <w:left w:w="0" w:type="dxa"/>
          <w:bottom w:w="0" w:type="dxa"/>
          <w:right w:w="0" w:type="dxa"/>
        </w:tblCellMar>
        <w:tblLook w:val="01E0"/>
      </w:tblPr>
      <w:tblGrid>
        <w:gridCol w:w="2277"/>
        <w:gridCol w:w="2022"/>
        <w:gridCol w:w="1925"/>
        <w:gridCol w:w="1844"/>
        <w:gridCol w:w="1788"/>
      </w:tblGrid>
      <w:tr>
        <w:trPr>
          <w:trHeight w:val="402" w:hRule="exact"/>
        </w:trPr>
        <w:tc>
          <w:tcPr>
            <w:tcW w:w="2277"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579"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r>
      <w:tr>
        <w:trPr>
          <w:trHeight w:val="714" w:hRule="exact"/>
        </w:trPr>
        <w:tc>
          <w:tcPr>
            <w:tcW w:w="2277" w:type="dxa"/>
            <w:vMerge/>
            <w:tcBorders>
              <w:left w:val="single" w:sz="4" w:space="0" w:color="000000"/>
              <w:bottom w:val="single" w:sz="4" w:space="0" w:color="000000"/>
              <w:right w:val="single" w:sz="4" w:space="0" w:color="000000"/>
            </w:tcBorders>
            <w:shd w:val="clear" w:color="auto" w:fill="D9D9D9"/>
          </w:tcPr>
          <w:p>
            <w:pPr/>
          </w:p>
        </w:tc>
        <w:tc>
          <w:tcPr>
            <w:tcW w:w="20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2"/>
              <w:ind w:left="825" w:right="105" w:hanging="720"/>
              <w:jc w:val="left"/>
              <w:rPr>
                <w:rFonts w:ascii="宋体" w:hAnsi="宋体" w:cs="宋体" w:eastAsia="宋体" w:hint="default"/>
                <w:sz w:val="18"/>
                <w:szCs w:val="18"/>
              </w:rPr>
            </w:pPr>
            <w:r>
              <w:rPr>
                <w:rFonts w:ascii="宋体" w:hAnsi="宋体" w:cs="宋体" w:eastAsia="宋体" w:hint="default"/>
                <w:sz w:val="18"/>
                <w:szCs w:val="18"/>
              </w:rPr>
              <w:t>上海芝柯智能科技有限 公司</w:t>
            </w:r>
          </w:p>
        </w:tc>
        <w:tc>
          <w:tcPr>
            <w:tcW w:w="19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2"/>
              <w:ind w:left="417" w:right="145" w:hanging="270"/>
              <w:jc w:val="left"/>
              <w:rPr>
                <w:rFonts w:ascii="宋体" w:hAnsi="宋体" w:cs="宋体" w:eastAsia="宋体" w:hint="default"/>
                <w:sz w:val="18"/>
                <w:szCs w:val="18"/>
              </w:rPr>
            </w:pPr>
            <w:r>
              <w:rPr>
                <w:rFonts w:ascii="宋体" w:hAnsi="宋体" w:cs="宋体" w:eastAsia="宋体" w:hint="default"/>
                <w:sz w:val="18"/>
                <w:szCs w:val="18"/>
              </w:rPr>
              <w:t>中世顺科技（北京） 股份有限公司</w:t>
            </w:r>
          </w:p>
        </w:tc>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2"/>
              <w:ind w:left="556" w:right="105" w:hanging="450"/>
              <w:jc w:val="left"/>
              <w:rPr>
                <w:rFonts w:ascii="宋体" w:hAnsi="宋体" w:cs="宋体" w:eastAsia="宋体" w:hint="default"/>
                <w:sz w:val="18"/>
                <w:szCs w:val="18"/>
              </w:rPr>
            </w:pPr>
            <w:r>
              <w:rPr>
                <w:rFonts w:ascii="宋体" w:hAnsi="宋体" w:cs="宋体" w:eastAsia="宋体" w:hint="default"/>
                <w:sz w:val="18"/>
                <w:szCs w:val="18"/>
              </w:rPr>
              <w:t>深圳市天眼智通科技 有限公司</w:t>
            </w:r>
          </w:p>
        </w:tc>
        <w:tc>
          <w:tcPr>
            <w:tcW w:w="17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9" w:lineRule="auto" w:before="52"/>
              <w:ind w:left="439" w:right="167" w:hanging="270"/>
              <w:jc w:val="left"/>
              <w:rPr>
                <w:rFonts w:ascii="宋体" w:hAnsi="宋体" w:cs="宋体" w:eastAsia="宋体" w:hint="default"/>
                <w:sz w:val="18"/>
                <w:szCs w:val="18"/>
              </w:rPr>
            </w:pPr>
            <w:r>
              <w:rPr>
                <w:rFonts w:ascii="宋体" w:hAnsi="宋体" w:cs="宋体" w:eastAsia="宋体" w:hint="default"/>
                <w:sz w:val="18"/>
                <w:szCs w:val="18"/>
              </w:rPr>
              <w:t>湖南爱买单信息技 术有限公司</w:t>
            </w:r>
          </w:p>
        </w:tc>
      </w:tr>
      <w:tr>
        <w:trPr>
          <w:trHeight w:val="714" w:hRule="exact"/>
        </w:trPr>
        <w:tc>
          <w:tcPr>
            <w:tcW w:w="2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83"/>
              <w:jc w:val="left"/>
              <w:rPr>
                <w:rFonts w:ascii="宋体" w:hAnsi="宋体" w:cs="宋体" w:eastAsia="宋体" w:hint="default"/>
                <w:sz w:val="18"/>
                <w:szCs w:val="18"/>
              </w:rPr>
            </w:pPr>
            <w:r>
              <w:rPr>
                <w:rFonts w:ascii="宋体" w:hAnsi="宋体" w:cs="宋体" w:eastAsia="宋体" w:hint="default"/>
                <w:sz w:val="18"/>
                <w:szCs w:val="18"/>
              </w:rPr>
              <w:t>联营企业投资账面价值合 计</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19,819,487.09</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27,983,982.83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2,047,026.00</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2,318,493.34</w:t>
            </w:r>
          </w:p>
        </w:tc>
      </w:tr>
      <w:tr>
        <w:trPr>
          <w:trHeight w:val="714" w:hRule="exact"/>
        </w:trPr>
        <w:tc>
          <w:tcPr>
            <w:tcW w:w="2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83"/>
              <w:jc w:val="left"/>
              <w:rPr>
                <w:rFonts w:ascii="宋体" w:hAnsi="宋体" w:cs="宋体" w:eastAsia="宋体" w:hint="default"/>
                <w:sz w:val="18"/>
                <w:szCs w:val="18"/>
              </w:rPr>
            </w:pPr>
            <w:r>
              <w:rPr>
                <w:rFonts w:ascii="宋体" w:hAnsi="宋体" w:cs="宋体" w:eastAsia="宋体" w:hint="default"/>
                <w:sz w:val="18"/>
                <w:szCs w:val="18"/>
              </w:rPr>
              <w:t>下列各项按持股比例计算 的合计数</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4,156,337.89</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3,233,982.83</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-723,685.43</w:t>
            </w:r>
            <w:r>
              <w:rPr>
                <w:rFonts w:ascii="Times New Roman"/>
                <w:sz w:val="18"/>
              </w:rPr>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-127,487.46</w:t>
            </w:r>
            <w:r>
              <w:rPr>
                <w:rFonts w:ascii="Times New Roman"/>
                <w:sz w:val="18"/>
              </w:rPr>
            </w:r>
          </w:p>
        </w:tc>
      </w:tr>
      <w:tr>
        <w:trPr>
          <w:trHeight w:val="402" w:hRule="exact"/>
        </w:trPr>
        <w:tc>
          <w:tcPr>
            <w:tcW w:w="2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15,113,955.98</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16,169,914.15</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-1,809,213.57</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-2,292,939.92</w:t>
            </w:r>
          </w:p>
        </w:tc>
      </w:tr>
      <w:tr>
        <w:trPr>
          <w:trHeight w:val="402" w:hRule="exact"/>
        </w:trPr>
        <w:tc>
          <w:tcPr>
            <w:tcW w:w="2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403" w:hRule="exact"/>
        </w:trPr>
        <w:tc>
          <w:tcPr>
            <w:tcW w:w="2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15,113,955.98</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16,169,914.15</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-1,809,213.57</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-2,292,939.92</w:t>
            </w:r>
          </w:p>
        </w:tc>
      </w:tr>
      <w:tr>
        <w:trPr>
          <w:trHeight w:val="402" w:hRule="exact"/>
        </w:trPr>
        <w:tc>
          <w:tcPr>
            <w:tcW w:w="2277"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579"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713" w:hRule="exact"/>
        </w:trPr>
        <w:tc>
          <w:tcPr>
            <w:tcW w:w="2277" w:type="dxa"/>
            <w:vMerge/>
            <w:tcBorders>
              <w:left w:val="single" w:sz="4" w:space="0" w:color="000000"/>
              <w:bottom w:val="single" w:sz="4" w:space="0" w:color="000000"/>
              <w:right w:val="single" w:sz="4" w:space="0" w:color="000000"/>
            </w:tcBorders>
            <w:shd w:val="clear" w:color="auto" w:fill="D9D9D9"/>
          </w:tcPr>
          <w:p>
            <w:pPr/>
          </w:p>
        </w:tc>
        <w:tc>
          <w:tcPr>
            <w:tcW w:w="202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825" w:right="105" w:hanging="720"/>
              <w:jc w:val="left"/>
              <w:rPr>
                <w:rFonts w:ascii="宋体" w:hAnsi="宋体" w:cs="宋体" w:eastAsia="宋体" w:hint="default"/>
                <w:sz w:val="18"/>
                <w:szCs w:val="18"/>
              </w:rPr>
            </w:pPr>
            <w:r>
              <w:rPr>
                <w:rFonts w:ascii="宋体" w:hAnsi="宋体" w:cs="宋体" w:eastAsia="宋体" w:hint="default"/>
                <w:sz w:val="18"/>
                <w:szCs w:val="18"/>
              </w:rPr>
              <w:t>上海芝柯智能科技有限 公司</w:t>
            </w:r>
          </w:p>
        </w:tc>
        <w:tc>
          <w:tcPr>
            <w:tcW w:w="19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417" w:right="145" w:hanging="270"/>
              <w:jc w:val="left"/>
              <w:rPr>
                <w:rFonts w:ascii="宋体" w:hAnsi="宋体" w:cs="宋体" w:eastAsia="宋体" w:hint="default"/>
                <w:sz w:val="18"/>
                <w:szCs w:val="18"/>
              </w:rPr>
            </w:pPr>
            <w:r>
              <w:rPr>
                <w:rFonts w:ascii="宋体" w:hAnsi="宋体" w:cs="宋体" w:eastAsia="宋体" w:hint="default"/>
                <w:sz w:val="18"/>
                <w:szCs w:val="18"/>
              </w:rPr>
              <w:t>中世顺科技（北京） 股份有限公司</w:t>
            </w:r>
          </w:p>
        </w:tc>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556" w:right="105" w:hanging="450"/>
              <w:jc w:val="left"/>
              <w:rPr>
                <w:rFonts w:ascii="宋体" w:hAnsi="宋体" w:cs="宋体" w:eastAsia="宋体" w:hint="default"/>
                <w:sz w:val="18"/>
                <w:szCs w:val="18"/>
              </w:rPr>
            </w:pPr>
            <w:r>
              <w:rPr>
                <w:rFonts w:ascii="宋体" w:hAnsi="宋体" w:cs="宋体" w:eastAsia="宋体" w:hint="default"/>
                <w:sz w:val="18"/>
                <w:szCs w:val="18"/>
              </w:rPr>
              <w:t>深圳市天眼智通科技 有限公司</w:t>
            </w:r>
          </w:p>
        </w:tc>
        <w:tc>
          <w:tcPr>
            <w:tcW w:w="17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2"/>
              <w:ind w:left="439" w:right="167" w:hanging="270"/>
              <w:jc w:val="left"/>
              <w:rPr>
                <w:rFonts w:ascii="宋体" w:hAnsi="宋体" w:cs="宋体" w:eastAsia="宋体" w:hint="default"/>
                <w:sz w:val="18"/>
                <w:szCs w:val="18"/>
              </w:rPr>
            </w:pPr>
            <w:r>
              <w:rPr>
                <w:rFonts w:ascii="宋体" w:hAnsi="宋体" w:cs="宋体" w:eastAsia="宋体" w:hint="default"/>
                <w:sz w:val="18"/>
                <w:szCs w:val="18"/>
              </w:rPr>
              <w:t>湖南爱买单信息技 术有限公司</w:t>
            </w:r>
          </w:p>
        </w:tc>
      </w:tr>
      <w:tr>
        <w:trPr>
          <w:trHeight w:val="714" w:hRule="exact"/>
        </w:trPr>
        <w:tc>
          <w:tcPr>
            <w:tcW w:w="2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83"/>
              <w:jc w:val="left"/>
              <w:rPr>
                <w:rFonts w:ascii="宋体" w:hAnsi="宋体" w:cs="宋体" w:eastAsia="宋体" w:hint="default"/>
                <w:sz w:val="18"/>
                <w:szCs w:val="18"/>
              </w:rPr>
            </w:pPr>
            <w:r>
              <w:rPr>
                <w:rFonts w:ascii="宋体" w:hAnsi="宋体" w:cs="宋体" w:eastAsia="宋体" w:hint="default"/>
                <w:sz w:val="18"/>
                <w:szCs w:val="18"/>
              </w:rPr>
              <w:t>联营企业投资账面价值合 计</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17,053,999.72</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24,750,000.00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2,771,384.92</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2,445,980.80</w:t>
            </w:r>
          </w:p>
        </w:tc>
      </w:tr>
      <w:tr>
        <w:trPr>
          <w:trHeight w:val="714" w:hRule="exact"/>
        </w:trPr>
        <w:tc>
          <w:tcPr>
            <w:tcW w:w="227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83"/>
              <w:jc w:val="left"/>
              <w:rPr>
                <w:rFonts w:ascii="宋体" w:hAnsi="宋体" w:cs="宋体" w:eastAsia="宋体" w:hint="default"/>
                <w:sz w:val="18"/>
                <w:szCs w:val="18"/>
              </w:rPr>
            </w:pPr>
            <w:r>
              <w:rPr>
                <w:rFonts w:ascii="宋体" w:hAnsi="宋体" w:cs="宋体" w:eastAsia="宋体" w:hint="default"/>
                <w:sz w:val="18"/>
                <w:szCs w:val="18"/>
              </w:rPr>
              <w:t>下列各项按持股比例计算 的合计数</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553,999.72</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-228,615.08</w:t>
            </w:r>
            <w:r>
              <w:rPr>
                <w:rFonts w:ascii="Times New Roman"/>
                <w:sz w:val="18"/>
              </w:rPr>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-54,019.20</w:t>
            </w:r>
            <w:r>
              <w:rPr>
                <w:rFonts w:ascii="Times New Roman"/>
                <w:sz w:val="18"/>
              </w:rPr>
            </w:r>
          </w:p>
        </w:tc>
      </w:tr>
      <w:tr>
        <w:trPr>
          <w:trHeight w:val="402" w:hRule="exact"/>
        </w:trPr>
        <w:tc>
          <w:tcPr>
            <w:tcW w:w="2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2,014,544.42</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w w:val="95"/>
                <w:sz w:val="18"/>
              </w:rPr>
              <w:t>-571,537.69</w:t>
            </w:r>
            <w:r>
              <w:rPr>
                <w:rFonts w:ascii="Times New Roman"/>
                <w:sz w:val="18"/>
              </w:rPr>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w w:val="95"/>
                <w:sz w:val="18"/>
              </w:rPr>
              <w:t>-971,568.35</w:t>
            </w:r>
            <w:r>
              <w:rPr>
                <w:rFonts w:ascii="Times New Roman"/>
                <w:sz w:val="18"/>
              </w:rPr>
            </w:r>
          </w:p>
        </w:tc>
      </w:tr>
      <w:tr>
        <w:trPr>
          <w:trHeight w:val="402" w:hRule="exact"/>
        </w:trPr>
        <w:tc>
          <w:tcPr>
            <w:tcW w:w="2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r>
      <w:tr>
        <w:trPr>
          <w:trHeight w:val="403" w:hRule="exact"/>
        </w:trPr>
        <w:tc>
          <w:tcPr>
            <w:tcW w:w="2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综合收益总额</w:t>
            </w:r>
          </w:p>
        </w:tc>
        <w:tc>
          <w:tcPr>
            <w:tcW w:w="2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2,014,544.42</w:t>
            </w:r>
          </w:p>
        </w:tc>
        <w:tc>
          <w:tcPr>
            <w:tcW w:w="1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w:t>
            </w:r>
            <w:r>
              <w:rPr>
                <w:rFonts w:ascii="Times New Roman"/>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w w:val="95"/>
                <w:sz w:val="18"/>
              </w:rPr>
              <w:t>-571,537.69</w:t>
            </w:r>
            <w:r>
              <w:rPr>
                <w:rFonts w:ascii="Times New Roman"/>
                <w:sz w:val="18"/>
              </w:rPr>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w w:val="95"/>
                <w:sz w:val="18"/>
              </w:rPr>
              <w:t>-971,568.35</w:t>
            </w:r>
            <w:r>
              <w:rPr>
                <w:rFonts w:ascii="Times New Roman"/>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20" w:right="0"/>
        </w:sectPr>
      </w:pPr>
    </w:p>
    <w:p>
      <w:pPr>
        <w:spacing w:line="240" w:lineRule="auto" w:before="8"/>
        <w:rPr>
          <w:rFonts w:ascii="宋体" w:hAnsi="宋体" w:cs="宋体" w:eastAsia="宋体" w:hint="default"/>
          <w:b/>
          <w:bCs/>
          <w:sz w:val="23"/>
          <w:szCs w:val="23"/>
        </w:rPr>
      </w:pPr>
    </w:p>
    <w:p>
      <w:pPr>
        <w:pStyle w:val="Heading2"/>
        <w:spacing w:line="240" w:lineRule="auto" w:before="26"/>
        <w:ind w:right="1134"/>
        <w:jc w:val="left"/>
        <w:rPr>
          <w:b w:val="0"/>
          <w:bCs w:val="0"/>
        </w:rPr>
      </w:pPr>
      <w:bookmarkStart w:name="十、关联方及关联交易" w:id="307"/>
      <w:bookmarkEnd w:id="307"/>
      <w:r>
        <w:rPr>
          <w:b w:val="0"/>
          <w:bCs w:val="0"/>
        </w:rPr>
      </w:r>
      <w:r>
        <w:rPr/>
        <w:t>十、关联方及关联交易</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本企业的母公司情况" w:id="308"/>
      <w:bookmarkEnd w:id="308"/>
      <w:r>
        <w:rPr>
          <w:b w:val="0"/>
          <w:bCs w:val="0"/>
        </w:rPr>
      </w:r>
      <w:r>
        <w:rPr>
          <w:rFonts w:ascii="Times New Roman" w:hAnsi="Times New Roman" w:cs="Times New Roman" w:eastAsia="Times New Roman" w:hint="default"/>
        </w:rPr>
        <w:t>1</w:t>
      </w:r>
      <w:r>
        <w:rPr/>
        <w:t>、本企业的母公司情况</w:t>
      </w:r>
      <w:r>
        <w:rPr>
          <w:b w:val="0"/>
          <w:bCs w:val="0"/>
        </w:rPr>
      </w:r>
    </w:p>
    <w:p>
      <w:pPr>
        <w:spacing w:line="240" w:lineRule="auto" w:before="8"/>
        <w:rPr>
          <w:rFonts w:ascii="宋体" w:hAnsi="宋体" w:cs="宋体" w:eastAsia="宋体" w:hint="default"/>
          <w:b/>
          <w:bCs/>
          <w:sz w:val="26"/>
          <w:szCs w:val="26"/>
        </w:rPr>
      </w:pPr>
    </w:p>
    <w:p>
      <w:pPr>
        <w:pStyle w:val="BodyText"/>
        <w:spacing w:line="338" w:lineRule="auto"/>
        <w:ind w:right="5786"/>
        <w:jc w:val="left"/>
      </w:pPr>
      <w:r>
        <w:rPr/>
        <w:t>本企业最终控制方是</w:t>
      </w:r>
      <w:r>
        <w:rPr>
          <w:spacing w:val="-48"/>
        </w:rPr>
        <w:t> </w:t>
      </w:r>
      <w:r>
        <w:rPr>
          <w:rFonts w:ascii="Times New Roman" w:hAnsi="Times New Roman" w:cs="Times New Roman" w:eastAsia="Times New Roman" w:hint="default"/>
        </w:rPr>
        <w:t>CHEN</w:t>
      </w:r>
      <w:r>
        <w:rPr>
          <w:rFonts w:ascii="Times New Roman" w:hAnsi="Times New Roman" w:cs="Times New Roman" w:eastAsia="Times New Roman" w:hint="default"/>
          <w:spacing w:val="-8"/>
        </w:rPr>
        <w:t> </w:t>
      </w:r>
      <w:r>
        <w:rPr>
          <w:rFonts w:ascii="Times New Roman" w:hAnsi="Times New Roman" w:cs="Times New Roman" w:eastAsia="Times New Roman" w:hint="default"/>
        </w:rPr>
        <w:t>YIHAN</w:t>
      </w:r>
      <w:r>
        <w:rPr/>
        <w:t>、</w:t>
      </w:r>
      <w:r>
        <w:rPr>
          <w:rFonts w:ascii="Times New Roman" w:hAnsi="Times New Roman" w:cs="Times New Roman" w:eastAsia="Times New Roman" w:hint="default"/>
        </w:rPr>
        <w:t>GUO</w:t>
      </w:r>
      <w:r>
        <w:rPr>
          <w:rFonts w:ascii="Times New Roman" w:hAnsi="Times New Roman" w:cs="Times New Roman" w:eastAsia="Times New Roman" w:hint="default"/>
          <w:spacing w:val="-1"/>
        </w:rPr>
        <w:t> </w:t>
      </w:r>
      <w:r>
        <w:rPr>
          <w:rFonts w:ascii="Times New Roman" w:hAnsi="Times New Roman" w:cs="Times New Roman" w:eastAsia="Times New Roman" w:hint="default"/>
        </w:rPr>
        <w:t>SONG</w:t>
      </w:r>
      <w:r>
        <w:rPr/>
        <w:t>、</w:t>
      </w:r>
      <w:r>
        <w:rPr>
          <w:rFonts w:ascii="Times New Roman" w:hAnsi="Times New Roman" w:cs="Times New Roman" w:eastAsia="Times New Roman" w:hint="default"/>
        </w:rPr>
        <w:t>LIU</w:t>
      </w:r>
      <w:r>
        <w:rPr>
          <w:rFonts w:ascii="Times New Roman" w:hAnsi="Times New Roman" w:cs="Times New Roman" w:eastAsia="Times New Roman" w:hint="default"/>
          <w:spacing w:val="-2"/>
        </w:rPr>
        <w:t> </w:t>
      </w:r>
      <w:r>
        <w:rPr>
          <w:rFonts w:ascii="Times New Roman" w:hAnsi="Times New Roman" w:cs="Times New Roman" w:eastAsia="Times New Roman" w:hint="default"/>
        </w:rPr>
        <w:t>DAN</w:t>
      </w:r>
      <w:r>
        <w:rPr/>
        <w:t>。 其他说明：</w:t>
      </w:r>
    </w:p>
    <w:p>
      <w:pPr>
        <w:spacing w:line="240" w:lineRule="auto" w:before="10"/>
        <w:rPr>
          <w:rFonts w:ascii="宋体" w:hAnsi="宋体" w:cs="宋体" w:eastAsia="宋体" w:hint="default"/>
          <w:sz w:val="3"/>
          <w:szCs w:val="3"/>
        </w:rPr>
      </w:pPr>
    </w:p>
    <w:tbl>
      <w:tblPr>
        <w:tblW w:w="0" w:type="auto"/>
        <w:jc w:val="left"/>
        <w:tblInd w:w="146" w:type="dxa"/>
        <w:tblLayout w:type="fixed"/>
        <w:tblCellMar>
          <w:top w:w="0" w:type="dxa"/>
          <w:left w:w="0" w:type="dxa"/>
          <w:bottom w:w="0" w:type="dxa"/>
          <w:right w:w="0" w:type="dxa"/>
        </w:tblCellMar>
        <w:tblLook w:val="01E0"/>
      </w:tblPr>
      <w:tblGrid>
        <w:gridCol w:w="3154"/>
        <w:gridCol w:w="1140"/>
        <w:gridCol w:w="1056"/>
        <w:gridCol w:w="1056"/>
        <w:gridCol w:w="1056"/>
        <w:gridCol w:w="2094"/>
      </w:tblGrid>
      <w:tr>
        <w:trPr>
          <w:trHeight w:val="329" w:hRule="exact"/>
        </w:trPr>
        <w:tc>
          <w:tcPr>
            <w:tcW w:w="315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关联方名称</w:t>
            </w:r>
          </w:p>
        </w:tc>
        <w:tc>
          <w:tcPr>
            <w:tcW w:w="114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企业类型</w:t>
            </w:r>
          </w:p>
        </w:tc>
        <w:tc>
          <w:tcPr>
            <w:tcW w:w="105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注册地</w:t>
            </w:r>
          </w:p>
        </w:tc>
        <w:tc>
          <w:tcPr>
            <w:tcW w:w="105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法人代表</w:t>
            </w:r>
          </w:p>
        </w:tc>
        <w:tc>
          <w:tcPr>
            <w:tcW w:w="105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业务性质</w:t>
            </w:r>
          </w:p>
        </w:tc>
        <w:tc>
          <w:tcPr>
            <w:tcW w:w="209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right="1"/>
              <w:jc w:val="center"/>
              <w:rPr>
                <w:rFonts w:ascii="宋体" w:hAnsi="宋体" w:cs="宋体" w:eastAsia="宋体" w:hint="default"/>
                <w:sz w:val="18"/>
                <w:szCs w:val="18"/>
              </w:rPr>
            </w:pPr>
            <w:r>
              <w:rPr>
                <w:rFonts w:ascii="宋体" w:hAnsi="宋体" w:cs="宋体" w:eastAsia="宋体" w:hint="default"/>
                <w:sz w:val="18"/>
                <w:szCs w:val="18"/>
              </w:rPr>
              <w:t>与本公司关系</w:t>
            </w:r>
          </w:p>
        </w:tc>
      </w:tr>
      <w:tr>
        <w:trPr>
          <w:trHeight w:val="347" w:hRule="exact"/>
        </w:trPr>
        <w:tc>
          <w:tcPr>
            <w:tcW w:w="31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CHEN</w:t>
            </w:r>
            <w:r>
              <w:rPr>
                <w:rFonts w:ascii="Times New Roman"/>
                <w:spacing w:val="-2"/>
                <w:sz w:val="18"/>
              </w:rPr>
              <w:t> </w:t>
            </w:r>
            <w:r>
              <w:rPr>
                <w:rFonts w:ascii="Times New Roman"/>
                <w:sz w:val="18"/>
              </w:rPr>
              <w:t>YIHAN</w:t>
            </w:r>
          </w:p>
        </w:tc>
        <w:tc>
          <w:tcPr>
            <w:tcW w:w="11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w:t>
            </w:r>
          </w:p>
        </w:tc>
        <w:tc>
          <w:tcPr>
            <w:tcW w:w="20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实际控制人</w:t>
            </w:r>
          </w:p>
        </w:tc>
      </w:tr>
      <w:tr>
        <w:trPr>
          <w:trHeight w:val="347" w:hRule="exact"/>
        </w:trPr>
        <w:tc>
          <w:tcPr>
            <w:tcW w:w="31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GUO</w:t>
            </w:r>
            <w:r>
              <w:rPr>
                <w:rFonts w:ascii="Times New Roman"/>
                <w:spacing w:val="-2"/>
                <w:sz w:val="18"/>
              </w:rPr>
              <w:t> </w:t>
            </w:r>
            <w:r>
              <w:rPr>
                <w:rFonts w:ascii="Times New Roman"/>
                <w:sz w:val="18"/>
              </w:rPr>
              <w:t>SONG</w:t>
            </w:r>
          </w:p>
        </w:tc>
        <w:tc>
          <w:tcPr>
            <w:tcW w:w="11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w:t>
            </w:r>
          </w:p>
        </w:tc>
        <w:tc>
          <w:tcPr>
            <w:tcW w:w="20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实际控制人</w:t>
            </w:r>
          </w:p>
        </w:tc>
      </w:tr>
      <w:tr>
        <w:trPr>
          <w:trHeight w:val="347" w:hRule="exact"/>
        </w:trPr>
        <w:tc>
          <w:tcPr>
            <w:tcW w:w="31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2" w:right="0"/>
              <w:jc w:val="left"/>
              <w:rPr>
                <w:rFonts w:ascii="Times New Roman" w:hAnsi="Times New Roman" w:cs="Times New Roman" w:eastAsia="Times New Roman" w:hint="default"/>
                <w:sz w:val="18"/>
                <w:szCs w:val="18"/>
              </w:rPr>
            </w:pPr>
            <w:r>
              <w:rPr>
                <w:rFonts w:ascii="Times New Roman"/>
                <w:sz w:val="18"/>
              </w:rPr>
              <w:t>LIU</w:t>
            </w:r>
            <w:r>
              <w:rPr>
                <w:rFonts w:ascii="Times New Roman"/>
                <w:spacing w:val="-2"/>
                <w:sz w:val="18"/>
              </w:rPr>
              <w:t> </w:t>
            </w:r>
            <w:r>
              <w:rPr>
                <w:rFonts w:ascii="Times New Roman"/>
                <w:sz w:val="18"/>
              </w:rPr>
              <w:t>DAN</w:t>
            </w:r>
          </w:p>
        </w:tc>
        <w:tc>
          <w:tcPr>
            <w:tcW w:w="11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w:t>
            </w:r>
          </w:p>
        </w:tc>
        <w:tc>
          <w:tcPr>
            <w:tcW w:w="20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实际控制人</w:t>
            </w:r>
          </w:p>
        </w:tc>
      </w:tr>
      <w:tr>
        <w:trPr>
          <w:trHeight w:val="348" w:hRule="exact"/>
        </w:trPr>
        <w:tc>
          <w:tcPr>
            <w:tcW w:w="315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香港优博讯科技控股集团有限公司</w:t>
            </w:r>
          </w:p>
        </w:tc>
        <w:tc>
          <w:tcPr>
            <w:tcW w:w="11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有限公司</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香港</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GUO</w:t>
            </w:r>
            <w:r>
              <w:rPr>
                <w:rFonts w:ascii="Times New Roman"/>
                <w:spacing w:val="-2"/>
                <w:sz w:val="18"/>
              </w:rPr>
              <w:t> </w:t>
            </w:r>
            <w:r>
              <w:rPr>
                <w:rFonts w:ascii="Times New Roman"/>
                <w:sz w:val="18"/>
              </w:rPr>
              <w:t>SONG</w:t>
            </w:r>
          </w:p>
        </w:tc>
        <w:tc>
          <w:tcPr>
            <w:tcW w:w="1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Times New Roman"/>
                <w:sz w:val="18"/>
              </w:rPr>
              <w:t>---</w:t>
            </w:r>
          </w:p>
        </w:tc>
        <w:tc>
          <w:tcPr>
            <w:tcW w:w="20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1"/>
              <w:jc w:val="center"/>
              <w:rPr>
                <w:rFonts w:ascii="宋体" w:hAnsi="宋体" w:cs="宋体" w:eastAsia="宋体" w:hint="default"/>
                <w:sz w:val="18"/>
                <w:szCs w:val="18"/>
              </w:rPr>
            </w:pPr>
            <w:r>
              <w:rPr>
                <w:rFonts w:ascii="宋体" w:hAnsi="宋体" w:cs="宋体" w:eastAsia="宋体" w:hint="default"/>
                <w:sz w:val="18"/>
                <w:szCs w:val="18"/>
              </w:rPr>
              <w:t>本公司控股股东</w:t>
            </w:r>
          </w:p>
        </w:tc>
      </w:tr>
    </w:tbl>
    <w:p>
      <w:pPr>
        <w:pStyle w:val="BodyText"/>
        <w:spacing w:line="240" w:lineRule="auto" w:before="10"/>
        <w:ind w:right="1134"/>
        <w:jc w:val="left"/>
      </w:pP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w:t>
      </w:r>
      <w:r>
        <w:rPr/>
        <w:t>日，</w:t>
      </w:r>
      <w:r>
        <w:rPr>
          <w:rFonts w:ascii="Times New Roman" w:hAnsi="Times New Roman" w:cs="Times New Roman" w:eastAsia="Times New Roman" w:hint="default"/>
        </w:rPr>
        <w:t>CHEN YIHAN</w:t>
      </w:r>
      <w:r>
        <w:rPr/>
        <w:t>、</w:t>
      </w:r>
      <w:r>
        <w:rPr>
          <w:rFonts w:ascii="Times New Roman" w:hAnsi="Times New Roman" w:cs="Times New Roman" w:eastAsia="Times New Roman" w:hint="default"/>
        </w:rPr>
        <w:t>GUO SONG</w:t>
      </w:r>
      <w:r>
        <w:rPr/>
        <w:t>和</w:t>
      </w:r>
      <w:r>
        <w:rPr>
          <w:rFonts w:ascii="Times New Roman" w:hAnsi="Times New Roman" w:cs="Times New Roman" w:eastAsia="Times New Roman" w:hint="default"/>
        </w:rPr>
        <w:t>LIU</w:t>
      </w:r>
      <w:r>
        <w:rPr>
          <w:rFonts w:ascii="Times New Roman" w:hAnsi="Times New Roman" w:cs="Times New Roman" w:eastAsia="Times New Roman" w:hint="default"/>
          <w:spacing w:val="-3"/>
        </w:rPr>
        <w:t> </w:t>
      </w:r>
      <w:r>
        <w:rPr>
          <w:rFonts w:ascii="Times New Roman" w:hAnsi="Times New Roman" w:cs="Times New Roman" w:eastAsia="Times New Roman" w:hint="default"/>
        </w:rPr>
        <w:t>DAN</w:t>
      </w:r>
      <w:r>
        <w:rPr/>
        <w:t>签署了一致行动协议。</w:t>
      </w:r>
    </w:p>
    <w:p>
      <w:pPr>
        <w:spacing w:line="240" w:lineRule="auto" w:before="11"/>
        <w:rPr>
          <w:rFonts w:ascii="宋体" w:hAnsi="宋体" w:cs="宋体" w:eastAsia="宋体" w:hint="default"/>
          <w:sz w:val="25"/>
          <w:szCs w:val="25"/>
        </w:rPr>
      </w:pPr>
    </w:p>
    <w:p>
      <w:pPr>
        <w:spacing w:line="547" w:lineRule="auto" w:before="0"/>
        <w:ind w:left="154" w:right="7692" w:firstLine="0"/>
        <w:jc w:val="left"/>
        <w:rPr>
          <w:rFonts w:ascii="宋体" w:hAnsi="宋体" w:cs="宋体" w:eastAsia="宋体" w:hint="default"/>
          <w:sz w:val="21"/>
          <w:szCs w:val="21"/>
        </w:rPr>
      </w:pPr>
      <w:bookmarkStart w:name="2、本企业的子公司情况" w:id="309"/>
      <w:bookmarkEnd w:id="309"/>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b/>
          <w:bCs/>
          <w:w w:val="99"/>
          <w:sz w:val="21"/>
          <w:szCs w:val="21"/>
        </w:rPr>
        <w:t> </w:t>
      </w:r>
      <w:r>
        <w:rPr>
          <w:rFonts w:ascii="宋体" w:hAnsi="宋体" w:cs="宋体" w:eastAsia="宋体" w:hint="default"/>
          <w:sz w:val="18"/>
          <w:szCs w:val="18"/>
        </w:rPr>
        <w:t>本企业子公司的情况详见附注九、</w:t>
      </w:r>
      <w:r>
        <w:rPr>
          <w:rFonts w:ascii="Times New Roman" w:hAnsi="Times New Roman" w:cs="Times New Roman" w:eastAsia="Times New Roman" w:hint="default"/>
          <w:sz w:val="18"/>
          <w:szCs w:val="18"/>
        </w:rPr>
        <w:t>1</w:t>
      </w:r>
      <w:r>
        <w:rPr>
          <w:rFonts w:ascii="宋体" w:hAnsi="宋体" w:cs="宋体" w:eastAsia="宋体" w:hint="default"/>
          <w:sz w:val="18"/>
          <w:szCs w:val="18"/>
        </w:rPr>
        <w:t>。 </w:t>
      </w:r>
      <w:bookmarkStart w:name="3、本企业合营和联营企业情况" w:id="310"/>
      <w:bookmarkEnd w:id="310"/>
      <w:r>
        <w:rPr>
          <w:rFonts w:ascii="宋体" w:hAnsi="宋体" w:cs="宋体" w:eastAsia="宋体" w:hint="default"/>
          <w:sz w:val="18"/>
          <w:szCs w:val="18"/>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、本企业合营和联营企业情况</w:t>
      </w:r>
      <w:r>
        <w:rPr>
          <w:rFonts w:ascii="宋体" w:hAnsi="宋体" w:cs="宋体" w:eastAsia="宋体" w:hint="default"/>
          <w:sz w:val="21"/>
          <w:szCs w:val="21"/>
        </w:rPr>
      </w:r>
    </w:p>
    <w:p>
      <w:pPr>
        <w:pStyle w:val="BodyText"/>
        <w:spacing w:line="340" w:lineRule="auto" w:before="50"/>
        <w:ind w:right="1752"/>
        <w:jc w:val="left"/>
      </w:pPr>
      <w:r>
        <w:rPr/>
        <w:t>本企业重要的合营或联营企业详见附注九、</w:t>
      </w:r>
      <w:r>
        <w:rPr>
          <w:rFonts w:ascii="Times New Roman" w:hAnsi="Times New Roman" w:cs="Times New Roman" w:eastAsia="Times New Roman" w:hint="default"/>
        </w:rPr>
        <w:t>2</w:t>
      </w:r>
      <w:r>
        <w:rPr/>
        <w:t>。 本期与本公司发生关联方交易，或前期与本公司发生关联方交易形成余额的其他合营或联营企业情况如下：不适用</w:t>
      </w:r>
    </w:p>
    <w:p>
      <w:pPr>
        <w:spacing w:line="240" w:lineRule="auto" w:before="13"/>
        <w:rPr>
          <w:rFonts w:ascii="宋体" w:hAnsi="宋体" w:cs="宋体" w:eastAsia="宋体" w:hint="default"/>
          <w:sz w:val="20"/>
          <w:szCs w:val="20"/>
        </w:rPr>
      </w:pPr>
    </w:p>
    <w:p>
      <w:pPr>
        <w:pStyle w:val="Heading3"/>
        <w:spacing w:line="240" w:lineRule="auto"/>
        <w:ind w:right="1134"/>
        <w:jc w:val="left"/>
        <w:rPr>
          <w:b w:val="0"/>
          <w:bCs w:val="0"/>
        </w:rPr>
      </w:pPr>
      <w:bookmarkStart w:name="4、其他关联方情况" w:id="311"/>
      <w:bookmarkEnd w:id="311"/>
      <w:r>
        <w:rPr>
          <w:b w:val="0"/>
          <w:bCs w:val="0"/>
        </w:rPr>
      </w:r>
      <w:r>
        <w:rPr>
          <w:rFonts w:ascii="Times New Roman" w:hAnsi="Times New Roman" w:cs="Times New Roman" w:eastAsia="Times New Roman" w:hint="default"/>
        </w:rPr>
        <w:t>4</w:t>
      </w:r>
      <w:r>
        <w:rPr/>
        <w:t>、其他关联方情况</w:t>
      </w:r>
      <w:r>
        <w:rPr>
          <w:b w:val="0"/>
          <w:bCs w:val="0"/>
        </w:rPr>
      </w:r>
    </w:p>
    <w:p>
      <w:pPr>
        <w:spacing w:line="240" w:lineRule="auto" w:before="10"/>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98"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斯隆新产品投资有限公司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亚晟发展集团有限公司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深圳市博讯投资有限公司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深圳市中洲创业投资有限公司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本公司股东</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寰泰发展有限公司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实际控制人控制的企业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卓泰实业有限公司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实际控制人控制的企业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深圳市博通思创咨询有限公司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实际控制人控制的企业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宏泰实业有限公司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实际控制人控制的企业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博远企业有限公司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实际控制人控制的企业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深圳市博通智能科技有限公司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实际控制人控制的企业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北京易路易通科技有限公司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深圳市博通思创咨询有限公司持股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的联营企业</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刘镇</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本公司董事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仝文定</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本公司董事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王滨</w:t>
            </w:r>
            <w:r>
              <w:rPr>
                <w:rFonts w:ascii="Times New Roman" w:hAnsi="Times New Roman" w:cs="Times New Roman" w:eastAsia="Times New Roman"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本公司高管</w:t>
            </w:r>
          </w:p>
        </w:tc>
      </w:tr>
    </w:tbl>
    <w:p>
      <w:pPr>
        <w:spacing w:after="0" w:line="240" w:lineRule="auto"/>
        <w:jc w:val="left"/>
        <w:rPr>
          <w:rFonts w:ascii="宋体" w:hAnsi="宋体" w:cs="宋体" w:eastAsia="宋体"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b/>
          <w:bCs/>
          <w:sz w:val="28"/>
          <w:szCs w:val="28"/>
        </w:rPr>
      </w:pPr>
    </w:p>
    <w:tbl>
      <w:tblPr>
        <w:tblW w:w="0" w:type="auto"/>
        <w:jc w:val="left"/>
        <w:tblInd w:w="14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陈雪飞</w:t>
            </w:r>
            <w:r>
              <w:rPr>
                <w:rFonts w:ascii="Times New Roman" w:hAnsi="Times New Roman" w:cs="Times New Roman" w:eastAsia="Times New Roman"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本公司高管</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张晔</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财务负责人</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于雪磊</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本公司监事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王勤红</w:t>
            </w:r>
            <w:r>
              <w:rPr>
                <w:rFonts w:ascii="Times New Roman" w:hAnsi="Times New Roman" w:cs="Times New Roman" w:eastAsia="Times New Roman" w:hint="default"/>
                <w:sz w:val="18"/>
                <w:szCs w:val="18"/>
              </w:rPr>
              <w:t>*</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本公司监事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郁小娇</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本公司监事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徐宁</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本公司监事</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王洪莉</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实际控制人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LIU</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DAN</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之亲属</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万波</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本公司高管</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张玉洁</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本公司高管</w:t>
            </w:r>
          </w:p>
        </w:tc>
      </w:tr>
    </w:tbl>
    <w:p>
      <w:pPr>
        <w:pStyle w:val="BodyText"/>
        <w:spacing w:line="240" w:lineRule="auto" w:before="51"/>
        <w:ind w:right="1134"/>
        <w:jc w:val="left"/>
      </w:pPr>
      <w:r>
        <w:rPr/>
        <w:t>其他说明：</w:t>
      </w:r>
      <w:r>
        <w:rPr>
          <w:rFonts w:ascii="Times New Roman" w:hAnsi="Times New Roman" w:cs="Times New Roman" w:eastAsia="Times New Roman" w:hint="default"/>
        </w:rPr>
        <w:t>*</w:t>
      </w:r>
      <w:r>
        <w:rPr/>
        <w:t>陈雪飞和王滨分别于</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9"/>
        </w:rPr>
        <w:t> </w:t>
      </w:r>
      <w:r>
        <w:rPr/>
        <w:t>年</w:t>
      </w:r>
      <w:r>
        <w:rPr>
          <w:spacing w:val="-46"/>
        </w:rPr>
        <w:t> </w:t>
      </w:r>
      <w:r>
        <w:rPr>
          <w:rFonts w:ascii="Times New Roman" w:hAnsi="Times New Roman" w:cs="Times New Roman" w:eastAsia="Times New Roman" w:hint="default"/>
        </w:rPr>
        <w:t>3</w:t>
      </w:r>
      <w:r>
        <w:rPr>
          <w:rFonts w:ascii="Times New Roman" w:hAnsi="Times New Roman" w:cs="Times New Roman" w:eastAsia="Times New Roman" w:hint="default"/>
          <w:spacing w:val="-8"/>
        </w:rPr>
        <w:t> </w:t>
      </w:r>
      <w:r>
        <w:rPr/>
        <w:t>月和</w:t>
      </w:r>
      <w:r>
        <w:rPr>
          <w:spacing w:val="-46"/>
        </w:rPr>
        <w:t> </w:t>
      </w:r>
      <w:r>
        <w:rPr>
          <w:rFonts w:ascii="Times New Roman" w:hAnsi="Times New Roman" w:cs="Times New Roman" w:eastAsia="Times New Roman" w:hint="default"/>
        </w:rPr>
        <w:t>2019</w:t>
      </w:r>
      <w:r>
        <w:rPr>
          <w:rFonts w:ascii="Times New Roman" w:hAnsi="Times New Roman" w:cs="Times New Roman" w:eastAsia="Times New Roman" w:hint="default"/>
          <w:spacing w:val="-9"/>
        </w:rPr>
        <w:t> </w:t>
      </w:r>
      <w:r>
        <w:rPr/>
        <w:t>年</w:t>
      </w:r>
      <w:r>
        <w:rPr>
          <w:spacing w:val="-46"/>
        </w:rPr>
        <w:t> </w:t>
      </w:r>
      <w:r>
        <w:rPr>
          <w:rFonts w:ascii="Times New Roman" w:hAnsi="Times New Roman" w:cs="Times New Roman" w:eastAsia="Times New Roman" w:hint="default"/>
        </w:rPr>
        <w:t>1</w:t>
      </w:r>
      <w:r>
        <w:rPr>
          <w:rFonts w:ascii="Times New Roman" w:hAnsi="Times New Roman" w:cs="Times New Roman" w:eastAsia="Times New Roman" w:hint="default"/>
          <w:spacing w:val="-8"/>
        </w:rPr>
        <w:t> </w:t>
      </w:r>
      <w:r>
        <w:rPr/>
        <w:t>月离职；王勤红于</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9"/>
        </w:rPr>
        <w:t> </w:t>
      </w:r>
      <w:r>
        <w:rPr/>
        <w:t>年</w:t>
      </w:r>
      <w:r>
        <w:rPr>
          <w:spacing w:val="-46"/>
        </w:rPr>
        <w:t> </w:t>
      </w:r>
      <w:r>
        <w:rPr>
          <w:rFonts w:ascii="Times New Roman" w:hAnsi="Times New Roman" w:cs="Times New Roman" w:eastAsia="Times New Roman" w:hint="default"/>
        </w:rPr>
        <w:t>9</w:t>
      </w:r>
      <w:r>
        <w:rPr>
          <w:rFonts w:ascii="Times New Roman" w:hAnsi="Times New Roman" w:cs="Times New Roman" w:eastAsia="Times New Roman" w:hint="default"/>
          <w:spacing w:val="-8"/>
        </w:rPr>
        <w:t> </w:t>
      </w:r>
      <w:r>
        <w:rPr/>
        <w:t>月任期满离任。</w:t>
      </w:r>
    </w:p>
    <w:p>
      <w:pPr>
        <w:spacing w:line="240" w:lineRule="auto" w:before="10"/>
        <w:rPr>
          <w:rFonts w:ascii="宋体" w:hAnsi="宋体" w:cs="宋体" w:eastAsia="宋体" w:hint="default"/>
          <w:sz w:val="25"/>
          <w:szCs w:val="25"/>
        </w:rPr>
      </w:pPr>
    </w:p>
    <w:p>
      <w:pPr>
        <w:pStyle w:val="Heading3"/>
        <w:spacing w:line="240" w:lineRule="auto"/>
        <w:ind w:right="1134"/>
        <w:jc w:val="left"/>
        <w:rPr>
          <w:b w:val="0"/>
          <w:bCs w:val="0"/>
        </w:rPr>
      </w:pPr>
      <w:bookmarkStart w:name="5、关联交易情况" w:id="312"/>
      <w:bookmarkEnd w:id="312"/>
      <w:r>
        <w:rPr>
          <w:b w:val="0"/>
          <w:bCs w:val="0"/>
        </w:rPr>
      </w:r>
      <w:r>
        <w:rPr>
          <w:rFonts w:ascii="Times New Roman" w:hAnsi="Times New Roman" w:cs="Times New Roman" w:eastAsia="Times New Roman" w:hint="default"/>
        </w:rPr>
        <w:t>5</w:t>
      </w:r>
      <w:r>
        <w:rPr/>
        <w:t>、关联交易情况</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1134"/>
        <w:jc w:val="left"/>
        <w:rPr>
          <w:b w:val="0"/>
          <w:bCs w:val="0"/>
        </w:rPr>
      </w:pPr>
      <w:bookmarkStart w:name="（1）购销商品、提供和接受劳务的关联交易" w:id="313"/>
      <w:bookmarkEnd w:id="313"/>
      <w:r>
        <w:rPr>
          <w:b w:val="0"/>
          <w:bCs w:val="0"/>
        </w:rPr>
      </w:r>
      <w:r>
        <w:rPr/>
        <w:t>（</w:t>
      </w:r>
      <w:r>
        <w:rPr>
          <w:rFonts w:ascii="Times New Roman" w:hAnsi="Times New Roman" w:cs="Times New Roman" w:eastAsia="Times New Roman" w:hint="default"/>
        </w:rPr>
        <w:t>1</w:t>
      </w:r>
      <w:r>
        <w:rPr/>
        <w:t>）购销商品、提供和接受劳务的关联交易</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1134"/>
        <w:jc w:val="left"/>
      </w:pPr>
      <w:r>
        <w:rPr/>
        <w:t>采购商品</w:t>
      </w:r>
      <w:r>
        <w:rPr>
          <w:rFonts w:ascii="Times New Roman" w:hAnsi="Times New Roman" w:cs="Times New Roman" w:eastAsia="Times New Roman" w:hint="default"/>
        </w:rPr>
        <w:t>/</w:t>
      </w:r>
      <w:r>
        <w:rPr/>
        <w:t>接受劳务情况表</w:t>
      </w:r>
    </w:p>
    <w:p>
      <w:pPr>
        <w:pStyle w:val="BodyText"/>
        <w:spacing w:line="240" w:lineRule="auto" w:before="102"/>
        <w:ind w:left="5856" w:right="1130"/>
        <w:jc w:val="right"/>
      </w:pPr>
      <w:r>
        <w:rPr/>
        <w:t>单位： 元</w:t>
      </w: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540"/>
        <w:gridCol w:w="1454"/>
        <w:gridCol w:w="1455"/>
        <w:gridCol w:w="1706"/>
        <w:gridCol w:w="1708"/>
        <w:gridCol w:w="1706"/>
      </w:tblGrid>
      <w:tr>
        <w:trPr>
          <w:trHeight w:val="401" w:hRule="exact"/>
        </w:trPr>
        <w:tc>
          <w:tcPr>
            <w:tcW w:w="1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9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71"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18"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28"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9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上海芝柯智能科技 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设备</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6,712,150.40</w:t>
            </w:r>
          </w:p>
        </w:tc>
        <w:tc>
          <w:tcPr>
            <w:tcW w:w="1706" w:type="dxa"/>
            <w:tcBorders>
              <w:top w:val="single" w:sz="4" w:space="0" w:color="000000"/>
              <w:left w:val="single" w:sz="4" w:space="0" w:color="000000"/>
              <w:bottom w:val="single" w:sz="4" w:space="0" w:color="000000"/>
              <w:right w:val="single" w:sz="4" w:space="0" w:color="000000"/>
            </w:tcBorders>
          </w:tcPr>
          <w:p>
            <w:pPr/>
          </w:p>
        </w:tc>
        <w:tc>
          <w:tcPr>
            <w:tcW w:w="1708"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167,735.05</w:t>
            </w:r>
          </w:p>
        </w:tc>
      </w:tr>
      <w:tr>
        <w:trPr>
          <w:trHeight w:val="715"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22" w:right="65"/>
              <w:jc w:val="left"/>
              <w:rPr>
                <w:rFonts w:ascii="宋体" w:hAnsi="宋体" w:cs="宋体" w:eastAsia="宋体" w:hint="default"/>
                <w:sz w:val="18"/>
                <w:szCs w:val="18"/>
              </w:rPr>
            </w:pPr>
            <w:r>
              <w:rPr>
                <w:rFonts w:ascii="宋体" w:hAnsi="宋体" w:cs="宋体" w:eastAsia="宋体" w:hint="default"/>
                <w:sz w:val="18"/>
                <w:szCs w:val="18"/>
              </w:rPr>
              <w:t>北京易路易通科技 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设备和服务费</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643,396.23</w:t>
            </w:r>
          </w:p>
        </w:tc>
        <w:tc>
          <w:tcPr>
            <w:tcW w:w="1706" w:type="dxa"/>
            <w:tcBorders>
              <w:top w:val="single" w:sz="4" w:space="0" w:color="000000"/>
              <w:left w:val="single" w:sz="4" w:space="0" w:color="000000"/>
              <w:bottom w:val="single" w:sz="4" w:space="0" w:color="000000"/>
              <w:right w:val="single" w:sz="4" w:space="0" w:color="000000"/>
            </w:tcBorders>
          </w:tcPr>
          <w:p>
            <w:pPr/>
          </w:p>
        </w:tc>
        <w:tc>
          <w:tcPr>
            <w:tcW w:w="1708" w:type="dxa"/>
            <w:tcBorders>
              <w:top w:val="single" w:sz="4" w:space="0" w:color="000000"/>
              <w:left w:val="single" w:sz="4" w:space="0" w:color="000000"/>
              <w:bottom w:val="single" w:sz="4" w:space="0" w:color="000000"/>
              <w:right w:val="single" w:sz="4" w:space="0" w:color="000000"/>
            </w:tcBorders>
          </w:tcPr>
          <w:p>
            <w:pP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943,396.20</w:t>
            </w:r>
          </w:p>
        </w:tc>
      </w:tr>
    </w:tbl>
    <w:p>
      <w:pPr>
        <w:pStyle w:val="BodyText"/>
        <w:spacing w:line="240" w:lineRule="auto" w:before="51"/>
        <w:ind w:right="1134"/>
        <w:jc w:val="left"/>
      </w:pPr>
      <w:r>
        <w:rPr/>
        <w:t>出售商品</w:t>
      </w:r>
      <w:r>
        <w:rPr>
          <w:rFonts w:ascii="Times New Roman" w:hAnsi="Times New Roman" w:cs="Times New Roman" w:eastAsia="Times New Roman" w:hint="default"/>
        </w:rPr>
        <w:t>/</w:t>
      </w:r>
      <w:r>
        <w:rPr/>
        <w:t>提供劳务情况表</w:t>
      </w:r>
    </w:p>
    <w:p>
      <w:pPr>
        <w:pStyle w:val="BodyText"/>
        <w:spacing w:line="240" w:lineRule="auto" w:before="102"/>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2398"/>
        <w:gridCol w:w="2259"/>
        <w:gridCol w:w="2260"/>
        <w:gridCol w:w="2652"/>
      </w:tblGrid>
      <w:tr>
        <w:trPr>
          <w:trHeight w:val="402" w:hRule="exact"/>
        </w:trPr>
        <w:tc>
          <w:tcPr>
            <w:tcW w:w="23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关联交易内容</w:t>
            </w:r>
          </w:p>
        </w:tc>
        <w:tc>
          <w:tcPr>
            <w:tcW w:w="2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7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1"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上海芝柯智能科技有限公司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设备配件</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242,431.03</w:t>
            </w:r>
          </w:p>
        </w:tc>
        <w:tc>
          <w:tcPr>
            <w:tcW w:w="265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深圳市天眼智通科技有限公司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设备配件</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3,820.51</w:t>
            </w:r>
          </w:p>
        </w:tc>
        <w:tc>
          <w:tcPr>
            <w:tcW w:w="265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深圳市天眼智通科技有限公司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固定资产</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99,884.61</w:t>
            </w:r>
          </w:p>
        </w:tc>
        <w:tc>
          <w:tcPr>
            <w:tcW w:w="265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北京易路易通科技有限公司</w:t>
            </w:r>
          </w:p>
        </w:tc>
        <w:tc>
          <w:tcPr>
            <w:tcW w:w="2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设备配件</w:t>
            </w:r>
          </w:p>
        </w:tc>
        <w:tc>
          <w:tcPr>
            <w:tcW w:w="2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212,284.47</w:t>
            </w:r>
          </w:p>
        </w:tc>
        <w:tc>
          <w:tcPr>
            <w:tcW w:w="2652"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关联租赁情况" w:id="314"/>
      <w:bookmarkEnd w:id="314"/>
      <w:r>
        <w:rPr>
          <w:b w:val="0"/>
          <w:bCs w:val="0"/>
        </w:rPr>
      </w:r>
      <w:r>
        <w:rPr/>
        <w:t>（</w:t>
      </w:r>
      <w:r>
        <w:rPr>
          <w:rFonts w:ascii="Times New Roman" w:hAnsi="Times New Roman" w:cs="Times New Roman" w:eastAsia="Times New Roman" w:hint="default"/>
        </w:rPr>
        <w:t>2</w:t>
      </w:r>
      <w:r>
        <w:rPr/>
        <w:t>）关联租赁情况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1134"/>
        <w:jc w:val="left"/>
      </w:pPr>
      <w:r>
        <w:rPr/>
        <w:t>本公司作为承租方：</w:t>
      </w:r>
    </w:p>
    <w:p>
      <w:pPr>
        <w:pStyle w:val="BodyText"/>
        <w:spacing w:line="240" w:lineRule="auto" w:before="117"/>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1"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本期确认的租赁费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上期确认的租赁费</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王洪莉</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房屋</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49" w:right="0"/>
              <w:jc w:val="left"/>
              <w:rPr>
                <w:rFonts w:ascii="Times New Roman" w:hAnsi="Times New Roman" w:cs="Times New Roman" w:eastAsia="Times New Roman" w:hint="default"/>
                <w:sz w:val="18"/>
                <w:szCs w:val="18"/>
              </w:rPr>
            </w:pPr>
            <w:r>
              <w:rPr>
                <w:rFonts w:ascii="Times New Roman"/>
                <w:sz w:val="18"/>
              </w:rPr>
              <w:t>294,000.00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49" w:right="0"/>
              <w:jc w:val="left"/>
              <w:rPr>
                <w:rFonts w:ascii="Times New Roman" w:hAnsi="Times New Roman" w:cs="Times New Roman" w:eastAsia="Times New Roman" w:hint="default"/>
                <w:sz w:val="18"/>
                <w:szCs w:val="18"/>
              </w:rPr>
            </w:pPr>
            <w:r>
              <w:rPr>
                <w:rFonts w:ascii="Times New Roman"/>
                <w:sz w:val="18"/>
              </w:rPr>
              <w:t>305,000.00</w:t>
            </w:r>
          </w:p>
        </w:tc>
      </w:tr>
    </w:tbl>
    <w:p>
      <w:pPr>
        <w:pStyle w:val="BodyText"/>
        <w:spacing w:line="240" w:lineRule="auto" w:before="51"/>
        <w:ind w:right="1134"/>
        <w:jc w:val="left"/>
      </w:pPr>
      <w:r>
        <w:rPr/>
        <w:t>关联租赁情况说明</w:t>
      </w:r>
    </w:p>
    <w:p>
      <w:pPr>
        <w:spacing w:after="0" w:line="24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right="1272" w:firstLine="360"/>
        <w:jc w:val="left"/>
      </w:pPr>
      <w:r>
        <w:rPr/>
        <w:t>本公司与王洪莉签订房屋租赁合同，王洪莉将其位于北京西城区西直门外大街</w:t>
      </w:r>
      <w:r>
        <w:rPr>
          <w:rFonts w:ascii="Times New Roman" w:hAnsi="Times New Roman" w:cs="Times New Roman" w:eastAsia="Times New Roman" w:hint="default"/>
        </w:rPr>
        <w:t>1</w:t>
      </w:r>
      <w:r>
        <w:rPr/>
        <w:t>号嘉茂大厦</w:t>
      </w:r>
      <w:r>
        <w:rPr>
          <w:rFonts w:ascii="Times New Roman" w:hAnsi="Times New Roman" w:cs="Times New Roman" w:eastAsia="Times New Roman" w:hint="default"/>
        </w:rPr>
        <w:t>16</w:t>
      </w:r>
      <w:r>
        <w:rPr/>
        <w:t>层</w:t>
      </w:r>
      <w:r>
        <w:rPr>
          <w:rFonts w:ascii="Times New Roman" w:hAnsi="Times New Roman" w:cs="Times New Roman" w:eastAsia="Times New Roman" w:hint="default"/>
        </w:rPr>
        <w:t>C9</w:t>
      </w:r>
      <w:r>
        <w:rPr/>
        <w:t>室租赁给本公司使 用，租赁期自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w:t>
      </w:r>
      <w:r>
        <w:rPr/>
        <w:t>日起至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28</w:t>
      </w:r>
      <w:r>
        <w:rPr/>
        <w:t>日止，租赁期间租金的市场价格为每月租金</w:t>
      </w:r>
      <w:r>
        <w:rPr>
          <w:rFonts w:ascii="Times New Roman" w:hAnsi="Times New Roman" w:cs="Times New Roman" w:eastAsia="Times New Roman" w:hint="default"/>
        </w:rPr>
        <w:t>24,500.00</w:t>
      </w:r>
      <w:r>
        <w:rPr/>
        <w:t>元。</w:t>
      </w:r>
    </w:p>
    <w:p>
      <w:pPr>
        <w:pStyle w:val="BodyText"/>
        <w:spacing w:line="300" w:lineRule="auto" w:before="133"/>
        <w:ind w:right="1272" w:firstLine="360"/>
        <w:jc w:val="left"/>
      </w:pPr>
      <w:r>
        <w:rPr/>
        <w:t>本公司与王洪莉签订房屋租赁合同，王洪莉将其位于北京西城区西直门外大街</w:t>
      </w:r>
      <w:r>
        <w:rPr>
          <w:rFonts w:ascii="Times New Roman" w:hAnsi="Times New Roman" w:cs="Times New Roman" w:eastAsia="Times New Roman" w:hint="default"/>
        </w:rPr>
        <w:t>1</w:t>
      </w:r>
      <w:r>
        <w:rPr/>
        <w:t>号嘉茂大厦</w:t>
      </w:r>
      <w:r>
        <w:rPr>
          <w:rFonts w:ascii="Times New Roman" w:hAnsi="Times New Roman" w:cs="Times New Roman" w:eastAsia="Times New Roman" w:hint="default"/>
        </w:rPr>
        <w:t>16</w:t>
      </w:r>
      <w:r>
        <w:rPr/>
        <w:t>层</w:t>
      </w:r>
      <w:r>
        <w:rPr>
          <w:rFonts w:ascii="Times New Roman" w:hAnsi="Times New Roman" w:cs="Times New Roman" w:eastAsia="Times New Roman" w:hint="default"/>
        </w:rPr>
        <w:t>C9</w:t>
      </w:r>
      <w:r>
        <w:rPr/>
        <w:t>室租赁给本公司使 用，租赁期自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1</w:t>
      </w:r>
      <w:r>
        <w:rPr/>
        <w:t>日起至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28</w:t>
      </w:r>
      <w:r>
        <w:rPr/>
        <w:t>日止，租赁期间租金的市场价格为每月租金</w:t>
      </w:r>
      <w:r>
        <w:rPr>
          <w:rFonts w:ascii="Times New Roman" w:hAnsi="Times New Roman" w:cs="Times New Roman" w:eastAsia="Times New Roman" w:hint="default"/>
        </w:rPr>
        <w:t>24,500.00</w:t>
      </w:r>
      <w:r>
        <w:rPr/>
        <w:t>元。</w:t>
      </w:r>
    </w:p>
    <w:p>
      <w:pPr>
        <w:spacing w:line="240" w:lineRule="auto" w:before="1"/>
        <w:rPr>
          <w:rFonts w:ascii="宋体" w:hAnsi="宋体" w:cs="宋体" w:eastAsia="宋体" w:hint="default"/>
          <w:sz w:val="22"/>
          <w:szCs w:val="22"/>
        </w:rPr>
      </w:pPr>
    </w:p>
    <w:p>
      <w:pPr>
        <w:pStyle w:val="Heading3"/>
        <w:spacing w:line="240" w:lineRule="auto"/>
        <w:ind w:right="1134"/>
        <w:jc w:val="left"/>
        <w:rPr>
          <w:b w:val="0"/>
          <w:bCs w:val="0"/>
        </w:rPr>
      </w:pPr>
      <w:bookmarkStart w:name="（3）关联担保情况" w:id="315"/>
      <w:bookmarkEnd w:id="315"/>
      <w:r>
        <w:rPr>
          <w:b w:val="0"/>
          <w:bCs w:val="0"/>
        </w:rPr>
      </w:r>
      <w:r>
        <w:rPr/>
        <w:t>（</w:t>
      </w:r>
      <w:r>
        <w:rPr>
          <w:rFonts w:ascii="Times New Roman" w:hAnsi="Times New Roman" w:cs="Times New Roman" w:eastAsia="Times New Roman" w:hint="default"/>
        </w:rPr>
        <w:t>3</w:t>
      </w:r>
      <w:r>
        <w:rPr/>
        <w:t>）关联担保情况</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1134"/>
        <w:jc w:val="left"/>
      </w:pPr>
      <w:r>
        <w:rPr/>
        <w:t>本公司作为被担保方</w:t>
      </w:r>
    </w:p>
    <w:p>
      <w:pPr>
        <w:pStyle w:val="BodyText"/>
        <w:spacing w:line="240" w:lineRule="auto" w:before="116"/>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 w:right="0"/>
              <w:jc w:val="left"/>
              <w:rPr>
                <w:rFonts w:ascii="宋体" w:hAnsi="宋体" w:cs="宋体" w:eastAsia="宋体" w:hint="default"/>
                <w:sz w:val="18"/>
                <w:szCs w:val="18"/>
              </w:rPr>
            </w:pPr>
            <w:r>
              <w:rPr>
                <w:rFonts w:ascii="宋体" w:hAnsi="宋体" w:cs="宋体" w:eastAsia="宋体" w:hint="default"/>
                <w:sz w:val="18"/>
                <w:szCs w:val="18"/>
              </w:rPr>
              <w:t>担保是否已经履行完毕</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GUO SONG</w:t>
            </w:r>
            <w:r>
              <w:rPr>
                <w:rFonts w:ascii="宋体" w:hAnsi="宋体" w:cs="宋体" w:eastAsia="宋体" w:hint="default"/>
                <w:sz w:val="18"/>
                <w:szCs w:val="18"/>
              </w:rPr>
              <w:t>、</w:t>
            </w:r>
            <w:r>
              <w:rPr>
                <w:rFonts w:ascii="Times New Roman" w:hAnsi="Times New Roman" w:cs="Times New Roman" w:eastAsia="Times New Roman" w:hint="default"/>
                <w:sz w:val="18"/>
                <w:szCs w:val="18"/>
              </w:rPr>
              <w:t>LIU</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DAN</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80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6"/>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GUOSONG</w:t>
            </w:r>
            <w:r>
              <w:rPr>
                <w:rFonts w:ascii="宋体" w:hAnsi="宋体" w:cs="宋体" w:eastAsia="宋体" w:hint="default"/>
                <w:sz w:val="18"/>
                <w:szCs w:val="18"/>
              </w:rPr>
              <w:t>、</w:t>
            </w:r>
            <w:r>
              <w:rPr>
                <w:rFonts w:ascii="Times New Roman" w:hAnsi="Times New Roman" w:cs="Times New Roman" w:eastAsia="Times New Roman" w:hint="default"/>
                <w:sz w:val="18"/>
                <w:szCs w:val="18"/>
              </w:rPr>
              <w:t>LIUDAN</w:t>
            </w:r>
          </w:p>
          <w:p>
            <w:pPr>
              <w:pStyle w:val="TableParagraph"/>
              <w:spacing w:line="240" w:lineRule="auto" w:before="103"/>
              <w:ind w:left="22" w:right="0"/>
              <w:jc w:val="left"/>
              <w:rPr>
                <w:rFonts w:ascii="宋体" w:hAnsi="宋体" w:cs="宋体" w:eastAsia="宋体" w:hint="default"/>
                <w:sz w:val="18"/>
                <w:szCs w:val="18"/>
              </w:rPr>
            </w:pPr>
            <w:r>
              <w:rPr>
                <w:rFonts w:ascii="宋体" w:hAnsi="宋体" w:cs="宋体" w:eastAsia="宋体" w:hint="default"/>
                <w:sz w:val="18"/>
                <w:szCs w:val="18"/>
              </w:rPr>
              <w:t>优博讯软件公司</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GUOSONG</w:t>
            </w:r>
            <w:r>
              <w:rPr>
                <w:rFonts w:ascii="宋体" w:hAnsi="宋体" w:cs="宋体" w:eastAsia="宋体" w:hint="default"/>
                <w:sz w:val="18"/>
                <w:szCs w:val="18"/>
              </w:rPr>
              <w:t>、</w:t>
            </w:r>
            <w:r>
              <w:rPr>
                <w:rFonts w:ascii="Times New Roman" w:hAnsi="Times New Roman" w:cs="Times New Roman" w:eastAsia="Times New Roman" w:hint="default"/>
                <w:sz w:val="18"/>
                <w:szCs w:val="18"/>
              </w:rPr>
              <w:t>LIUDAN</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GUO SONG</w:t>
            </w:r>
            <w:r>
              <w:rPr>
                <w:rFonts w:ascii="宋体" w:hAnsi="宋体" w:cs="宋体" w:eastAsia="宋体" w:hint="default"/>
                <w:sz w:val="18"/>
                <w:szCs w:val="18"/>
              </w:rPr>
              <w:t>、</w:t>
            </w:r>
            <w:r>
              <w:rPr>
                <w:rFonts w:ascii="Times New Roman" w:hAnsi="Times New Roman" w:cs="Times New Roman" w:eastAsia="Times New Roman" w:hint="default"/>
                <w:sz w:val="18"/>
                <w:szCs w:val="18"/>
              </w:rPr>
              <w:t>LIU</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DAN</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49"/>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优博讯软件公司、</w:t>
            </w:r>
            <w:r>
              <w:rPr>
                <w:rFonts w:ascii="Times New Roman" w:hAnsi="Times New Roman" w:cs="Times New Roman" w:eastAsia="Times New Roman" w:hint="default"/>
                <w:sz w:val="18"/>
                <w:szCs w:val="18"/>
              </w:rPr>
              <w:t>GUO</w:t>
            </w:r>
            <w:r>
              <w:rPr>
                <w:rFonts w:ascii="Times New Roman" w:hAnsi="Times New Roman" w:cs="Times New Roman" w:eastAsia="Times New Roman" w:hint="default"/>
                <w:spacing w:val="-1"/>
                <w:w w:val="99"/>
                <w:sz w:val="18"/>
                <w:szCs w:val="18"/>
              </w:rPr>
              <w:t> </w:t>
            </w:r>
            <w:r>
              <w:rPr>
                <w:rFonts w:ascii="Times New Roman" w:hAnsi="Times New Roman" w:cs="Times New Roman" w:eastAsia="Times New Roman" w:hint="default"/>
                <w:sz w:val="18"/>
                <w:szCs w:val="18"/>
              </w:rPr>
              <w:t>SONG</w:t>
            </w:r>
            <w:r>
              <w:rPr>
                <w:rFonts w:ascii="宋体" w:hAnsi="宋体" w:cs="宋体" w:eastAsia="宋体" w:hint="default"/>
                <w:sz w:val="18"/>
                <w:szCs w:val="18"/>
              </w:rPr>
              <w:t>、</w:t>
            </w:r>
            <w:r>
              <w:rPr>
                <w:rFonts w:ascii="Times New Roman" w:hAnsi="Times New Roman" w:cs="Times New Roman" w:eastAsia="Times New Roman" w:hint="default"/>
                <w:sz w:val="18"/>
                <w:szCs w:val="18"/>
              </w:rPr>
              <w:t>LIU</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DAN</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49"/>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优博讯软件公司、</w:t>
            </w:r>
            <w:r>
              <w:rPr>
                <w:rFonts w:ascii="Times New Roman" w:hAnsi="Times New Roman" w:cs="Times New Roman" w:eastAsia="Times New Roman" w:hint="default"/>
                <w:sz w:val="18"/>
                <w:szCs w:val="18"/>
              </w:rPr>
              <w:t>GUO</w:t>
            </w:r>
            <w:r>
              <w:rPr>
                <w:rFonts w:ascii="Times New Roman" w:hAnsi="Times New Roman" w:cs="Times New Roman" w:eastAsia="Times New Roman" w:hint="default"/>
                <w:spacing w:val="-1"/>
                <w:w w:val="99"/>
                <w:sz w:val="18"/>
                <w:szCs w:val="18"/>
              </w:rPr>
              <w:t> </w:t>
            </w:r>
            <w:r>
              <w:rPr>
                <w:rFonts w:ascii="Times New Roman" w:hAnsi="Times New Roman" w:cs="Times New Roman" w:eastAsia="Times New Roman" w:hint="default"/>
                <w:sz w:val="18"/>
                <w:szCs w:val="18"/>
              </w:rPr>
              <w:t>SONG</w:t>
            </w:r>
            <w:r>
              <w:rPr>
                <w:rFonts w:ascii="宋体" w:hAnsi="宋体" w:cs="宋体" w:eastAsia="宋体" w:hint="default"/>
                <w:sz w:val="18"/>
                <w:szCs w:val="18"/>
              </w:rPr>
              <w:t>、</w:t>
            </w:r>
            <w:r>
              <w:rPr>
                <w:rFonts w:ascii="Times New Roman" w:hAnsi="Times New Roman" w:cs="Times New Roman" w:eastAsia="Times New Roman" w:hint="default"/>
                <w:sz w:val="18"/>
                <w:szCs w:val="18"/>
              </w:rPr>
              <w:t>LIU</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DAN</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2" w:right="0"/>
              <w:jc w:val="left"/>
              <w:rPr>
                <w:rFonts w:ascii="Times New Roman" w:hAnsi="Times New Roman" w:cs="Times New Roman" w:eastAsia="Times New Roman" w:hint="default"/>
                <w:sz w:val="18"/>
                <w:szCs w:val="18"/>
              </w:rPr>
            </w:pPr>
            <w:r>
              <w:rPr>
                <w:rFonts w:ascii="Times New Roman"/>
                <w:sz w:val="18"/>
              </w:rPr>
              <w:t>GUO</w:t>
            </w:r>
            <w:r>
              <w:rPr>
                <w:rFonts w:ascii="Times New Roman"/>
                <w:spacing w:val="-2"/>
                <w:sz w:val="18"/>
              </w:rPr>
              <w:t> </w:t>
            </w:r>
            <w:r>
              <w:rPr>
                <w:rFonts w:ascii="Times New Roman"/>
                <w:sz w:val="18"/>
              </w:rPr>
              <w:t>SONG</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90,000,000.00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GUO SONG</w:t>
            </w:r>
            <w:r>
              <w:rPr>
                <w:rFonts w:ascii="宋体" w:hAnsi="宋体" w:cs="宋体" w:eastAsia="宋体" w:hint="default"/>
                <w:sz w:val="18"/>
                <w:szCs w:val="18"/>
              </w:rPr>
              <w:t>、</w:t>
            </w:r>
            <w:r>
              <w:rPr>
                <w:rFonts w:ascii="Times New Roman" w:hAnsi="Times New Roman" w:cs="Times New Roman" w:eastAsia="Times New Roman" w:hint="default"/>
                <w:sz w:val="18"/>
                <w:szCs w:val="18"/>
              </w:rPr>
              <w:t>LIU</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DAN</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GUO SONG</w:t>
            </w:r>
            <w:r>
              <w:rPr>
                <w:rFonts w:ascii="宋体" w:hAnsi="宋体" w:cs="宋体" w:eastAsia="宋体" w:hint="default"/>
                <w:sz w:val="18"/>
                <w:szCs w:val="18"/>
              </w:rPr>
              <w:t>、</w:t>
            </w:r>
            <w:r>
              <w:rPr>
                <w:rFonts w:ascii="Times New Roman" w:hAnsi="Times New Roman" w:cs="Times New Roman" w:eastAsia="Times New Roman" w:hint="default"/>
                <w:sz w:val="18"/>
                <w:szCs w:val="18"/>
              </w:rPr>
              <w:t>LIU</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DAN</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GUOSONG</w:t>
            </w:r>
            <w:r>
              <w:rPr>
                <w:rFonts w:ascii="宋体" w:hAnsi="宋体" w:cs="宋体" w:eastAsia="宋体" w:hint="default"/>
                <w:sz w:val="18"/>
                <w:szCs w:val="18"/>
              </w:rPr>
              <w:t>、</w:t>
            </w:r>
            <w:r>
              <w:rPr>
                <w:rFonts w:ascii="Times New Roman" w:hAnsi="Times New Roman" w:cs="Times New Roman" w:eastAsia="Times New Roman" w:hint="default"/>
                <w:sz w:val="18"/>
                <w:szCs w:val="18"/>
              </w:rPr>
              <w:t>LIUDAN</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GUOSONG</w:t>
            </w:r>
            <w:r>
              <w:rPr>
                <w:rFonts w:ascii="宋体" w:hAnsi="宋体" w:cs="宋体" w:eastAsia="宋体" w:hint="default"/>
                <w:sz w:val="18"/>
                <w:szCs w:val="18"/>
              </w:rPr>
              <w:t>、</w:t>
            </w:r>
            <w:r>
              <w:rPr>
                <w:rFonts w:ascii="Times New Roman" w:hAnsi="Times New Roman" w:cs="Times New Roman" w:eastAsia="Times New Roman" w:hint="default"/>
                <w:sz w:val="18"/>
                <w:szCs w:val="18"/>
              </w:rPr>
              <w:t>LIUDAN</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49"/>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优博讯软件公司、</w:t>
            </w:r>
            <w:r>
              <w:rPr>
                <w:rFonts w:ascii="Times New Roman" w:hAnsi="Times New Roman" w:cs="Times New Roman" w:eastAsia="Times New Roman" w:hint="default"/>
                <w:sz w:val="18"/>
                <w:szCs w:val="18"/>
              </w:rPr>
              <w:t>GUO</w:t>
            </w:r>
            <w:r>
              <w:rPr>
                <w:rFonts w:ascii="Times New Roman" w:hAnsi="Times New Roman" w:cs="Times New Roman" w:eastAsia="Times New Roman" w:hint="default"/>
                <w:spacing w:val="-1"/>
                <w:w w:val="99"/>
                <w:sz w:val="18"/>
                <w:szCs w:val="18"/>
              </w:rPr>
              <w:t> </w:t>
            </w:r>
            <w:r>
              <w:rPr>
                <w:rFonts w:ascii="Times New Roman" w:hAnsi="Times New Roman" w:cs="Times New Roman" w:eastAsia="Times New Roman" w:hint="default"/>
                <w:sz w:val="18"/>
                <w:szCs w:val="18"/>
              </w:rPr>
              <w:t>SONG</w:t>
            </w:r>
            <w:r>
              <w:rPr>
                <w:rFonts w:ascii="宋体" w:hAnsi="宋体" w:cs="宋体" w:eastAsia="宋体" w:hint="default"/>
                <w:sz w:val="18"/>
                <w:szCs w:val="18"/>
              </w:rPr>
              <w:t>、</w:t>
            </w:r>
            <w:r>
              <w:rPr>
                <w:rFonts w:ascii="Times New Roman" w:hAnsi="Times New Roman" w:cs="Times New Roman" w:eastAsia="Times New Roman" w:hint="default"/>
                <w:sz w:val="18"/>
                <w:szCs w:val="18"/>
              </w:rPr>
              <w:t>LIU</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DAN</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GUOSONG</w:t>
            </w:r>
            <w:r>
              <w:rPr>
                <w:rFonts w:ascii="宋体" w:hAnsi="宋体" w:cs="宋体" w:eastAsia="宋体" w:hint="default"/>
                <w:sz w:val="18"/>
                <w:szCs w:val="18"/>
              </w:rPr>
              <w:t>、</w:t>
            </w:r>
            <w:r>
              <w:rPr>
                <w:rFonts w:ascii="Times New Roman" w:hAnsi="Times New Roman" w:cs="Times New Roman" w:eastAsia="Times New Roman" w:hint="default"/>
                <w:sz w:val="18"/>
                <w:szCs w:val="18"/>
              </w:rPr>
              <w:t>LIUDAN</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22" w:right="49"/>
              <w:jc w:val="left"/>
              <w:rPr>
                <w:rFonts w:ascii="Times New Roman" w:hAnsi="Times New Roman" w:cs="Times New Roman" w:eastAsia="Times New Roman" w:hint="default"/>
                <w:sz w:val="18"/>
                <w:szCs w:val="18"/>
              </w:rPr>
            </w:pPr>
            <w:r>
              <w:rPr>
                <w:rFonts w:ascii="宋体" w:hAnsi="宋体" w:cs="宋体" w:eastAsia="宋体" w:hint="default"/>
                <w:sz w:val="18"/>
                <w:szCs w:val="18"/>
              </w:rPr>
              <w:t>优博讯软件公司、</w:t>
            </w:r>
            <w:r>
              <w:rPr>
                <w:rFonts w:ascii="Times New Roman" w:hAnsi="Times New Roman" w:cs="Times New Roman" w:eastAsia="Times New Roman" w:hint="default"/>
                <w:sz w:val="18"/>
                <w:szCs w:val="18"/>
              </w:rPr>
              <w:t>GUO</w:t>
            </w:r>
            <w:r>
              <w:rPr>
                <w:rFonts w:ascii="Times New Roman" w:hAnsi="Times New Roman" w:cs="Times New Roman" w:eastAsia="Times New Roman" w:hint="default"/>
                <w:spacing w:val="-1"/>
                <w:w w:val="99"/>
                <w:sz w:val="18"/>
                <w:szCs w:val="18"/>
              </w:rPr>
              <w:t> </w:t>
            </w:r>
            <w:r>
              <w:rPr>
                <w:rFonts w:ascii="Times New Roman" w:hAnsi="Times New Roman" w:cs="Times New Roman" w:eastAsia="Times New Roman" w:hint="default"/>
                <w:sz w:val="18"/>
                <w:szCs w:val="18"/>
              </w:rPr>
              <w:t>SONG</w:t>
            </w:r>
            <w:r>
              <w:rPr>
                <w:rFonts w:ascii="宋体" w:hAnsi="宋体" w:cs="宋体" w:eastAsia="宋体" w:hint="default"/>
                <w:sz w:val="18"/>
                <w:szCs w:val="18"/>
              </w:rPr>
              <w:t>、</w:t>
            </w:r>
            <w:r>
              <w:rPr>
                <w:rFonts w:ascii="Times New Roman" w:hAnsi="Times New Roman" w:cs="Times New Roman" w:eastAsia="Times New Roman" w:hint="default"/>
                <w:sz w:val="18"/>
                <w:szCs w:val="18"/>
              </w:rPr>
              <w:t>LIU</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z w:val="18"/>
                <w:szCs w:val="18"/>
              </w:rPr>
              <w:t>DAN</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pStyle w:val="BodyText"/>
        <w:spacing w:line="240" w:lineRule="auto" w:before="51"/>
        <w:ind w:right="1134"/>
        <w:jc w:val="left"/>
      </w:pPr>
      <w:r>
        <w:rPr/>
        <w:t>关联担保情况说明</w:t>
      </w:r>
    </w:p>
    <w:p>
      <w:pPr>
        <w:pStyle w:val="BodyText"/>
        <w:spacing w:line="300" w:lineRule="auto" w:before="116"/>
        <w:ind w:right="1041"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29</w:t>
      </w:r>
      <w:r>
        <w:rPr/>
        <w:t>日，本公司与招商银行股份有限公司深圳分行签署了合同编号为</w:t>
      </w:r>
      <w:r>
        <w:rPr>
          <w:rFonts w:ascii="Times New Roman" w:hAnsi="Times New Roman" w:cs="Times New Roman" w:eastAsia="Times New Roman" w:hint="default"/>
        </w:rPr>
        <w:t>“2016</w:t>
      </w:r>
      <w:r>
        <w:rPr/>
        <w:t>年公一字第</w:t>
      </w:r>
      <w:r>
        <w:rPr>
          <w:rFonts w:ascii="Times New Roman" w:hAnsi="Times New Roman" w:cs="Times New Roman" w:eastAsia="Times New Roman" w:hint="default"/>
        </w:rPr>
        <w:t>0016310481</w:t>
      </w:r>
      <w:r>
        <w:rPr/>
        <w:t>号</w:t>
      </w:r>
      <w:r>
        <w:rPr>
          <w:rFonts w:ascii="Times New Roman" w:hAnsi="Times New Roman" w:cs="Times New Roman" w:eastAsia="Times New Roman" w:hint="default"/>
        </w:rPr>
        <w:t>”</w:t>
      </w:r>
      <w:r>
        <w:rPr/>
        <w:t>的《授信 协议》，根据该合同，招商银行股份有限公司深圳分行为本公司提供人民币</w:t>
      </w:r>
      <w:r>
        <w:rPr>
          <w:rFonts w:ascii="Times New Roman" w:hAnsi="Times New Roman" w:cs="Times New Roman" w:eastAsia="Times New Roman" w:hint="default"/>
        </w:rPr>
        <w:t>1</w:t>
      </w:r>
      <w:r>
        <w:rPr/>
        <w:t>亿元的基本授信额度，授信期限自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1 </w:t>
      </w:r>
      <w:r>
        <w:rPr>
          <w:spacing w:val="-3"/>
        </w:rPr>
        <w:t>日起至</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3</w:t>
      </w:r>
      <w:r>
        <w:rPr>
          <w:spacing w:val="-3"/>
        </w:rPr>
        <w:t>月</w:t>
      </w:r>
      <w:r>
        <w:rPr>
          <w:rFonts w:ascii="Times New Roman" w:hAnsi="Times New Roman" w:cs="Times New Roman" w:eastAsia="Times New Roman" w:hint="default"/>
          <w:spacing w:val="-3"/>
        </w:rPr>
        <w:t>31</w:t>
      </w:r>
      <w:r>
        <w:rPr>
          <w:spacing w:val="-3"/>
        </w:rPr>
        <w:t>日止。本公司实际控制人</w:t>
      </w:r>
      <w:r>
        <w:rPr>
          <w:rFonts w:ascii="Times New Roman" w:hAnsi="Times New Roman" w:cs="Times New Roman" w:eastAsia="Times New Roman" w:hint="default"/>
          <w:spacing w:val="-3"/>
        </w:rPr>
        <w:t>GUO </w:t>
      </w:r>
      <w:r>
        <w:rPr>
          <w:rFonts w:ascii="Times New Roman" w:hAnsi="Times New Roman" w:cs="Times New Roman" w:eastAsia="Times New Roman" w:hint="default"/>
          <w:spacing w:val="-9"/>
        </w:rPr>
        <w:t>SONG</w:t>
      </w:r>
      <w:r>
        <w:rPr>
          <w:spacing w:val="-9"/>
        </w:rPr>
        <w:t>、</w:t>
      </w:r>
      <w:r>
        <w:rPr>
          <w:rFonts w:ascii="Times New Roman" w:hAnsi="Times New Roman" w:cs="Times New Roman" w:eastAsia="Times New Roman" w:hint="default"/>
          <w:spacing w:val="-9"/>
        </w:rPr>
        <w:t>LIU </w:t>
      </w:r>
      <w:r>
        <w:rPr>
          <w:rFonts w:ascii="Times New Roman" w:hAnsi="Times New Roman" w:cs="Times New Roman" w:eastAsia="Times New Roman" w:hint="default"/>
          <w:spacing w:val="-3"/>
        </w:rPr>
        <w:t>DAN</w:t>
      </w:r>
      <w:r>
        <w:rPr>
          <w:spacing w:val="-3"/>
        </w:rPr>
        <w:t>分别与招商银行股份有限公司深圳分行签署编号为：</w:t>
      </w:r>
      <w:r>
        <w:rPr>
          <w:rFonts w:ascii="Times New Roman" w:hAnsi="Times New Roman" w:cs="Times New Roman" w:eastAsia="Times New Roman" w:hint="default"/>
          <w:spacing w:val="-3"/>
        </w:rPr>
        <w:t>2016</w:t>
      </w:r>
      <w:r>
        <w:rPr>
          <w:rFonts w:ascii="Times New Roman" w:hAnsi="Times New Roman" w:cs="Times New Roman" w:eastAsia="Times New Roman" w:hint="default"/>
          <w:spacing w:val="-10"/>
        </w:rPr>
        <w:t> </w:t>
      </w:r>
      <w:r>
        <w:rPr>
          <w:spacing w:val="-2"/>
        </w:rPr>
        <w:t>年公一字第</w:t>
      </w:r>
      <w:r>
        <w:rPr>
          <w:rFonts w:ascii="Times New Roman" w:hAnsi="Times New Roman" w:cs="Times New Roman" w:eastAsia="Times New Roman" w:hint="default"/>
          <w:spacing w:val="-2"/>
        </w:rPr>
        <w:t>0016310481-01</w:t>
      </w:r>
      <w:r>
        <w:rPr>
          <w:spacing w:val="-2"/>
        </w:rPr>
        <w:t>号和</w:t>
      </w:r>
      <w:r>
        <w:rPr>
          <w:rFonts w:ascii="Times New Roman" w:hAnsi="Times New Roman" w:cs="Times New Roman" w:eastAsia="Times New Roman" w:hint="default"/>
          <w:spacing w:val="-2"/>
        </w:rPr>
        <w:t>2016</w:t>
      </w:r>
      <w:r>
        <w:rPr>
          <w:spacing w:val="-2"/>
        </w:rPr>
        <w:t>年公一字第</w:t>
      </w:r>
      <w:r>
        <w:rPr>
          <w:rFonts w:ascii="Times New Roman" w:hAnsi="Times New Roman" w:cs="Times New Roman" w:eastAsia="Times New Roman" w:hint="default"/>
          <w:spacing w:val="-2"/>
        </w:rPr>
        <w:t>0016310481-02</w:t>
      </w:r>
      <w:r>
        <w:rPr>
          <w:spacing w:val="-2"/>
        </w:rPr>
        <w:t>号《最高额不可撤销担保书》，对前述授信协议提供保证担保。</w:t>
      </w:r>
    </w:p>
    <w:p>
      <w:pPr>
        <w:pStyle w:val="BodyText"/>
        <w:spacing w:line="300" w:lineRule="auto" w:before="51"/>
        <w:ind w:right="1130" w:firstLine="360"/>
        <w:jc w:val="both"/>
      </w:pP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5</w:t>
      </w:r>
      <w:r>
        <w:rPr>
          <w:spacing w:val="-3"/>
        </w:rPr>
        <w:t>月</w:t>
      </w:r>
      <w:r>
        <w:rPr>
          <w:rFonts w:ascii="Times New Roman" w:hAnsi="Times New Roman" w:cs="Times New Roman" w:eastAsia="Times New Roman" w:hint="default"/>
          <w:spacing w:val="-3"/>
        </w:rPr>
        <w:t>16</w:t>
      </w:r>
      <w:r>
        <w:rPr>
          <w:spacing w:val="-3"/>
        </w:rPr>
        <w:t>日，本公司与广发银行股份有限公司深圳分行签署了合同编号为</w:t>
      </w:r>
      <w:r>
        <w:rPr>
          <w:rFonts w:ascii="Times New Roman" w:hAnsi="Times New Roman" w:cs="Times New Roman" w:eastAsia="Times New Roman" w:hint="default"/>
          <w:spacing w:val="-3"/>
        </w:rPr>
        <w:t>“</w:t>
      </w:r>
      <w:r>
        <w:rPr>
          <w:spacing w:val="-3"/>
        </w:rPr>
        <w:t>（</w:t>
      </w:r>
      <w:r>
        <w:rPr>
          <w:rFonts w:ascii="Times New Roman" w:hAnsi="Times New Roman" w:cs="Times New Roman" w:eastAsia="Times New Roman" w:hint="default"/>
          <w:spacing w:val="-3"/>
        </w:rPr>
        <w:t>2017</w:t>
      </w:r>
      <w:r>
        <w:rPr>
          <w:spacing w:val="-3"/>
        </w:rPr>
        <w:t>）深银综授额字第</w:t>
      </w:r>
      <w:r>
        <w:rPr>
          <w:rFonts w:ascii="Times New Roman" w:hAnsi="Times New Roman" w:cs="Times New Roman" w:eastAsia="Times New Roman" w:hint="default"/>
          <w:spacing w:val="-3"/>
        </w:rPr>
        <w:t>000115</w:t>
      </w:r>
      <w:r>
        <w:rPr>
          <w:rFonts w:ascii="Times New Roman" w:hAnsi="Times New Roman" w:cs="Times New Roman" w:eastAsia="Times New Roman" w:hint="default"/>
          <w:spacing w:val="28"/>
        </w:rPr>
        <w:t> </w:t>
      </w:r>
      <w:r>
        <w:rPr>
          <w:spacing w:val="-12"/>
        </w:rPr>
        <w:t>号</w:t>
      </w:r>
      <w:r>
        <w:rPr>
          <w:rFonts w:ascii="Times New Roman" w:hAnsi="Times New Roman" w:cs="Times New Roman" w:eastAsia="Times New Roman" w:hint="default"/>
          <w:spacing w:val="-12"/>
        </w:rPr>
        <w:t>”</w:t>
      </w:r>
      <w:r>
        <w:rPr>
          <w:spacing w:val="-12"/>
        </w:rPr>
        <w:t>的《授</w:t>
      </w:r>
      <w:r>
        <w:rPr/>
        <w:t> </w:t>
      </w:r>
      <w:r>
        <w:rPr>
          <w:spacing w:val="-3"/>
        </w:rPr>
        <w:t>信额度合同》，根据该合同，广发银行股份有限公司深圳分行向本公司提供人民币</w:t>
      </w:r>
      <w:r>
        <w:rPr>
          <w:rFonts w:ascii="Times New Roman" w:hAnsi="Times New Roman" w:cs="Times New Roman" w:eastAsia="Times New Roman" w:hint="default"/>
          <w:spacing w:val="-3"/>
        </w:rPr>
        <w:t>8,000</w:t>
      </w:r>
      <w:r>
        <w:rPr>
          <w:spacing w:val="-3"/>
        </w:rPr>
        <w:t>万元基本授信额度，授信期限自</w:t>
      </w:r>
      <w:r>
        <w:rPr>
          <w:rFonts w:ascii="Times New Roman" w:hAnsi="Times New Roman" w:cs="Times New Roman" w:eastAsia="Times New Roman" w:hint="default"/>
          <w:spacing w:val="-3"/>
        </w:rPr>
        <w:t>2017</w:t>
      </w:r>
      <w:r>
        <w:rPr>
          <w:rFonts w:ascii="Times New Roman" w:hAnsi="Times New Roman" w:cs="Times New Roman" w:eastAsia="Times New Roman" w:hint="default"/>
          <w:spacing w:val="1"/>
        </w:rPr>
        <w:t> </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16</w:t>
      </w:r>
      <w:r>
        <w:rPr/>
        <w:t>日起至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15</w:t>
      </w:r>
      <w:r>
        <w:rPr/>
        <w:t>日止。本公司实际控制人</w:t>
      </w:r>
      <w:r>
        <w:rPr>
          <w:rFonts w:ascii="Times New Roman" w:hAnsi="Times New Roman" w:cs="Times New Roman" w:eastAsia="Times New Roman" w:hint="default"/>
        </w:rPr>
        <w:t>GUO SONG</w:t>
      </w:r>
      <w:r>
        <w:rPr/>
        <w:t>、</w:t>
      </w:r>
      <w:r>
        <w:rPr>
          <w:rFonts w:ascii="Times New Roman" w:hAnsi="Times New Roman" w:cs="Times New Roman" w:eastAsia="Times New Roman" w:hint="default"/>
        </w:rPr>
        <w:t>LIU</w:t>
      </w:r>
      <w:r>
        <w:rPr>
          <w:rFonts w:ascii="Times New Roman" w:hAnsi="Times New Roman" w:cs="Times New Roman" w:eastAsia="Times New Roman" w:hint="default"/>
          <w:spacing w:val="-2"/>
        </w:rPr>
        <w:t> </w:t>
      </w:r>
      <w:r>
        <w:rPr>
          <w:rFonts w:ascii="Times New Roman" w:hAnsi="Times New Roman" w:cs="Times New Roman" w:eastAsia="Times New Roman" w:hint="default"/>
        </w:rPr>
        <w:t>DAN</w:t>
      </w:r>
      <w:r>
        <w:rPr/>
        <w:t>以及子公司优博讯软件公司分别与广发银行股 </w:t>
      </w:r>
      <w:r>
        <w:rPr>
          <w:spacing w:val="-1"/>
        </w:rPr>
        <w:t>份有限公司深圳分行签署了编号为：（</w:t>
      </w:r>
      <w:r>
        <w:rPr>
          <w:rFonts w:ascii="Times New Roman" w:hAnsi="Times New Roman" w:cs="Times New Roman" w:eastAsia="Times New Roman" w:hint="default"/>
          <w:spacing w:val="-1"/>
        </w:rPr>
        <w:t>2017</w:t>
      </w:r>
      <w:r>
        <w:rPr>
          <w:spacing w:val="-1"/>
        </w:rPr>
        <w:t>）深银综授额字第</w:t>
      </w:r>
      <w:r>
        <w:rPr>
          <w:rFonts w:ascii="Times New Roman" w:hAnsi="Times New Roman" w:cs="Times New Roman" w:eastAsia="Times New Roman" w:hint="default"/>
          <w:spacing w:val="-1"/>
        </w:rPr>
        <w:t>000115</w:t>
      </w:r>
      <w:r>
        <w:rPr>
          <w:spacing w:val="-1"/>
        </w:rPr>
        <w:t>号</w:t>
      </w:r>
      <w:r>
        <w:rPr>
          <w:rFonts w:ascii="Times New Roman" w:hAnsi="Times New Roman" w:cs="Times New Roman" w:eastAsia="Times New Roman" w:hint="default"/>
          <w:spacing w:val="-1"/>
        </w:rPr>
        <w:t>-</w:t>
      </w:r>
      <w:r>
        <w:rPr>
          <w:spacing w:val="-1"/>
        </w:rPr>
        <w:t>担保</w:t>
      </w:r>
      <w:r>
        <w:rPr>
          <w:rFonts w:ascii="Times New Roman" w:hAnsi="Times New Roman" w:cs="Times New Roman" w:eastAsia="Times New Roman" w:hint="default"/>
          <w:spacing w:val="-1"/>
        </w:rPr>
        <w:t>02</w:t>
      </w:r>
      <w:r>
        <w:rPr>
          <w:spacing w:val="-1"/>
        </w:rPr>
        <w:t>、（</w:t>
      </w:r>
      <w:r>
        <w:rPr>
          <w:rFonts w:ascii="Times New Roman" w:hAnsi="Times New Roman" w:cs="Times New Roman" w:eastAsia="Times New Roman" w:hint="default"/>
          <w:spacing w:val="-1"/>
        </w:rPr>
        <w:t>2017</w:t>
      </w:r>
      <w:r>
        <w:rPr>
          <w:spacing w:val="-1"/>
        </w:rPr>
        <w:t>）深银综授额字第</w:t>
      </w:r>
      <w:r>
        <w:rPr>
          <w:rFonts w:ascii="Times New Roman" w:hAnsi="Times New Roman" w:cs="Times New Roman" w:eastAsia="Times New Roman" w:hint="default"/>
          <w:spacing w:val="-1"/>
        </w:rPr>
        <w:t>000115</w:t>
      </w:r>
      <w:r>
        <w:rPr>
          <w:spacing w:val="-1"/>
        </w:rPr>
        <w:t>号</w:t>
      </w:r>
      <w:r>
        <w:rPr>
          <w:rFonts w:ascii="Times New Roman" w:hAnsi="Times New Roman" w:cs="Times New Roman" w:eastAsia="Times New Roman" w:hint="default"/>
          <w:spacing w:val="-1"/>
        </w:rPr>
        <w:t>-</w:t>
      </w:r>
      <w:r>
        <w:rPr>
          <w:spacing w:val="-1"/>
        </w:rPr>
        <w:t>担保</w:t>
      </w:r>
      <w:r>
        <w:rPr>
          <w:rFonts w:ascii="Times New Roman" w:hAnsi="Times New Roman" w:cs="Times New Roman" w:eastAsia="Times New Roman" w:hint="default"/>
          <w:spacing w:val="-1"/>
        </w:rPr>
        <w:t>03</w:t>
      </w:r>
      <w:r>
        <w:rPr>
          <w:rFonts w:ascii="Times New Roman" w:hAnsi="Times New Roman" w:cs="Times New Roman" w:eastAsia="Times New Roman" w:hint="default"/>
          <w:spacing w:val="-2"/>
        </w:rPr>
        <w:t> </w:t>
      </w:r>
      <w:r>
        <w:rPr/>
        <w:t>的《最高额保证合同》，对前述授信合同提供保证担保。</w:t>
      </w:r>
    </w:p>
    <w:p>
      <w:pPr>
        <w:spacing w:after="0" w:line="300"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0" w:lineRule="auto" w:before="44"/>
        <w:ind w:right="1167" w:firstLine="360"/>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17</w:t>
      </w:r>
      <w:r>
        <w:rPr/>
        <w:t>日，宁波银行股份有限公司深圳分行向本公司提供人民币</w:t>
      </w:r>
      <w:r>
        <w:rPr>
          <w:rFonts w:ascii="Times New Roman" w:hAnsi="Times New Roman" w:cs="Times New Roman" w:eastAsia="Times New Roman" w:hint="default"/>
        </w:rPr>
        <w:t>8,000</w:t>
      </w:r>
      <w:r>
        <w:rPr/>
        <w:t>万元的综合授信额度，授信期限自</w:t>
      </w:r>
      <w:r>
        <w:rPr>
          <w:rFonts w:ascii="Times New Roman" w:hAnsi="Times New Roman" w:cs="Times New Roman" w:eastAsia="Times New Roman" w:hint="default"/>
        </w:rPr>
        <w:t>2017</w:t>
      </w:r>
      <w:r>
        <w:rPr/>
        <w:t>年</w:t>
      </w:r>
      <w:r>
        <w:rPr>
          <w:rFonts w:ascii="Times New Roman" w:hAnsi="Times New Roman" w:cs="Times New Roman" w:eastAsia="Times New Roman" w:hint="default"/>
        </w:rPr>
        <w:t>8 </w:t>
      </w:r>
      <w:r>
        <w:rPr/>
        <w:t>月</w:t>
      </w:r>
      <w:r>
        <w:rPr>
          <w:rFonts w:ascii="Times New Roman" w:hAnsi="Times New Roman" w:cs="Times New Roman" w:eastAsia="Times New Roman" w:hint="default"/>
        </w:rPr>
        <w:t>17</w:t>
      </w:r>
      <w:r>
        <w:rPr/>
        <w:t>日起至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17</w:t>
      </w:r>
      <w:r>
        <w:rPr/>
        <w:t>日止，本公司实际控制人</w:t>
      </w:r>
      <w:r>
        <w:rPr>
          <w:rFonts w:ascii="Times New Roman" w:hAnsi="Times New Roman" w:cs="Times New Roman" w:eastAsia="Times New Roman" w:hint="default"/>
        </w:rPr>
        <w:t>GUO SONG</w:t>
      </w:r>
      <w:r>
        <w:rPr/>
        <w:t>、</w:t>
      </w:r>
      <w:r>
        <w:rPr>
          <w:rFonts w:ascii="Times New Roman" w:hAnsi="Times New Roman" w:cs="Times New Roman" w:eastAsia="Times New Roman" w:hint="default"/>
        </w:rPr>
        <w:t>LIU</w:t>
      </w:r>
      <w:r>
        <w:rPr>
          <w:rFonts w:ascii="Times New Roman" w:hAnsi="Times New Roman" w:cs="Times New Roman" w:eastAsia="Times New Roman" w:hint="default"/>
          <w:spacing w:val="-2"/>
        </w:rPr>
        <w:t> </w:t>
      </w:r>
      <w:r>
        <w:rPr>
          <w:rFonts w:ascii="Times New Roman" w:hAnsi="Times New Roman" w:cs="Times New Roman" w:eastAsia="Times New Roman" w:hint="default"/>
        </w:rPr>
        <w:t>DAN</w:t>
      </w:r>
      <w:r>
        <w:rPr/>
        <w:t>与宁波银行股份有限公司深圳分行签署编号为： </w:t>
      </w:r>
      <w:r>
        <w:rPr>
          <w:rFonts w:ascii="Times New Roman" w:hAnsi="Times New Roman" w:cs="Times New Roman" w:eastAsia="Times New Roman" w:hint="default"/>
        </w:rPr>
        <w:t>07300KB20178642</w:t>
      </w:r>
      <w:r>
        <w:rPr/>
        <w:t>《最高额保证合同》，对前述授信提供保证担保。</w:t>
      </w:r>
    </w:p>
    <w:p>
      <w:pPr>
        <w:pStyle w:val="BodyText"/>
        <w:spacing w:line="300" w:lineRule="auto" w:before="51"/>
        <w:ind w:right="1132" w:firstLine="360"/>
        <w:jc w:val="both"/>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14</w:t>
      </w:r>
      <w:r>
        <w:rPr/>
        <w:t>日，本公司与中国民生银行股份有限公司深圳分行签署了合同编号为</w:t>
      </w:r>
      <w:r>
        <w:rPr>
          <w:rFonts w:ascii="Times New Roman" w:hAnsi="Times New Roman" w:cs="Times New Roman" w:eastAsia="Times New Roman" w:hint="default"/>
        </w:rPr>
        <w:t>“</w:t>
      </w:r>
      <w:r>
        <w:rPr/>
        <w:t>公授信字第红岭</w:t>
      </w:r>
      <w:r>
        <w:rPr>
          <w:rFonts w:ascii="Times New Roman" w:hAnsi="Times New Roman" w:cs="Times New Roman" w:eastAsia="Times New Roman" w:hint="default"/>
        </w:rPr>
        <w:t>17001</w:t>
      </w:r>
      <w:r>
        <w:rPr/>
        <w:t>号</w:t>
      </w:r>
      <w:r>
        <w:rPr>
          <w:rFonts w:ascii="Times New Roman" w:hAnsi="Times New Roman" w:cs="Times New Roman" w:eastAsia="Times New Roman" w:hint="default"/>
        </w:rPr>
        <w:t>”</w:t>
      </w:r>
      <w:r>
        <w:rPr/>
        <w:t>的《综合 </w:t>
      </w:r>
      <w:r>
        <w:rPr>
          <w:spacing w:val="-4"/>
        </w:rPr>
        <w:t>授信合同》，根据该合同，中国民生银行股份有限公司深圳分行向本公司提供人民币</w:t>
      </w:r>
      <w:r>
        <w:rPr>
          <w:rFonts w:ascii="Times New Roman" w:hAnsi="Times New Roman" w:cs="Times New Roman" w:eastAsia="Times New Roman" w:hint="default"/>
          <w:spacing w:val="-4"/>
        </w:rPr>
        <w:t>1</w:t>
      </w:r>
      <w:r>
        <w:rPr>
          <w:spacing w:val="-4"/>
        </w:rPr>
        <w:t>亿元的基本授信额度，授信期限自</w:t>
      </w:r>
      <w:r>
        <w:rPr>
          <w:rFonts w:ascii="Times New Roman" w:hAnsi="Times New Roman" w:cs="Times New Roman" w:eastAsia="Times New Roman" w:hint="default"/>
          <w:spacing w:val="-4"/>
        </w:rPr>
        <w:t>2017</w:t>
      </w:r>
      <w:r>
        <w:rPr>
          <w:rFonts w:ascii="Times New Roman" w:hAnsi="Times New Roman" w:cs="Times New Roman" w:eastAsia="Times New Roman" w:hint="default"/>
          <w:spacing w:val="7"/>
        </w:rPr>
        <w:t> </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14</w:t>
      </w:r>
      <w:r>
        <w:rPr/>
        <w:t>日起至</w:t>
      </w:r>
      <w:r>
        <w:rPr>
          <w:spacing w:val="-20"/>
        </w:rPr>
        <w:t> </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14</w:t>
      </w:r>
      <w:r>
        <w:rPr/>
        <w:t>日止。本公司实际控制人</w:t>
      </w:r>
      <w:r>
        <w:rPr>
          <w:rFonts w:ascii="Times New Roman" w:hAnsi="Times New Roman" w:cs="Times New Roman" w:eastAsia="Times New Roman" w:hint="default"/>
        </w:rPr>
        <w:t>GUO</w:t>
      </w:r>
      <w:r>
        <w:rPr>
          <w:rFonts w:ascii="Times New Roman" w:hAnsi="Times New Roman" w:cs="Times New Roman" w:eastAsia="Times New Roman" w:hint="default"/>
          <w:spacing w:val="-9"/>
        </w:rPr>
        <w:t> </w:t>
      </w:r>
      <w:r>
        <w:rPr>
          <w:rFonts w:ascii="Times New Roman" w:hAnsi="Times New Roman" w:cs="Times New Roman" w:eastAsia="Times New Roman" w:hint="default"/>
        </w:rPr>
        <w:t>SONG</w:t>
      </w:r>
      <w:r>
        <w:rPr/>
        <w:t>、</w:t>
      </w:r>
      <w:r>
        <w:rPr>
          <w:rFonts w:ascii="Times New Roman" w:hAnsi="Times New Roman" w:cs="Times New Roman" w:eastAsia="Times New Roman" w:hint="default"/>
        </w:rPr>
        <w:t>LIU</w:t>
      </w:r>
      <w:r>
        <w:rPr>
          <w:rFonts w:ascii="Times New Roman" w:hAnsi="Times New Roman" w:cs="Times New Roman" w:eastAsia="Times New Roman" w:hint="default"/>
          <w:spacing w:val="-9"/>
        </w:rPr>
        <w:t> </w:t>
      </w:r>
      <w:r>
        <w:rPr>
          <w:rFonts w:ascii="Times New Roman" w:hAnsi="Times New Roman" w:cs="Times New Roman" w:eastAsia="Times New Roman" w:hint="default"/>
        </w:rPr>
        <w:t>DAN</w:t>
      </w:r>
      <w:r>
        <w:rPr/>
        <w:t>分别与中国民生银行股份有限公司深圳分行 </w:t>
      </w:r>
      <w:r>
        <w:rPr>
          <w:spacing w:val="-2"/>
        </w:rPr>
        <w:t>签署了编号为：公高保字第红岭</w:t>
      </w:r>
      <w:r>
        <w:rPr>
          <w:rFonts w:ascii="Times New Roman" w:hAnsi="Times New Roman" w:cs="Times New Roman" w:eastAsia="Times New Roman" w:hint="default"/>
          <w:spacing w:val="-2"/>
        </w:rPr>
        <w:t>1700101</w:t>
      </w:r>
      <w:r>
        <w:rPr>
          <w:spacing w:val="-2"/>
        </w:rPr>
        <w:t>号、公高保字第红岭</w:t>
      </w:r>
      <w:r>
        <w:rPr>
          <w:rFonts w:ascii="Times New Roman" w:hAnsi="Times New Roman" w:cs="Times New Roman" w:eastAsia="Times New Roman" w:hint="default"/>
          <w:spacing w:val="-2"/>
        </w:rPr>
        <w:t>1700102</w:t>
      </w:r>
      <w:r>
        <w:rPr>
          <w:spacing w:val="-2"/>
        </w:rPr>
        <w:t>号的《最高额担保合同》，对前述授信合同提供保证担</w:t>
      </w:r>
      <w:r>
        <w:rPr>
          <w:spacing w:val="-52"/>
        </w:rPr>
        <w:t> </w:t>
      </w:r>
      <w:r>
        <w:rPr>
          <w:spacing w:val="-52"/>
        </w:rPr>
      </w:r>
      <w:r>
        <w:rPr/>
        <w:t>保。</w:t>
      </w:r>
    </w:p>
    <w:p>
      <w:pPr>
        <w:pStyle w:val="BodyText"/>
        <w:spacing w:line="240" w:lineRule="auto" w:before="71"/>
        <w:ind w:left="514" w:right="0"/>
        <w:jc w:val="left"/>
      </w:pPr>
      <w:r>
        <w:rPr>
          <w:rFonts w:ascii="Times New Roman" w:hAnsi="Times New Roman" w:cs="Times New Roman" w:eastAsia="Times New Roman" w:hint="default"/>
        </w:rPr>
        <w:t>2017</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22</w:t>
      </w:r>
      <w:r>
        <w:rPr/>
        <w:t>日，本公司与中国银行股份有限公司深圳高新区支行签署了编号为</w:t>
      </w:r>
      <w:r>
        <w:rPr>
          <w:rFonts w:ascii="Times New Roman" w:hAnsi="Times New Roman" w:cs="Times New Roman" w:eastAsia="Times New Roman" w:hint="default"/>
        </w:rPr>
        <w:t>“2017</w:t>
      </w:r>
      <w:r>
        <w:rPr/>
        <w:t>圳中银高额协字第</w:t>
      </w:r>
      <w:r>
        <w:rPr>
          <w:rFonts w:ascii="Times New Roman" w:hAnsi="Times New Roman" w:cs="Times New Roman" w:eastAsia="Times New Roman" w:hint="default"/>
        </w:rPr>
        <w:t>0000174</w:t>
      </w:r>
      <w:r>
        <w:rPr/>
        <w:t>号</w:t>
      </w:r>
      <w:r>
        <w:rPr>
          <w:rFonts w:ascii="Times New Roman" w:hAnsi="Times New Roman" w:cs="Times New Roman" w:eastAsia="Times New Roman" w:hint="default"/>
        </w:rPr>
        <w:t>”</w:t>
      </w:r>
      <w:r>
        <w:rPr/>
        <w:t>的</w:t>
      </w:r>
    </w:p>
    <w:p>
      <w:pPr>
        <w:pStyle w:val="BodyText"/>
        <w:spacing w:line="300" w:lineRule="auto" w:before="63"/>
        <w:ind w:right="1130"/>
        <w:jc w:val="both"/>
      </w:pPr>
      <w:r>
        <w:rPr>
          <w:spacing w:val="-3"/>
        </w:rPr>
        <w:t>《授信额度协议》，根据该协议，该行向本公司提供人民币</w:t>
      </w:r>
      <w:r>
        <w:rPr>
          <w:rFonts w:ascii="Times New Roman" w:hAnsi="Times New Roman" w:cs="Times New Roman" w:eastAsia="Times New Roman" w:hint="default"/>
          <w:spacing w:val="-3"/>
        </w:rPr>
        <w:t>8,000</w:t>
      </w:r>
      <w:r>
        <w:rPr>
          <w:spacing w:val="-3"/>
        </w:rPr>
        <w:t>万元的综合授信额度，授信期限自</w:t>
      </w:r>
      <w:r>
        <w:rPr>
          <w:rFonts w:ascii="Times New Roman" w:hAnsi="Times New Roman" w:cs="Times New Roman" w:eastAsia="Times New Roman" w:hint="default"/>
          <w:spacing w:val="-3"/>
        </w:rPr>
        <w:t>2017</w:t>
      </w:r>
      <w:r>
        <w:rPr>
          <w:spacing w:val="-3"/>
        </w:rPr>
        <w:t>年</w:t>
      </w:r>
      <w:r>
        <w:rPr>
          <w:rFonts w:ascii="Times New Roman" w:hAnsi="Times New Roman" w:cs="Times New Roman" w:eastAsia="Times New Roman" w:hint="default"/>
          <w:spacing w:val="-3"/>
        </w:rPr>
        <w:t>12</w:t>
      </w:r>
      <w:r>
        <w:rPr>
          <w:spacing w:val="-3"/>
        </w:rPr>
        <w:t>月</w:t>
      </w:r>
      <w:r>
        <w:rPr>
          <w:rFonts w:ascii="Times New Roman" w:hAnsi="Times New Roman" w:cs="Times New Roman" w:eastAsia="Times New Roman" w:hint="default"/>
          <w:spacing w:val="-3"/>
        </w:rPr>
        <w:t>22</w:t>
      </w:r>
      <w:r>
        <w:rPr>
          <w:spacing w:val="-3"/>
        </w:rPr>
        <w:t>日起至</w:t>
      </w:r>
      <w:r>
        <w:rPr>
          <w:rFonts w:ascii="Times New Roman" w:hAnsi="Times New Roman" w:cs="Times New Roman" w:eastAsia="Times New Roman" w:hint="default"/>
          <w:spacing w:val="-3"/>
        </w:rPr>
        <w:t>2018</w:t>
      </w:r>
      <w:r>
        <w:rPr>
          <w:rFonts w:ascii="Times New Roman" w:hAnsi="Times New Roman" w:cs="Times New Roman" w:eastAsia="Times New Roman" w:hint="default"/>
          <w:spacing w:val="12"/>
        </w:rPr>
        <w:t> </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22</w:t>
      </w:r>
      <w:r>
        <w:rPr/>
        <w:t>日止。本公司之子公司优博讯软件公司以及实际控制人</w:t>
      </w:r>
      <w:r>
        <w:rPr>
          <w:rFonts w:ascii="Times New Roman" w:hAnsi="Times New Roman" w:cs="Times New Roman" w:eastAsia="Times New Roman" w:hint="default"/>
        </w:rPr>
        <w:t>GUO SONG</w:t>
      </w:r>
      <w:r>
        <w:rPr/>
        <w:t>、</w:t>
      </w:r>
      <w:r>
        <w:rPr>
          <w:rFonts w:ascii="Times New Roman" w:hAnsi="Times New Roman" w:cs="Times New Roman" w:eastAsia="Times New Roman" w:hint="default"/>
        </w:rPr>
        <w:t>LIU</w:t>
      </w:r>
      <w:r>
        <w:rPr>
          <w:rFonts w:ascii="Times New Roman" w:hAnsi="Times New Roman" w:cs="Times New Roman" w:eastAsia="Times New Roman" w:hint="default"/>
          <w:spacing w:val="-2"/>
        </w:rPr>
        <w:t> </w:t>
      </w:r>
      <w:r>
        <w:rPr>
          <w:rFonts w:ascii="Times New Roman" w:hAnsi="Times New Roman" w:cs="Times New Roman" w:eastAsia="Times New Roman" w:hint="default"/>
        </w:rPr>
        <w:t>DAN</w:t>
      </w:r>
      <w:r>
        <w:rPr/>
        <w:t>分别与中国银行股份有限公司深圳 </w:t>
      </w:r>
      <w:r>
        <w:rPr>
          <w:spacing w:val="-2"/>
        </w:rPr>
        <w:t>高新区支行签订了编号为：</w:t>
      </w:r>
      <w:r>
        <w:rPr>
          <w:rFonts w:ascii="Times New Roman" w:hAnsi="Times New Roman" w:cs="Times New Roman" w:eastAsia="Times New Roman" w:hint="default"/>
          <w:spacing w:val="-2"/>
        </w:rPr>
        <w:t>2017</w:t>
      </w:r>
      <w:r>
        <w:rPr>
          <w:spacing w:val="-2"/>
        </w:rPr>
        <w:t>圳中银高司保字第</w:t>
      </w:r>
      <w:r>
        <w:rPr>
          <w:rFonts w:ascii="Times New Roman" w:hAnsi="Times New Roman" w:cs="Times New Roman" w:eastAsia="Times New Roman" w:hint="default"/>
          <w:spacing w:val="-2"/>
        </w:rPr>
        <w:t>0071</w:t>
      </w:r>
      <w:r>
        <w:rPr>
          <w:spacing w:val="-2"/>
        </w:rPr>
        <w:t>号、</w:t>
      </w:r>
      <w:r>
        <w:rPr>
          <w:rFonts w:ascii="Times New Roman" w:hAnsi="Times New Roman" w:cs="Times New Roman" w:eastAsia="Times New Roman" w:hint="default"/>
          <w:spacing w:val="-2"/>
        </w:rPr>
        <w:t>2017</w:t>
      </w:r>
      <w:r>
        <w:rPr>
          <w:spacing w:val="-2"/>
        </w:rPr>
        <w:t>圳中银高司保字第</w:t>
      </w:r>
      <w:r>
        <w:rPr>
          <w:rFonts w:ascii="Times New Roman" w:hAnsi="Times New Roman" w:cs="Times New Roman" w:eastAsia="Times New Roman" w:hint="default"/>
          <w:spacing w:val="-2"/>
        </w:rPr>
        <w:t>0072</w:t>
      </w:r>
      <w:r>
        <w:rPr>
          <w:spacing w:val="-2"/>
        </w:rPr>
        <w:t>号、</w:t>
      </w:r>
      <w:r>
        <w:rPr>
          <w:rFonts w:ascii="Times New Roman" w:hAnsi="Times New Roman" w:cs="Times New Roman" w:eastAsia="Times New Roman" w:hint="default"/>
          <w:spacing w:val="-2"/>
        </w:rPr>
        <w:t>2017</w:t>
      </w:r>
      <w:r>
        <w:rPr>
          <w:spacing w:val="-2"/>
        </w:rPr>
        <w:t>圳中银高司保字第</w:t>
      </w:r>
      <w:r>
        <w:rPr>
          <w:rFonts w:ascii="Times New Roman" w:hAnsi="Times New Roman" w:cs="Times New Roman" w:eastAsia="Times New Roman" w:hint="default"/>
          <w:spacing w:val="-2"/>
        </w:rPr>
        <w:t>0073</w:t>
      </w:r>
      <w:r>
        <w:rPr>
          <w:spacing w:val="-2"/>
        </w:rPr>
        <w:t>号的</w:t>
      </w:r>
    </w:p>
    <w:p>
      <w:pPr>
        <w:pStyle w:val="BodyText"/>
        <w:spacing w:line="240" w:lineRule="auto" w:before="14"/>
        <w:ind w:right="0"/>
        <w:jc w:val="both"/>
      </w:pPr>
      <w:r>
        <w:rPr/>
        <w:t>《最高额保证合同》，对前述授信协议提供连带责任保证担保。</w:t>
      </w:r>
    </w:p>
    <w:p>
      <w:pPr>
        <w:pStyle w:val="BodyText"/>
        <w:spacing w:line="240" w:lineRule="auto" w:before="115"/>
        <w:ind w:left="514" w:right="0"/>
        <w:jc w:val="left"/>
        <w:rPr>
          <w:rFonts w:ascii="Times New Roman" w:hAnsi="Times New Roman" w:cs="Times New Roman" w:eastAsia="Times New Roman" w:hint="default"/>
        </w:rPr>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14</w:t>
      </w:r>
      <w:r>
        <w:rPr/>
        <w:t>日，本公司与中国银行股份有限公司深圳高新区支行重新签署了编号为</w:t>
      </w:r>
      <w:r>
        <w:rPr>
          <w:rFonts w:ascii="Times New Roman" w:hAnsi="Times New Roman" w:cs="Times New Roman" w:eastAsia="Times New Roman" w:hint="default"/>
        </w:rPr>
        <w:t>“2018</w:t>
      </w:r>
      <w:r>
        <w:rPr/>
        <w:t>圳中银高额协字第</w:t>
      </w:r>
      <w:r>
        <w:rPr>
          <w:rFonts w:ascii="Times New Roman" w:hAnsi="Times New Roman" w:cs="Times New Roman" w:eastAsia="Times New Roman" w:hint="default"/>
        </w:rPr>
        <w:t>160060</w:t>
      </w:r>
      <w:r>
        <w:rPr/>
        <w:t>号</w:t>
      </w:r>
      <w:r>
        <w:rPr>
          <w:rFonts w:ascii="Times New Roman" w:hAnsi="Times New Roman" w:cs="Times New Roman" w:eastAsia="Times New Roman" w:hint="default"/>
        </w:rPr>
        <w:t>”</w:t>
      </w:r>
    </w:p>
    <w:p>
      <w:pPr>
        <w:pStyle w:val="BodyText"/>
        <w:spacing w:line="300" w:lineRule="auto" w:before="63"/>
        <w:ind w:right="1130"/>
        <w:jc w:val="both"/>
      </w:pPr>
      <w:r>
        <w:rPr>
          <w:spacing w:val="-3"/>
        </w:rPr>
        <w:t>《授信额度协议》，根据该协议，该行向本公司提供人民币</w:t>
      </w:r>
      <w:r>
        <w:rPr>
          <w:rFonts w:ascii="Times New Roman" w:hAnsi="Times New Roman" w:cs="Times New Roman" w:eastAsia="Times New Roman" w:hint="default"/>
          <w:spacing w:val="-3"/>
        </w:rPr>
        <w:t>8,000</w:t>
      </w:r>
      <w:r>
        <w:rPr>
          <w:spacing w:val="-3"/>
        </w:rPr>
        <w:t>万元的综合授信额度，授信期限自</w:t>
      </w: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11</w:t>
      </w:r>
      <w:r>
        <w:rPr>
          <w:spacing w:val="-3"/>
        </w:rPr>
        <w:t>月</w:t>
      </w:r>
      <w:r>
        <w:rPr>
          <w:rFonts w:ascii="Times New Roman" w:hAnsi="Times New Roman" w:cs="Times New Roman" w:eastAsia="Times New Roman" w:hint="default"/>
          <w:spacing w:val="-3"/>
        </w:rPr>
        <w:t>14</w:t>
      </w:r>
      <w:r>
        <w:rPr>
          <w:spacing w:val="-3"/>
        </w:rPr>
        <w:t>日起至</w:t>
      </w:r>
      <w:r>
        <w:rPr>
          <w:rFonts w:ascii="Times New Roman" w:hAnsi="Times New Roman" w:cs="Times New Roman" w:eastAsia="Times New Roman" w:hint="default"/>
          <w:spacing w:val="-3"/>
        </w:rPr>
        <w:t>2019</w:t>
      </w:r>
      <w:r>
        <w:rPr>
          <w:rFonts w:ascii="Times New Roman" w:hAnsi="Times New Roman" w:cs="Times New Roman" w:eastAsia="Times New Roman" w:hint="default"/>
          <w:spacing w:val="12"/>
        </w:rPr>
        <w:t> </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14</w:t>
      </w:r>
      <w:r>
        <w:rPr/>
        <w:t>日止。截至</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11</w:t>
      </w:r>
      <w:r>
        <w:rPr/>
        <w:t>月</w:t>
      </w:r>
      <w:r>
        <w:rPr>
          <w:rFonts w:ascii="Times New Roman" w:hAnsi="Times New Roman" w:cs="Times New Roman" w:eastAsia="Times New Roman" w:hint="default"/>
        </w:rPr>
        <w:t>14</w:t>
      </w:r>
      <w:r>
        <w:rPr/>
        <w:t>日，</w:t>
      </w:r>
      <w:r>
        <w:rPr>
          <w:rFonts w:ascii="Times New Roman" w:hAnsi="Times New Roman" w:cs="Times New Roman" w:eastAsia="Times New Roman" w:hint="default"/>
        </w:rPr>
        <w:t>“2017</w:t>
      </w:r>
      <w:r>
        <w:rPr/>
        <w:t>圳中银高额协字第</w:t>
      </w:r>
      <w:r>
        <w:rPr>
          <w:rFonts w:ascii="Times New Roman" w:hAnsi="Times New Roman" w:cs="Times New Roman" w:eastAsia="Times New Roman" w:hint="default"/>
        </w:rPr>
        <w:t>0000174</w:t>
      </w:r>
      <w:r>
        <w:rPr/>
        <w:t>号</w:t>
      </w:r>
      <w:r>
        <w:rPr>
          <w:rFonts w:ascii="Times New Roman" w:hAnsi="Times New Roman" w:cs="Times New Roman" w:eastAsia="Times New Roman" w:hint="default"/>
        </w:rPr>
        <w:t>”</w:t>
      </w:r>
      <w:r>
        <w:rPr/>
        <w:t>的《授信额度协议》项下已发生的授信余额，视 为占用本协议项下发生的授信。本公司实际控制人</w:t>
      </w:r>
      <w:r>
        <w:rPr>
          <w:rFonts w:ascii="Times New Roman" w:hAnsi="Times New Roman" w:cs="Times New Roman" w:eastAsia="Times New Roman" w:hint="default"/>
        </w:rPr>
        <w:t>GUO SONG</w:t>
      </w:r>
      <w:r>
        <w:rPr/>
        <w:t>、</w:t>
      </w:r>
      <w:r>
        <w:rPr>
          <w:rFonts w:ascii="Times New Roman" w:hAnsi="Times New Roman" w:cs="Times New Roman" w:eastAsia="Times New Roman" w:hint="default"/>
        </w:rPr>
        <w:t>LIU</w:t>
      </w:r>
      <w:r>
        <w:rPr>
          <w:rFonts w:ascii="Times New Roman" w:hAnsi="Times New Roman" w:cs="Times New Roman" w:eastAsia="Times New Roman" w:hint="default"/>
          <w:spacing w:val="-2"/>
        </w:rPr>
        <w:t> </w:t>
      </w:r>
      <w:r>
        <w:rPr>
          <w:rFonts w:ascii="Times New Roman" w:hAnsi="Times New Roman" w:cs="Times New Roman" w:eastAsia="Times New Roman" w:hint="default"/>
        </w:rPr>
        <w:t>DAN</w:t>
      </w:r>
      <w:r>
        <w:rPr/>
        <w:t>以及子公司优博讯软件公司分别与中国银行股份 </w:t>
      </w:r>
      <w:r>
        <w:rPr>
          <w:spacing w:val="-2"/>
        </w:rPr>
        <w:t>有限公司深圳高新区支行签订了编号为：</w:t>
      </w:r>
      <w:r>
        <w:rPr>
          <w:rFonts w:ascii="Times New Roman" w:hAnsi="Times New Roman" w:cs="Times New Roman" w:eastAsia="Times New Roman" w:hint="default"/>
          <w:spacing w:val="-2"/>
        </w:rPr>
        <w:t>2018</w:t>
      </w:r>
      <w:r>
        <w:rPr>
          <w:spacing w:val="-2"/>
        </w:rPr>
        <w:t>圳中银高司保字第</w:t>
      </w:r>
      <w:r>
        <w:rPr>
          <w:rFonts w:ascii="Times New Roman" w:hAnsi="Times New Roman" w:cs="Times New Roman" w:eastAsia="Times New Roman" w:hint="default"/>
          <w:spacing w:val="-2"/>
        </w:rPr>
        <w:t>0074</w:t>
      </w:r>
      <w:r>
        <w:rPr>
          <w:spacing w:val="-2"/>
        </w:rPr>
        <w:t>号、</w:t>
      </w:r>
      <w:r>
        <w:rPr>
          <w:rFonts w:ascii="Times New Roman" w:hAnsi="Times New Roman" w:cs="Times New Roman" w:eastAsia="Times New Roman" w:hint="default"/>
          <w:spacing w:val="-2"/>
        </w:rPr>
        <w:t>2018</w:t>
      </w:r>
      <w:r>
        <w:rPr>
          <w:spacing w:val="-2"/>
        </w:rPr>
        <w:t>圳中银高司保字第</w:t>
      </w:r>
      <w:r>
        <w:rPr>
          <w:rFonts w:ascii="Times New Roman" w:hAnsi="Times New Roman" w:cs="Times New Roman" w:eastAsia="Times New Roman" w:hint="default"/>
          <w:spacing w:val="-2"/>
        </w:rPr>
        <w:t>0075</w:t>
      </w:r>
      <w:r>
        <w:rPr>
          <w:spacing w:val="-2"/>
        </w:rPr>
        <w:t>号、</w:t>
      </w:r>
      <w:r>
        <w:rPr>
          <w:rFonts w:ascii="Times New Roman" w:hAnsi="Times New Roman" w:cs="Times New Roman" w:eastAsia="Times New Roman" w:hint="default"/>
          <w:spacing w:val="-2"/>
        </w:rPr>
        <w:t>2018</w:t>
      </w:r>
      <w:r>
        <w:rPr>
          <w:spacing w:val="-2"/>
        </w:rPr>
        <w:t>圳中银高司保</w:t>
      </w:r>
      <w:r>
        <w:rPr>
          <w:spacing w:val="-46"/>
        </w:rPr>
        <w:t> </w:t>
      </w:r>
      <w:r>
        <w:rPr/>
        <w:t>字第</w:t>
      </w:r>
      <w:r>
        <w:rPr>
          <w:rFonts w:ascii="Times New Roman" w:hAnsi="Times New Roman" w:cs="Times New Roman" w:eastAsia="Times New Roman" w:hint="default"/>
        </w:rPr>
        <w:t>0073</w:t>
      </w:r>
      <w:r>
        <w:rPr/>
        <w:t>号的《最高额保证合同》，对前述授信协议提供连带责任保证担保。</w:t>
      </w:r>
    </w:p>
    <w:p>
      <w:pPr>
        <w:pStyle w:val="BodyText"/>
        <w:spacing w:line="300" w:lineRule="auto" w:before="51"/>
        <w:ind w:right="1132" w:firstLine="360"/>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8</w:t>
      </w:r>
      <w:r>
        <w:rPr/>
        <w:t>日，本公司与上海浦东发展银行股份有限公司深圳分行签署了合同编号为</w:t>
      </w:r>
      <w:r>
        <w:rPr>
          <w:rFonts w:ascii="Times New Roman" w:hAnsi="Times New Roman" w:cs="Times New Roman" w:eastAsia="Times New Roman" w:hint="default"/>
        </w:rPr>
        <w:t>“BC2017082400000811”</w:t>
      </w:r>
      <w:r>
        <w:rPr/>
        <w:t>的《融资 额度协议》，根据该协议，上海浦东发展银行股份有限公司深圳分行向本公司提供人民币</w:t>
      </w:r>
      <w:r>
        <w:rPr>
          <w:rFonts w:ascii="Times New Roman" w:hAnsi="Times New Roman" w:cs="Times New Roman" w:eastAsia="Times New Roman" w:hint="default"/>
        </w:rPr>
        <w:t>9,000</w:t>
      </w:r>
      <w:r>
        <w:rPr/>
        <w:t>万元的融资额度，额度使用 </w:t>
      </w:r>
      <w:r>
        <w:rPr>
          <w:spacing w:val="-5"/>
          <w:w w:val="99"/>
        </w:rPr>
        <w:t>期限为一年。本公司实际控制人</w:t>
      </w:r>
      <w:r>
        <w:rPr>
          <w:rFonts w:ascii="Times New Roman" w:hAnsi="Times New Roman" w:cs="Times New Roman" w:eastAsia="Times New Roman" w:hint="default"/>
          <w:spacing w:val="-5"/>
          <w:w w:val="99"/>
        </w:rPr>
        <w:t>GUO</w:t>
      </w:r>
      <w:r>
        <w:rPr>
          <w:rFonts w:ascii="Times New Roman" w:hAnsi="Times New Roman" w:cs="Times New Roman" w:eastAsia="Times New Roman" w:hint="default"/>
          <w:spacing w:val="15"/>
          <w:w w:val="99"/>
        </w:rPr>
        <w:t> </w:t>
      </w:r>
      <w:r>
        <w:rPr>
          <w:rFonts w:ascii="Times New Roman" w:hAnsi="Times New Roman" w:cs="Times New Roman" w:eastAsia="Times New Roman" w:hint="default"/>
          <w:spacing w:val="-2"/>
          <w:w w:val="99"/>
        </w:rPr>
        <w:t>SONG</w:t>
      </w:r>
      <w:r>
        <w:rPr>
          <w:spacing w:val="-2"/>
          <w:w w:val="99"/>
        </w:rPr>
        <w:t>与上海浦东发展银行股份有限公司深圳分行签署了编号为：</w:t>
      </w:r>
      <w:r>
        <w:rPr>
          <w:rFonts w:ascii="Times New Roman" w:hAnsi="Times New Roman" w:cs="Times New Roman" w:eastAsia="Times New Roman" w:hint="default"/>
          <w:spacing w:val="-2"/>
          <w:w w:val="99"/>
        </w:rPr>
        <w:t>ZB7935201800000002</w:t>
      </w:r>
      <w:r>
        <w:rPr>
          <w:rFonts w:ascii="Times New Roman" w:hAnsi="Times New Roman" w:cs="Times New Roman" w:eastAsia="Times New Roman" w:hint="default"/>
          <w:spacing w:val="-39"/>
          <w:w w:val="99"/>
        </w:rPr>
        <w:t> </w:t>
      </w:r>
      <w:r>
        <w:rPr/>
        <w:t>的《最高额保证合同》，对前述融资额度提供连带责任保证担保。</w:t>
      </w:r>
    </w:p>
    <w:p>
      <w:pPr>
        <w:pStyle w:val="BodyText"/>
        <w:spacing w:line="300" w:lineRule="auto" w:before="71"/>
        <w:ind w:right="0" w:firstLine="433"/>
        <w:jc w:val="left"/>
      </w:pP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5</w:t>
      </w:r>
      <w:r>
        <w:rPr>
          <w:spacing w:val="-1"/>
        </w:rPr>
        <w:t>月</w:t>
      </w:r>
      <w:r>
        <w:rPr>
          <w:rFonts w:ascii="Times New Roman" w:hAnsi="Times New Roman" w:cs="Times New Roman" w:eastAsia="Times New Roman" w:hint="default"/>
          <w:spacing w:val="-1"/>
        </w:rPr>
        <w:t>25</w:t>
      </w:r>
      <w:r>
        <w:rPr>
          <w:spacing w:val="-1"/>
        </w:rPr>
        <w:t>日，本公司与招商银行股份有限公司深圳分行签署了合同编号为</w:t>
      </w:r>
      <w:r>
        <w:rPr>
          <w:rFonts w:ascii="Times New Roman" w:hAnsi="Times New Roman" w:cs="Times New Roman" w:eastAsia="Times New Roman" w:hint="default"/>
          <w:spacing w:val="-1"/>
        </w:rPr>
        <w:t>“755XY2018009976”</w:t>
      </w:r>
      <w:r>
        <w:rPr>
          <w:spacing w:val="-1"/>
        </w:rPr>
        <w:t>的《授信协议》，根</w:t>
      </w:r>
      <w:r>
        <w:rPr>
          <w:w w:val="99"/>
        </w:rPr>
        <w:t> </w:t>
      </w:r>
      <w:r>
        <w:rPr>
          <w:spacing w:val="-2"/>
        </w:rPr>
        <w:t>据该合同，招商银行股份有限公司深圳分行为本公司提供人民币</w:t>
      </w:r>
      <w:r>
        <w:rPr>
          <w:rFonts w:ascii="Times New Roman" w:hAnsi="Times New Roman" w:cs="Times New Roman" w:eastAsia="Times New Roman" w:hint="default"/>
          <w:spacing w:val="-2"/>
        </w:rPr>
        <w:t>1</w:t>
      </w:r>
      <w:r>
        <w:rPr>
          <w:spacing w:val="-2"/>
        </w:rPr>
        <w:t>亿元的基本授信额度，授信期限自</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5</w:t>
      </w:r>
      <w:r>
        <w:rPr>
          <w:spacing w:val="-2"/>
        </w:rPr>
        <w:t>月</w:t>
      </w:r>
      <w:r>
        <w:rPr>
          <w:rFonts w:ascii="Times New Roman" w:hAnsi="Times New Roman" w:cs="Times New Roman" w:eastAsia="Times New Roman" w:hint="default"/>
          <w:spacing w:val="-2"/>
        </w:rPr>
        <w:t>21</w:t>
      </w:r>
      <w:r>
        <w:rPr>
          <w:spacing w:val="-2"/>
        </w:rPr>
        <w:t>日起至</w:t>
      </w:r>
      <w:r>
        <w:rPr>
          <w:rFonts w:ascii="Times New Roman" w:hAnsi="Times New Roman" w:cs="Times New Roman" w:eastAsia="Times New Roman" w:hint="default"/>
          <w:spacing w:val="-2"/>
        </w:rPr>
        <w:t>2019</w:t>
      </w:r>
      <w:r>
        <w:rPr>
          <w:rFonts w:ascii="Times New Roman" w:hAnsi="Times New Roman" w:cs="Times New Roman" w:eastAsia="Times New Roman" w:hint="default"/>
          <w:spacing w:val="-8"/>
        </w:rPr>
        <w:t> </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20</w:t>
      </w:r>
      <w:r>
        <w:rPr/>
        <w:t>日止。本公司实际控制人</w:t>
      </w:r>
      <w:r>
        <w:rPr>
          <w:rFonts w:ascii="Times New Roman" w:hAnsi="Times New Roman" w:cs="Times New Roman" w:eastAsia="Times New Roman" w:hint="default"/>
        </w:rPr>
        <w:t>GUO SONG</w:t>
      </w:r>
      <w:r>
        <w:rPr/>
        <w:t>、</w:t>
      </w:r>
      <w:r>
        <w:rPr>
          <w:rFonts w:ascii="Times New Roman" w:hAnsi="Times New Roman" w:cs="Times New Roman" w:eastAsia="Times New Roman" w:hint="default"/>
        </w:rPr>
        <w:t>LIU</w:t>
      </w:r>
      <w:r>
        <w:rPr>
          <w:rFonts w:ascii="Times New Roman" w:hAnsi="Times New Roman" w:cs="Times New Roman" w:eastAsia="Times New Roman" w:hint="default"/>
          <w:spacing w:val="-1"/>
        </w:rPr>
        <w:t> </w:t>
      </w:r>
      <w:r>
        <w:rPr>
          <w:rFonts w:ascii="Times New Roman" w:hAnsi="Times New Roman" w:cs="Times New Roman" w:eastAsia="Times New Roman" w:hint="default"/>
        </w:rPr>
        <w:t>DAN</w:t>
      </w:r>
      <w:r>
        <w:rPr/>
        <w:t>分别与招商银行股份有限公司深圳分行签署编号为： </w:t>
      </w:r>
      <w:r>
        <w:rPr>
          <w:rFonts w:ascii="Times New Roman" w:hAnsi="Times New Roman" w:cs="Times New Roman" w:eastAsia="Times New Roman" w:hint="default"/>
        </w:rPr>
        <w:t>755XY201800997602</w:t>
      </w:r>
      <w:r>
        <w:rPr/>
        <w:t>号、</w:t>
      </w:r>
      <w:r>
        <w:rPr>
          <w:rFonts w:ascii="Times New Roman" w:hAnsi="Times New Roman" w:cs="Times New Roman" w:eastAsia="Times New Roman" w:hint="default"/>
        </w:rPr>
        <w:t>755XY201800997601</w:t>
      </w:r>
      <w:r>
        <w:rPr/>
        <w:t>号的《最高额不可撤销担保书》，对前述授信协议提供保证担保。</w:t>
      </w:r>
    </w:p>
    <w:p>
      <w:pPr>
        <w:pStyle w:val="BodyText"/>
        <w:spacing w:line="240" w:lineRule="auto" w:before="51"/>
        <w:ind w:left="514" w:right="0"/>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15</w:t>
      </w:r>
      <w:r>
        <w:rPr/>
        <w:t>日，本公司与兴业银行股份有限公司深圳分行签署了合同编号为</w:t>
      </w:r>
      <w:r>
        <w:rPr>
          <w:rFonts w:ascii="Times New Roman" w:hAnsi="Times New Roman" w:cs="Times New Roman" w:eastAsia="Times New Roman" w:hint="default"/>
        </w:rPr>
        <w:t>“</w:t>
      </w:r>
      <w:r>
        <w:rPr/>
        <w:t>兴银深蛇口授信字（</w:t>
      </w:r>
      <w:r>
        <w:rPr>
          <w:rFonts w:ascii="Times New Roman" w:hAnsi="Times New Roman" w:cs="Times New Roman" w:eastAsia="Times New Roman" w:hint="default"/>
        </w:rPr>
        <w:t>2018</w:t>
      </w:r>
      <w:r>
        <w:rPr/>
        <w:t>）第</w:t>
      </w:r>
      <w:r>
        <w:rPr>
          <w:rFonts w:ascii="Times New Roman" w:hAnsi="Times New Roman" w:cs="Times New Roman" w:eastAsia="Times New Roman" w:hint="default"/>
        </w:rPr>
        <w:t>1023</w:t>
      </w:r>
      <w:r>
        <w:rPr/>
        <w:t>号</w:t>
      </w:r>
      <w:r>
        <w:rPr>
          <w:rFonts w:ascii="Times New Roman" w:hAnsi="Times New Roman" w:cs="Times New Roman" w:eastAsia="Times New Roman" w:hint="default"/>
        </w:rPr>
        <w:t>”</w:t>
      </w:r>
      <w:r>
        <w:rPr/>
        <w:t>的</w:t>
      </w:r>
    </w:p>
    <w:p>
      <w:pPr>
        <w:pStyle w:val="BodyText"/>
        <w:spacing w:line="300" w:lineRule="auto" w:before="63"/>
        <w:ind w:right="1159"/>
        <w:jc w:val="both"/>
      </w:pPr>
      <w:r>
        <w:rPr/>
        <w:t>《基本额度授信合同》，根据该协议，兴业银行股份有限公司深圳分行向本公司提供人民币</w:t>
      </w:r>
      <w:r>
        <w:rPr>
          <w:rFonts w:ascii="Times New Roman" w:hAnsi="Times New Roman" w:cs="Times New Roman" w:eastAsia="Times New Roman" w:hint="default"/>
        </w:rPr>
        <w:t>8,000</w:t>
      </w:r>
      <w:r>
        <w:rPr/>
        <w:t>万元综合授信额度，额度 使用期限自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4</w:t>
      </w:r>
      <w:r>
        <w:rPr/>
        <w:t>日起至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4</w:t>
      </w:r>
      <w:r>
        <w:rPr/>
        <w:t>日止。本公司实际控制人</w:t>
      </w:r>
      <w:r>
        <w:rPr>
          <w:rFonts w:ascii="Times New Roman" w:hAnsi="Times New Roman" w:cs="Times New Roman" w:eastAsia="Times New Roman" w:hint="default"/>
        </w:rPr>
        <w:t>GUO SONG</w:t>
      </w:r>
      <w:r>
        <w:rPr/>
        <w:t>、</w:t>
      </w:r>
      <w:r>
        <w:rPr>
          <w:rFonts w:ascii="Times New Roman" w:hAnsi="Times New Roman" w:cs="Times New Roman" w:eastAsia="Times New Roman" w:hint="default"/>
        </w:rPr>
        <w:t>LIU</w:t>
      </w:r>
      <w:r>
        <w:rPr>
          <w:rFonts w:ascii="Times New Roman" w:hAnsi="Times New Roman" w:cs="Times New Roman" w:eastAsia="Times New Roman" w:hint="default"/>
          <w:spacing w:val="-3"/>
        </w:rPr>
        <w:t> </w:t>
      </w:r>
      <w:r>
        <w:rPr>
          <w:rFonts w:ascii="Times New Roman" w:hAnsi="Times New Roman" w:cs="Times New Roman" w:eastAsia="Times New Roman" w:hint="default"/>
        </w:rPr>
        <w:t>DAN</w:t>
      </w:r>
      <w:r>
        <w:rPr/>
        <w:t>分别与兴业银行股份有限公司深 圳分行签署了编号为：兴银深蛇口授信（保证）字（</w:t>
      </w:r>
      <w:r>
        <w:rPr>
          <w:rFonts w:ascii="Times New Roman" w:hAnsi="Times New Roman" w:cs="Times New Roman" w:eastAsia="Times New Roman" w:hint="default"/>
        </w:rPr>
        <w:t>2018</w:t>
      </w:r>
      <w:r>
        <w:rPr/>
        <w:t>）第</w:t>
      </w:r>
      <w:r>
        <w:rPr>
          <w:rFonts w:ascii="Times New Roman" w:hAnsi="Times New Roman" w:cs="Times New Roman" w:eastAsia="Times New Roman" w:hint="default"/>
        </w:rPr>
        <w:t>1023A</w:t>
      </w:r>
      <w:r>
        <w:rPr/>
        <w:t>号、兴银深蛇口授信（保证）字（</w:t>
      </w:r>
      <w:r>
        <w:rPr>
          <w:rFonts w:ascii="Times New Roman" w:hAnsi="Times New Roman" w:cs="Times New Roman" w:eastAsia="Times New Roman" w:hint="default"/>
        </w:rPr>
        <w:t>2018</w:t>
      </w:r>
      <w:r>
        <w:rPr/>
        <w:t>）第</w:t>
      </w:r>
      <w:r>
        <w:rPr>
          <w:rFonts w:ascii="Times New Roman" w:hAnsi="Times New Roman" w:cs="Times New Roman" w:eastAsia="Times New Roman" w:hint="default"/>
        </w:rPr>
        <w:t>1023B</w:t>
      </w:r>
      <w:r>
        <w:rPr/>
        <w:t>号的</w:t>
      </w:r>
    </w:p>
    <w:p>
      <w:pPr>
        <w:pStyle w:val="BodyText"/>
        <w:spacing w:line="240" w:lineRule="auto" w:before="14"/>
        <w:ind w:right="0"/>
        <w:jc w:val="both"/>
      </w:pPr>
      <w:r>
        <w:rPr/>
        <w:t>《最高额保证合同》，对前述授信合同提供保证担保。</w:t>
      </w:r>
    </w:p>
    <w:p>
      <w:pPr>
        <w:pStyle w:val="BodyText"/>
        <w:spacing w:line="300" w:lineRule="auto" w:before="115"/>
        <w:ind w:right="0" w:firstLine="360"/>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3</w:t>
      </w:r>
      <w:r>
        <w:rPr/>
        <w:t>日，浙商银行股份有限公司深圳分行向本公司提供人民币</w:t>
      </w:r>
      <w:r>
        <w:rPr>
          <w:rFonts w:ascii="Times New Roman" w:hAnsi="Times New Roman" w:cs="Times New Roman" w:eastAsia="Times New Roman" w:hint="default"/>
        </w:rPr>
        <w:t>12,000</w:t>
      </w:r>
      <w:r>
        <w:rPr/>
        <w:t>万元综合授信额度，授信期限自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3 </w:t>
      </w:r>
      <w:r>
        <w:rPr>
          <w:spacing w:val="-3"/>
          <w:w w:val="99"/>
        </w:rPr>
        <w:t>日起至</w:t>
      </w:r>
      <w:r>
        <w:rPr>
          <w:rFonts w:ascii="Times New Roman" w:hAnsi="Times New Roman" w:cs="Times New Roman" w:eastAsia="Times New Roman" w:hint="default"/>
          <w:spacing w:val="-3"/>
          <w:w w:val="99"/>
        </w:rPr>
        <w:t>2019</w:t>
      </w:r>
      <w:r>
        <w:rPr>
          <w:spacing w:val="-3"/>
          <w:w w:val="99"/>
        </w:rPr>
        <w:t>年</w:t>
      </w:r>
      <w:r>
        <w:rPr>
          <w:rFonts w:ascii="Times New Roman" w:hAnsi="Times New Roman" w:cs="Times New Roman" w:eastAsia="Times New Roman" w:hint="default"/>
          <w:spacing w:val="-3"/>
          <w:w w:val="99"/>
        </w:rPr>
        <w:t>5</w:t>
      </w:r>
      <w:r>
        <w:rPr>
          <w:spacing w:val="-3"/>
          <w:w w:val="99"/>
        </w:rPr>
        <w:t>月</w:t>
      </w:r>
      <w:r>
        <w:rPr>
          <w:rFonts w:ascii="Times New Roman" w:hAnsi="Times New Roman" w:cs="Times New Roman" w:eastAsia="Times New Roman" w:hint="default"/>
          <w:spacing w:val="-3"/>
          <w:w w:val="99"/>
        </w:rPr>
        <w:t>24</w:t>
      </w:r>
      <w:r>
        <w:rPr>
          <w:spacing w:val="-3"/>
          <w:w w:val="99"/>
        </w:rPr>
        <w:t>日止，本公司实际控制人</w:t>
      </w:r>
      <w:r>
        <w:rPr>
          <w:rFonts w:ascii="Times New Roman" w:hAnsi="Times New Roman" w:cs="Times New Roman" w:eastAsia="Times New Roman" w:hint="default"/>
          <w:spacing w:val="-3"/>
          <w:w w:val="99"/>
        </w:rPr>
        <w:t>GUO</w:t>
      </w:r>
      <w:r>
        <w:rPr>
          <w:rFonts w:ascii="Times New Roman" w:hAnsi="Times New Roman" w:cs="Times New Roman" w:eastAsia="Times New Roman" w:hint="default"/>
          <w:w w:val="99"/>
        </w:rPr>
        <w:t> </w:t>
      </w:r>
      <w:r>
        <w:rPr>
          <w:rFonts w:ascii="Times New Roman" w:hAnsi="Times New Roman" w:cs="Times New Roman" w:eastAsia="Times New Roman" w:hint="default"/>
          <w:spacing w:val="-10"/>
          <w:w w:val="99"/>
        </w:rPr>
        <w:t>SONG</w:t>
      </w:r>
      <w:r>
        <w:rPr>
          <w:spacing w:val="-10"/>
          <w:w w:val="99"/>
        </w:rPr>
        <w:t>、</w:t>
      </w:r>
      <w:r>
        <w:rPr>
          <w:rFonts w:ascii="Times New Roman" w:hAnsi="Times New Roman" w:cs="Times New Roman" w:eastAsia="Times New Roman" w:hint="default"/>
          <w:spacing w:val="-10"/>
          <w:w w:val="99"/>
        </w:rPr>
        <w:t>LIU</w:t>
      </w:r>
      <w:r>
        <w:rPr>
          <w:rFonts w:ascii="Times New Roman" w:hAnsi="Times New Roman" w:cs="Times New Roman" w:eastAsia="Times New Roman" w:hint="default"/>
          <w:w w:val="99"/>
        </w:rPr>
        <w:t> </w:t>
      </w:r>
      <w:r>
        <w:rPr>
          <w:rFonts w:ascii="Times New Roman" w:hAnsi="Times New Roman" w:cs="Times New Roman" w:eastAsia="Times New Roman" w:hint="default"/>
          <w:spacing w:val="-5"/>
          <w:w w:val="99"/>
        </w:rPr>
        <w:t>DAN</w:t>
      </w:r>
      <w:r>
        <w:rPr>
          <w:spacing w:val="-5"/>
          <w:w w:val="99"/>
        </w:rPr>
        <w:t>与浙商银行股份有限公司深圳分行签署编号为：（</w:t>
      </w:r>
      <w:r>
        <w:rPr>
          <w:rFonts w:ascii="Times New Roman" w:hAnsi="Times New Roman" w:cs="Times New Roman" w:eastAsia="Times New Roman" w:hint="default"/>
          <w:spacing w:val="-5"/>
          <w:w w:val="99"/>
        </w:rPr>
        <w:t>584300</w:t>
      </w:r>
      <w:r>
        <w:rPr>
          <w:spacing w:val="-5"/>
          <w:w w:val="99"/>
        </w:rPr>
        <w:t>）</w:t>
      </w:r>
      <w:r>
        <w:rPr>
          <w:spacing w:val="-78"/>
          <w:w w:val="99"/>
        </w:rPr>
        <w:t> </w:t>
      </w:r>
      <w:r>
        <w:rPr/>
        <w:t>浙商银高保字（</w:t>
      </w:r>
      <w:r>
        <w:rPr>
          <w:rFonts w:ascii="Times New Roman" w:hAnsi="Times New Roman" w:cs="Times New Roman" w:eastAsia="Times New Roman" w:hint="default"/>
        </w:rPr>
        <w:t>2018</w:t>
      </w:r>
      <w:r>
        <w:rPr/>
        <w:t>）第</w:t>
      </w:r>
      <w:r>
        <w:rPr>
          <w:rFonts w:ascii="Times New Roman" w:hAnsi="Times New Roman" w:cs="Times New Roman" w:eastAsia="Times New Roman" w:hint="default"/>
        </w:rPr>
        <w:t>07031</w:t>
      </w:r>
      <w:r>
        <w:rPr/>
        <w:t>号《最高额保证合同》，对前述授信提供保证担保。</w:t>
      </w:r>
    </w:p>
    <w:p>
      <w:pPr>
        <w:pStyle w:val="BodyText"/>
        <w:spacing w:line="240" w:lineRule="auto" w:before="52"/>
        <w:ind w:left="514" w:right="0"/>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8</w:t>
      </w:r>
      <w:r>
        <w:rPr/>
        <w:t>日，宁波银行股份有限公司深圳分行向本公司提供人民币</w:t>
      </w:r>
      <w:r>
        <w:rPr>
          <w:rFonts w:ascii="Times New Roman" w:hAnsi="Times New Roman" w:cs="Times New Roman" w:eastAsia="Times New Roman" w:hint="default"/>
        </w:rPr>
        <w:t>8,000</w:t>
      </w:r>
      <w:r>
        <w:rPr/>
        <w:t>万元的综合授信额度，授信期限自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p>
    <w:p>
      <w:pPr>
        <w:pStyle w:val="BodyText"/>
        <w:spacing w:line="240" w:lineRule="auto" w:before="63"/>
        <w:ind w:right="0"/>
        <w:jc w:val="both"/>
      </w:pPr>
      <w:r>
        <w:rPr>
          <w:rFonts w:ascii="Times New Roman" w:hAnsi="Times New Roman" w:cs="Times New Roman" w:eastAsia="Times New Roman" w:hint="default"/>
        </w:rPr>
        <w:t>8</w:t>
      </w:r>
      <w:r>
        <w:rPr/>
        <w:t>日起至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8</w:t>
      </w:r>
      <w:r>
        <w:rPr/>
        <w:t>日止，本公司实际控制人</w:t>
      </w:r>
      <w:r>
        <w:rPr>
          <w:rFonts w:ascii="Times New Roman" w:hAnsi="Times New Roman" w:cs="Times New Roman" w:eastAsia="Times New Roman" w:hint="default"/>
        </w:rPr>
        <w:t>GUO SONG</w:t>
      </w:r>
      <w:r>
        <w:rPr/>
        <w:t>、</w:t>
      </w:r>
      <w:r>
        <w:rPr>
          <w:rFonts w:ascii="Times New Roman" w:hAnsi="Times New Roman" w:cs="Times New Roman" w:eastAsia="Times New Roman" w:hint="default"/>
        </w:rPr>
        <w:t>LIU</w:t>
      </w:r>
      <w:r>
        <w:rPr>
          <w:rFonts w:ascii="Times New Roman" w:hAnsi="Times New Roman" w:cs="Times New Roman" w:eastAsia="Times New Roman" w:hint="default"/>
          <w:spacing w:val="-3"/>
        </w:rPr>
        <w:t> </w:t>
      </w:r>
      <w:r>
        <w:rPr>
          <w:rFonts w:ascii="Times New Roman" w:hAnsi="Times New Roman" w:cs="Times New Roman" w:eastAsia="Times New Roman" w:hint="default"/>
        </w:rPr>
        <w:t>DAN</w:t>
      </w:r>
      <w:r>
        <w:rPr/>
        <w:t>与宁波银行股份有限公司深圳分行签署编号为：</w:t>
      </w:r>
    </w:p>
    <w:p>
      <w:pPr>
        <w:pStyle w:val="BodyText"/>
        <w:spacing w:line="240" w:lineRule="auto" w:before="64"/>
        <w:ind w:right="0"/>
        <w:jc w:val="both"/>
      </w:pPr>
      <w:r>
        <w:rPr>
          <w:rFonts w:ascii="Times New Roman" w:hAnsi="Times New Roman" w:cs="Times New Roman" w:eastAsia="Times New Roman" w:hint="default"/>
        </w:rPr>
        <w:t>07300KB20188694</w:t>
      </w:r>
      <w:r>
        <w:rPr/>
        <w:t>《最高额保证合同》，对前述授信提供保证担保。</w:t>
      </w:r>
    </w:p>
    <w:p>
      <w:pPr>
        <w:pStyle w:val="BodyText"/>
        <w:spacing w:line="300" w:lineRule="auto" w:before="101"/>
        <w:ind w:right="1122" w:firstLine="360"/>
        <w:jc w:val="lef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13</w:t>
      </w:r>
      <w:r>
        <w:rPr/>
        <w:t>日，本公司与广发银行股份有限公司深圳分行重新签署了合同编号为</w:t>
      </w:r>
      <w:r>
        <w:rPr>
          <w:rFonts w:ascii="Times New Roman" w:hAnsi="Times New Roman" w:cs="Times New Roman" w:eastAsia="Times New Roman" w:hint="default"/>
        </w:rPr>
        <w:t>“</w:t>
      </w:r>
      <w:r>
        <w:rPr/>
        <w:t>（</w:t>
      </w:r>
      <w:r>
        <w:rPr>
          <w:rFonts w:ascii="Times New Roman" w:hAnsi="Times New Roman" w:cs="Times New Roman" w:eastAsia="Times New Roman" w:hint="default"/>
        </w:rPr>
        <w:t>2018</w:t>
      </w:r>
      <w:r>
        <w:rPr/>
        <w:t>）深银综授额字第</w:t>
      </w:r>
      <w:r>
        <w:rPr>
          <w:rFonts w:ascii="Times New Roman" w:hAnsi="Times New Roman" w:cs="Times New Roman" w:eastAsia="Times New Roman" w:hint="default"/>
        </w:rPr>
        <w:t>000220</w:t>
      </w:r>
      <w:r>
        <w:rPr/>
        <w:t>号</w:t>
      </w:r>
      <w:r>
        <w:rPr>
          <w:rFonts w:ascii="Times New Roman" w:hAnsi="Times New Roman" w:cs="Times New Roman" w:eastAsia="Times New Roman" w:hint="default"/>
        </w:rPr>
        <w:t>”</w:t>
      </w:r>
      <w:r>
        <w:rPr>
          <w:rFonts w:ascii="Times New Roman" w:hAnsi="Times New Roman" w:cs="Times New Roman" w:eastAsia="Times New Roman" w:hint="default"/>
          <w:w w:val="100"/>
        </w:rPr>
        <w:t> </w:t>
      </w:r>
      <w:r>
        <w:rPr/>
        <w:t>的《授信额度合同》，根据该合同，广发银行股份有限公司深圳分行向本公司提供人民币</w:t>
      </w:r>
      <w:r>
        <w:rPr>
          <w:rFonts w:ascii="Times New Roman" w:hAnsi="Times New Roman" w:cs="Times New Roman" w:eastAsia="Times New Roman" w:hint="default"/>
        </w:rPr>
        <w:t>8,000</w:t>
      </w:r>
      <w:r>
        <w:rPr/>
        <w:t>万元基本授信额度，以及人 民币</w:t>
      </w:r>
      <w:r>
        <w:rPr>
          <w:rFonts w:ascii="Times New Roman" w:hAnsi="Times New Roman" w:cs="Times New Roman" w:eastAsia="Times New Roman" w:hint="default"/>
        </w:rPr>
        <w:t>4000</w:t>
      </w:r>
      <w:r>
        <w:rPr/>
        <w:t>万元基本授信额度敞口。授信期限自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13</w:t>
      </w:r>
      <w:r>
        <w:rPr/>
        <w:t>日起至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12</w:t>
      </w:r>
      <w:r>
        <w:rPr/>
        <w:t>日止。本公司实际控制人</w:t>
      </w:r>
      <w:r>
        <w:rPr>
          <w:rFonts w:ascii="Times New Roman" w:hAnsi="Times New Roman" w:cs="Times New Roman" w:eastAsia="Times New Roman" w:hint="default"/>
        </w:rPr>
        <w:t>GUO</w:t>
      </w:r>
      <w:r>
        <w:rPr>
          <w:rFonts w:ascii="Times New Roman" w:hAnsi="Times New Roman" w:cs="Times New Roman" w:eastAsia="Times New Roman" w:hint="default"/>
          <w:spacing w:val="-1"/>
        </w:rPr>
        <w:t> </w:t>
      </w:r>
      <w:r>
        <w:rPr>
          <w:rFonts w:ascii="Times New Roman" w:hAnsi="Times New Roman" w:cs="Times New Roman" w:eastAsia="Times New Roman" w:hint="default"/>
        </w:rPr>
        <w:t>SONG</w:t>
      </w:r>
      <w:r>
        <w:rPr/>
        <w:t>、</w:t>
      </w:r>
      <w:r>
        <w:rPr>
          <w:rFonts w:ascii="Times New Roman" w:hAnsi="Times New Roman" w:cs="Times New Roman" w:eastAsia="Times New Roman" w:hint="default"/>
        </w:rPr>
        <w:t>LIU</w:t>
      </w:r>
      <w:r>
        <w:rPr>
          <w:rFonts w:ascii="Times New Roman" w:hAnsi="Times New Roman" w:cs="Times New Roman" w:eastAsia="Times New Roman" w:hint="default"/>
          <w:w w:val="99"/>
        </w:rPr>
        <w:t> </w:t>
      </w:r>
      <w:r>
        <w:rPr>
          <w:rFonts w:ascii="Times New Roman" w:hAnsi="Times New Roman" w:cs="Times New Roman" w:eastAsia="Times New Roman" w:hint="default"/>
        </w:rPr>
        <w:t>DAN</w:t>
      </w:r>
      <w:r>
        <w:rPr/>
        <w:t>以及子公司优博讯软件公司共同与广发银行股份有限公司深圳分行签署了编号为：（</w:t>
      </w:r>
      <w:r>
        <w:rPr>
          <w:rFonts w:ascii="Times New Roman" w:hAnsi="Times New Roman" w:cs="Times New Roman" w:eastAsia="Times New Roman" w:hint="default"/>
        </w:rPr>
        <w:t>2018</w:t>
      </w:r>
      <w:r>
        <w:rPr/>
        <w:t>）深银综授额字第</w:t>
      </w:r>
      <w:r>
        <w:rPr>
          <w:rFonts w:ascii="Times New Roman" w:hAnsi="Times New Roman" w:cs="Times New Roman" w:eastAsia="Times New Roman" w:hint="default"/>
        </w:rPr>
        <w:t>000220</w:t>
      </w:r>
      <w:r>
        <w:rPr/>
        <w:t>号</w:t>
      </w:r>
      <w:r>
        <w:rPr>
          <w:rFonts w:ascii="Times New Roman" w:hAnsi="Times New Roman" w:cs="Times New Roman" w:eastAsia="Times New Roman" w:hint="default"/>
        </w:rPr>
        <w:t>- </w:t>
      </w:r>
      <w:r>
        <w:rPr/>
        <w:t>担保</w:t>
      </w:r>
      <w:r>
        <w:rPr>
          <w:rFonts w:ascii="Times New Roman" w:hAnsi="Times New Roman" w:cs="Times New Roman" w:eastAsia="Times New Roman" w:hint="default"/>
        </w:rPr>
        <w:t>01</w:t>
      </w:r>
      <w:r>
        <w:rPr/>
        <w:t>的《最高额保证合同》，对前述授信合同提供最高债权额</w:t>
      </w:r>
      <w:r>
        <w:rPr>
          <w:rFonts w:ascii="Times New Roman" w:hAnsi="Times New Roman" w:cs="Times New Roman" w:eastAsia="Times New Roman" w:hint="default"/>
        </w:rPr>
        <w:t>4,000</w:t>
      </w:r>
      <w:r>
        <w:rPr/>
        <w:t>万元的保证担保；同时，本公司与广发银行股份有限</w:t>
      </w:r>
    </w:p>
    <w:p>
      <w:pPr>
        <w:spacing w:after="0" w:line="300" w:lineRule="auto"/>
        <w:jc w:val="left"/>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02" w:lineRule="auto" w:before="44"/>
        <w:ind w:right="1169"/>
        <w:jc w:val="both"/>
      </w:pPr>
      <w:r>
        <w:rPr/>
        <w:t>公司深圳分行签署了编号为（</w:t>
      </w:r>
      <w:r>
        <w:rPr>
          <w:rFonts w:ascii="Times New Roman" w:hAnsi="Times New Roman" w:cs="Times New Roman" w:eastAsia="Times New Roman" w:hint="default"/>
        </w:rPr>
        <w:t>2018</w:t>
      </w:r>
      <w:r>
        <w:rPr/>
        <w:t>）深银综授额字第</w:t>
      </w:r>
      <w:r>
        <w:rPr>
          <w:rFonts w:ascii="Times New Roman" w:hAnsi="Times New Roman" w:cs="Times New Roman" w:eastAsia="Times New Roman" w:hint="default"/>
        </w:rPr>
        <w:t>000220</w:t>
      </w:r>
      <w:r>
        <w:rPr/>
        <w:t>号</w:t>
      </w:r>
      <w:r>
        <w:rPr>
          <w:rFonts w:ascii="Times New Roman" w:hAnsi="Times New Roman" w:cs="Times New Roman" w:eastAsia="Times New Roman" w:hint="default"/>
        </w:rPr>
        <w:t>-</w:t>
      </w:r>
      <w:r>
        <w:rPr/>
        <w:t>担保</w:t>
      </w:r>
      <w:r>
        <w:rPr>
          <w:rFonts w:ascii="Times New Roman" w:hAnsi="Times New Roman" w:cs="Times New Roman" w:eastAsia="Times New Roman" w:hint="default"/>
        </w:rPr>
        <w:t>02</w:t>
      </w:r>
      <w:r>
        <w:rPr/>
        <w:t>的《最高额保证金质押合同》以及编号为（</w:t>
      </w:r>
      <w:r>
        <w:rPr>
          <w:rFonts w:ascii="Times New Roman" w:hAnsi="Times New Roman" w:cs="Times New Roman" w:eastAsia="Times New Roman" w:hint="default"/>
        </w:rPr>
        <w:t>2018</w:t>
      </w:r>
      <w:r>
        <w:rPr/>
        <w:t>）深 银综授额字第</w:t>
      </w:r>
      <w:r>
        <w:rPr>
          <w:rFonts w:ascii="Times New Roman" w:hAnsi="Times New Roman" w:cs="Times New Roman" w:eastAsia="Times New Roman" w:hint="default"/>
        </w:rPr>
        <w:t>000220</w:t>
      </w:r>
      <w:r>
        <w:rPr/>
        <w:t>号</w:t>
      </w:r>
      <w:r>
        <w:rPr>
          <w:rFonts w:ascii="Times New Roman" w:hAnsi="Times New Roman" w:cs="Times New Roman" w:eastAsia="Times New Roman" w:hint="default"/>
        </w:rPr>
        <w:t>-</w:t>
      </w:r>
      <w:r>
        <w:rPr/>
        <w:t>担保</w:t>
      </w:r>
      <w:r>
        <w:rPr>
          <w:rFonts w:ascii="Times New Roman" w:hAnsi="Times New Roman" w:cs="Times New Roman" w:eastAsia="Times New Roman" w:hint="default"/>
        </w:rPr>
        <w:t>03</w:t>
      </w:r>
      <w:r>
        <w:rPr/>
        <w:t>的《最高额权利质押合同》，对前述授信提供质押担保。</w:t>
      </w:r>
    </w:p>
    <w:p>
      <w:pPr>
        <w:pStyle w:val="BodyText"/>
        <w:spacing w:line="300" w:lineRule="auto" w:before="49"/>
        <w:ind w:right="1132" w:firstLine="360"/>
        <w:jc w:val="both"/>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16</w:t>
      </w:r>
      <w:r>
        <w:rPr/>
        <w:t>日，本公司与中信银行股份有限公司深圳分行签署了合同编号为</w:t>
      </w:r>
      <w:r>
        <w:rPr>
          <w:rFonts w:ascii="Times New Roman" w:hAnsi="Times New Roman" w:cs="Times New Roman" w:eastAsia="Times New Roman" w:hint="default"/>
        </w:rPr>
        <w:t>“</w:t>
      </w:r>
      <w:r>
        <w:rPr/>
        <w:t>（</w:t>
      </w:r>
      <w:r>
        <w:rPr>
          <w:rFonts w:ascii="Times New Roman" w:hAnsi="Times New Roman" w:cs="Times New Roman" w:eastAsia="Times New Roman" w:hint="default"/>
        </w:rPr>
        <w:t>2018</w:t>
      </w:r>
      <w:r>
        <w:rPr/>
        <w:t>）深银大鹏综字第</w:t>
      </w:r>
      <w:r>
        <w:rPr>
          <w:rFonts w:ascii="Times New Roman" w:hAnsi="Times New Roman" w:cs="Times New Roman" w:eastAsia="Times New Roman" w:hint="default"/>
        </w:rPr>
        <w:t>0003</w:t>
      </w:r>
      <w:r>
        <w:rPr/>
        <w:t>号</w:t>
      </w:r>
      <w:r>
        <w:rPr>
          <w:rFonts w:ascii="Times New Roman" w:hAnsi="Times New Roman" w:cs="Times New Roman" w:eastAsia="Times New Roman" w:hint="default"/>
        </w:rPr>
        <w:t>”</w:t>
      </w:r>
      <w:r>
        <w:rPr/>
        <w:t>的《综 合授信合同》，根据该协议，中信银行股份有限公司深圳分行向本公司提供人民币</w:t>
      </w:r>
      <w:r>
        <w:rPr>
          <w:rFonts w:ascii="Times New Roman" w:hAnsi="Times New Roman" w:cs="Times New Roman" w:eastAsia="Times New Roman" w:hint="default"/>
        </w:rPr>
        <w:t>8,000</w:t>
      </w:r>
      <w:r>
        <w:rPr/>
        <w:t>万元综合授信额度，额度使用期限 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16</w:t>
      </w:r>
      <w:r>
        <w:rPr/>
        <w:t>日起至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17</w:t>
      </w:r>
      <w:r>
        <w:rPr/>
        <w:t>日止。本公司实际控制人</w:t>
      </w:r>
      <w:r>
        <w:rPr>
          <w:rFonts w:ascii="Times New Roman" w:hAnsi="Times New Roman" w:cs="Times New Roman" w:eastAsia="Times New Roman" w:hint="default"/>
        </w:rPr>
        <w:t>GUO SONG</w:t>
      </w:r>
      <w:r>
        <w:rPr/>
        <w:t>、</w:t>
      </w:r>
      <w:r>
        <w:rPr>
          <w:rFonts w:ascii="Times New Roman" w:hAnsi="Times New Roman" w:cs="Times New Roman" w:eastAsia="Times New Roman" w:hint="default"/>
        </w:rPr>
        <w:t>LIU</w:t>
      </w:r>
      <w:r>
        <w:rPr>
          <w:rFonts w:ascii="Times New Roman" w:hAnsi="Times New Roman" w:cs="Times New Roman" w:eastAsia="Times New Roman" w:hint="default"/>
          <w:spacing w:val="-2"/>
        </w:rPr>
        <w:t> </w:t>
      </w:r>
      <w:r>
        <w:rPr>
          <w:rFonts w:ascii="Times New Roman" w:hAnsi="Times New Roman" w:cs="Times New Roman" w:eastAsia="Times New Roman" w:hint="default"/>
        </w:rPr>
        <w:t>DAN</w:t>
      </w:r>
      <w:r>
        <w:rPr/>
        <w:t>分别与中信银行股份有限公司深圳分行 </w:t>
      </w:r>
      <w:r>
        <w:rPr>
          <w:spacing w:val="-2"/>
        </w:rPr>
        <w:t>签署了编号为：（</w:t>
      </w:r>
      <w:r>
        <w:rPr>
          <w:rFonts w:ascii="Times New Roman" w:hAnsi="Times New Roman" w:cs="Times New Roman" w:eastAsia="Times New Roman" w:hint="default"/>
          <w:spacing w:val="-2"/>
        </w:rPr>
        <w:t>2018</w:t>
      </w:r>
      <w:r>
        <w:rPr>
          <w:spacing w:val="-2"/>
        </w:rPr>
        <w:t>）深银大鹏额保字第</w:t>
      </w:r>
      <w:r>
        <w:rPr>
          <w:rFonts w:ascii="Times New Roman" w:hAnsi="Times New Roman" w:cs="Times New Roman" w:eastAsia="Times New Roman" w:hint="default"/>
          <w:spacing w:val="-2"/>
        </w:rPr>
        <w:t>0003</w:t>
      </w:r>
      <w:r>
        <w:rPr>
          <w:spacing w:val="-2"/>
        </w:rPr>
        <w:t>号和（</w:t>
      </w:r>
      <w:r>
        <w:rPr>
          <w:rFonts w:ascii="Times New Roman" w:hAnsi="Times New Roman" w:cs="Times New Roman" w:eastAsia="Times New Roman" w:hint="default"/>
          <w:spacing w:val="-2"/>
        </w:rPr>
        <w:t>2018</w:t>
      </w:r>
      <w:r>
        <w:rPr>
          <w:spacing w:val="-2"/>
        </w:rPr>
        <w:t>）深银大鹏额保字第</w:t>
      </w:r>
      <w:r>
        <w:rPr>
          <w:rFonts w:ascii="Times New Roman" w:hAnsi="Times New Roman" w:cs="Times New Roman" w:eastAsia="Times New Roman" w:hint="default"/>
          <w:spacing w:val="-2"/>
        </w:rPr>
        <w:t>0002</w:t>
      </w:r>
      <w:r>
        <w:rPr>
          <w:spacing w:val="-2"/>
        </w:rPr>
        <w:t>号的《最高额保证合同》，对前述授信</w:t>
      </w:r>
      <w:r>
        <w:rPr>
          <w:spacing w:val="-51"/>
        </w:rPr>
        <w:t> </w:t>
      </w:r>
      <w:r>
        <w:rPr>
          <w:spacing w:val="-51"/>
        </w:rPr>
      </w:r>
      <w:r>
        <w:rPr/>
        <w:t>合同提供保证担保。</w:t>
      </w:r>
    </w:p>
    <w:p>
      <w:pPr>
        <w:pStyle w:val="BodyText"/>
        <w:spacing w:line="240" w:lineRule="auto" w:before="71"/>
        <w:ind w:left="0" w:right="1148"/>
        <w:jc w:val="right"/>
      </w:pP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10</w:t>
      </w:r>
      <w:r>
        <w:rPr/>
        <w:t>月</w:t>
      </w:r>
      <w:r>
        <w:rPr>
          <w:rFonts w:ascii="Times New Roman" w:hAnsi="Times New Roman" w:cs="Times New Roman" w:eastAsia="Times New Roman" w:hint="default"/>
        </w:rPr>
        <w:t>10</w:t>
      </w:r>
      <w:r>
        <w:rPr/>
        <w:t>日，本公司与中国农业银行股份有限公司前海分行签署了合同编号为</w:t>
      </w:r>
      <w:r>
        <w:rPr>
          <w:rFonts w:ascii="Times New Roman" w:hAnsi="Times New Roman" w:cs="Times New Roman" w:eastAsia="Times New Roman" w:hint="default"/>
        </w:rPr>
        <w:t>“</w:t>
      </w:r>
      <w:r>
        <w:rPr/>
        <w:t>（</w:t>
      </w:r>
      <w:r>
        <w:rPr>
          <w:rFonts w:ascii="Times New Roman" w:hAnsi="Times New Roman" w:cs="Times New Roman" w:eastAsia="Times New Roman" w:hint="default"/>
        </w:rPr>
        <w:t>2018</w:t>
      </w:r>
      <w:r>
        <w:rPr/>
        <w:t>）农银综授字（</w:t>
      </w:r>
      <w:r>
        <w:rPr>
          <w:rFonts w:ascii="Times New Roman" w:hAnsi="Times New Roman" w:cs="Times New Roman" w:eastAsia="Times New Roman" w:hint="default"/>
        </w:rPr>
        <w:t>410137</w:t>
      </w:r>
      <w:r>
        <w:rPr/>
        <w:t>）第</w:t>
      </w:r>
    </w:p>
    <w:p>
      <w:pPr>
        <w:pStyle w:val="BodyText"/>
        <w:spacing w:line="300" w:lineRule="auto" w:before="63"/>
        <w:ind w:right="1139"/>
        <w:jc w:val="both"/>
      </w:pPr>
      <w:r>
        <w:rPr>
          <w:rFonts w:ascii="Times New Roman" w:hAnsi="Times New Roman" w:cs="Times New Roman" w:eastAsia="Times New Roman" w:hint="default"/>
        </w:rPr>
        <w:t>011</w:t>
      </w:r>
      <w:r>
        <w:rPr/>
        <w:t>号</w:t>
      </w:r>
      <w:r>
        <w:rPr>
          <w:rFonts w:ascii="Times New Roman" w:hAnsi="Times New Roman" w:cs="Times New Roman" w:eastAsia="Times New Roman" w:hint="default"/>
        </w:rPr>
        <w:t>”</w:t>
      </w:r>
      <w:r>
        <w:rPr/>
        <w:t>的《最高额综合授信合同》，根据该协议，中国农业银行股份有限公司前海分行向本公司提供人民币</w:t>
      </w:r>
      <w:r>
        <w:rPr>
          <w:rFonts w:ascii="Times New Roman" w:hAnsi="Times New Roman" w:cs="Times New Roman" w:eastAsia="Times New Roman" w:hint="default"/>
        </w:rPr>
        <w:t>5,000</w:t>
      </w:r>
      <w:r>
        <w:rPr/>
        <w:t>万元综合 授信额度，额度使用期限自</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5</w:t>
      </w:r>
      <w:r>
        <w:rPr/>
        <w:t>日起至</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7</w:t>
      </w:r>
      <w:r>
        <w:rPr/>
        <w:t>月</w:t>
      </w:r>
      <w:r>
        <w:rPr>
          <w:rFonts w:ascii="Times New Roman" w:hAnsi="Times New Roman" w:cs="Times New Roman" w:eastAsia="Times New Roman" w:hint="default"/>
        </w:rPr>
        <w:t>5</w:t>
      </w:r>
      <w:r>
        <w:rPr/>
        <w:t>日止。本公司实际控制人</w:t>
      </w:r>
      <w:r>
        <w:rPr>
          <w:rFonts w:ascii="Times New Roman" w:hAnsi="Times New Roman" w:cs="Times New Roman" w:eastAsia="Times New Roman" w:hint="default"/>
        </w:rPr>
        <w:t>GUO SONG</w:t>
      </w:r>
      <w:r>
        <w:rPr/>
        <w:t>、</w:t>
      </w:r>
      <w:r>
        <w:rPr>
          <w:rFonts w:ascii="Times New Roman" w:hAnsi="Times New Roman" w:cs="Times New Roman" w:eastAsia="Times New Roman" w:hint="default"/>
        </w:rPr>
        <w:t>LIU</w:t>
      </w:r>
      <w:r>
        <w:rPr>
          <w:rFonts w:ascii="Times New Roman" w:hAnsi="Times New Roman" w:cs="Times New Roman" w:eastAsia="Times New Roman" w:hint="default"/>
          <w:spacing w:val="-1"/>
        </w:rPr>
        <w:t> </w:t>
      </w:r>
      <w:r>
        <w:rPr>
          <w:rFonts w:ascii="Times New Roman" w:hAnsi="Times New Roman" w:cs="Times New Roman" w:eastAsia="Times New Roman" w:hint="default"/>
        </w:rPr>
        <w:t>DAN</w:t>
      </w:r>
      <w:r>
        <w:rPr/>
        <w:t>以及子公司优博 讯软件公司与中国农业银行股份有限公司前海分行共同签署了编号为：</w:t>
      </w:r>
      <w:r>
        <w:rPr>
          <w:rFonts w:ascii="Times New Roman" w:hAnsi="Times New Roman" w:cs="Times New Roman" w:eastAsia="Times New Roman" w:hint="default"/>
        </w:rPr>
        <w:t>81100520180001184</w:t>
      </w:r>
      <w:r>
        <w:rPr/>
        <w:t>的《最高额保证合同》，对前述 授信合同提供保证担保。</w:t>
      </w:r>
    </w:p>
    <w:p>
      <w:pPr>
        <w:spacing w:line="240" w:lineRule="auto" w:before="4"/>
        <w:rPr>
          <w:rFonts w:ascii="宋体" w:hAnsi="宋体" w:cs="宋体" w:eastAsia="宋体" w:hint="default"/>
          <w:sz w:val="23"/>
          <w:szCs w:val="23"/>
        </w:rPr>
      </w:pPr>
    </w:p>
    <w:p>
      <w:pPr>
        <w:pStyle w:val="Heading3"/>
        <w:spacing w:line="240" w:lineRule="auto"/>
        <w:ind w:right="0"/>
        <w:jc w:val="both"/>
        <w:rPr>
          <w:b w:val="0"/>
          <w:bCs w:val="0"/>
        </w:rPr>
      </w:pPr>
      <w:bookmarkStart w:name="（4）关键管理人员报酬" w:id="316"/>
      <w:bookmarkEnd w:id="316"/>
      <w:r>
        <w:rPr>
          <w:b w:val="0"/>
          <w:bCs w:val="0"/>
        </w:rPr>
      </w:r>
      <w:r>
        <w:rPr/>
        <w:t>（</w:t>
      </w:r>
      <w:r>
        <w:rPr>
          <w:rFonts w:ascii="Times New Roman" w:hAnsi="Times New Roman" w:cs="Times New Roman" w:eastAsia="Times New Roman" w:hint="default"/>
        </w:rPr>
        <w:t>4</w:t>
      </w:r>
      <w:r>
        <w:rPr/>
        <w:t>）关键管理人员报酬</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关键管理人员报酬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4,135,100.00</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3,462,064.02</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5）其他关联交易" w:id="317"/>
      <w:bookmarkEnd w:id="317"/>
      <w:r>
        <w:rPr>
          <w:b w:val="0"/>
          <w:bCs w:val="0"/>
        </w:rPr>
      </w:r>
      <w:r>
        <w:rPr/>
        <w:t>（</w:t>
      </w:r>
      <w:r>
        <w:rPr>
          <w:rFonts w:ascii="Times New Roman" w:hAnsi="Times New Roman" w:cs="Times New Roman" w:eastAsia="Times New Roman" w:hint="default"/>
        </w:rPr>
        <w:t>5</w:t>
      </w:r>
      <w:r>
        <w:rPr/>
        <w:t>）其他关联交易</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right="0" w:firstLine="360"/>
        <w:jc w:val="left"/>
      </w:pP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25</w:t>
      </w:r>
      <w:r>
        <w:rPr>
          <w:spacing w:val="-3"/>
        </w:rPr>
        <w:t>日，本公司与上海清科创业投资管理有限公司（以下简称</w:t>
      </w:r>
      <w:r>
        <w:rPr>
          <w:rFonts w:ascii="Times New Roman" w:hAnsi="Times New Roman" w:cs="Times New Roman" w:eastAsia="Times New Roman" w:hint="default"/>
          <w:spacing w:val="-3"/>
        </w:rPr>
        <w:t>“</w:t>
      </w:r>
      <w:r>
        <w:rPr>
          <w:spacing w:val="-3"/>
        </w:rPr>
        <w:t>上海清科</w:t>
      </w:r>
      <w:r>
        <w:rPr>
          <w:rFonts w:ascii="Times New Roman" w:hAnsi="Times New Roman" w:cs="Times New Roman" w:eastAsia="Times New Roman" w:hint="default"/>
          <w:spacing w:val="-3"/>
        </w:rPr>
        <w:t>”</w:t>
      </w:r>
      <w:r>
        <w:rPr>
          <w:spacing w:val="-3"/>
        </w:rPr>
        <w:t>）、深圳市博通思创咨询有限公司（以</w:t>
      </w:r>
      <w:r>
        <w:rPr/>
        <w:t> </w:t>
      </w:r>
      <w:r>
        <w:rPr>
          <w:spacing w:val="-3"/>
        </w:rPr>
        <w:t>下简称</w:t>
      </w:r>
      <w:r>
        <w:rPr>
          <w:rFonts w:ascii="Times New Roman" w:hAnsi="Times New Roman" w:cs="Times New Roman" w:eastAsia="Times New Roman" w:hint="default"/>
          <w:spacing w:val="-3"/>
        </w:rPr>
        <w:t>“</w:t>
      </w:r>
      <w:r>
        <w:rPr>
          <w:spacing w:val="-3"/>
        </w:rPr>
        <w:t>博通思创</w:t>
      </w:r>
      <w:r>
        <w:rPr>
          <w:rFonts w:ascii="Times New Roman" w:hAnsi="Times New Roman" w:cs="Times New Roman" w:eastAsia="Times New Roman" w:hint="default"/>
          <w:spacing w:val="-3"/>
        </w:rPr>
        <w:t>”</w:t>
      </w:r>
      <w:r>
        <w:rPr>
          <w:spacing w:val="-3"/>
        </w:rPr>
        <w:t>）签署《杭州清科优博讯投资管理合伙企业（有限合伙）合伙协议》（以下简称</w:t>
      </w:r>
      <w:r>
        <w:rPr>
          <w:rFonts w:ascii="Times New Roman" w:hAnsi="Times New Roman" w:cs="Times New Roman" w:eastAsia="Times New Roman" w:hint="default"/>
          <w:spacing w:val="-3"/>
        </w:rPr>
        <w:t>“</w:t>
      </w:r>
      <w:r>
        <w:rPr>
          <w:spacing w:val="-3"/>
        </w:rPr>
        <w:t>合伙协议</w:t>
      </w:r>
      <w:r>
        <w:rPr>
          <w:rFonts w:ascii="Times New Roman" w:hAnsi="Times New Roman" w:cs="Times New Roman" w:eastAsia="Times New Roman" w:hint="default"/>
          <w:spacing w:val="-3"/>
        </w:rPr>
        <w:t>”</w:t>
      </w:r>
      <w:r>
        <w:rPr>
          <w:spacing w:val="-3"/>
        </w:rPr>
        <w:t>或</w:t>
      </w:r>
      <w:r>
        <w:rPr>
          <w:rFonts w:ascii="Times New Roman" w:hAnsi="Times New Roman" w:cs="Times New Roman" w:eastAsia="Times New Roman" w:hint="default"/>
          <w:spacing w:val="-3"/>
        </w:rPr>
        <w:t>“</w:t>
      </w:r>
      <w:r>
        <w:rPr>
          <w:spacing w:val="-3"/>
        </w:rPr>
        <w:t>本协议</w:t>
      </w:r>
      <w:r>
        <w:rPr>
          <w:rFonts w:ascii="Times New Roman" w:hAnsi="Times New Roman" w:cs="Times New Roman" w:eastAsia="Times New Roman" w:hint="default"/>
          <w:spacing w:val="-3"/>
        </w:rPr>
        <w:t>”</w:t>
      </w:r>
      <w:r>
        <w:rPr>
          <w:spacing w:val="-3"/>
        </w:rPr>
        <w:t>），</w:t>
      </w:r>
      <w:r>
        <w:rPr>
          <w:spacing w:val="-48"/>
        </w:rPr>
        <w:t> </w:t>
      </w:r>
      <w:r>
        <w:rPr/>
        <w:t>共同投资设立杭州清科优博讯投资管理合伙企业（有限合伙）（以下简称</w:t>
      </w:r>
      <w:r>
        <w:rPr>
          <w:rFonts w:ascii="Times New Roman" w:hAnsi="Times New Roman" w:cs="Times New Roman" w:eastAsia="Times New Roman" w:hint="default"/>
        </w:rPr>
        <w:t>“</w:t>
      </w:r>
      <w:r>
        <w:rPr/>
        <w:t>产业基金</w:t>
      </w:r>
      <w:r>
        <w:rPr>
          <w:rFonts w:ascii="Times New Roman" w:hAnsi="Times New Roman" w:cs="Times New Roman" w:eastAsia="Times New Roman" w:hint="default"/>
        </w:rPr>
        <w:t>”</w:t>
      </w:r>
      <w:r>
        <w:rPr/>
        <w:t>或</w:t>
      </w:r>
      <w:r>
        <w:rPr>
          <w:rFonts w:ascii="Times New Roman" w:hAnsi="Times New Roman" w:cs="Times New Roman" w:eastAsia="Times New Roman" w:hint="default"/>
        </w:rPr>
        <w:t>“</w:t>
      </w:r>
      <w:r>
        <w:rPr/>
        <w:t>合伙企业</w:t>
      </w:r>
      <w:r>
        <w:rPr>
          <w:rFonts w:ascii="Times New Roman" w:hAnsi="Times New Roman" w:cs="Times New Roman" w:eastAsia="Times New Roman" w:hint="default"/>
        </w:rPr>
        <w:t>”</w:t>
      </w:r>
      <w:r>
        <w:rPr/>
        <w:t>）。产业基金的目标总认 </w:t>
      </w:r>
      <w:r>
        <w:rPr>
          <w:spacing w:val="-2"/>
        </w:rPr>
        <w:t>缴出资额为人民币</w:t>
      </w:r>
      <w:r>
        <w:rPr>
          <w:rFonts w:ascii="Times New Roman" w:hAnsi="Times New Roman" w:cs="Times New Roman" w:eastAsia="Times New Roman" w:hint="default"/>
          <w:spacing w:val="-2"/>
        </w:rPr>
        <w:t>2.05</w:t>
      </w:r>
      <w:r>
        <w:rPr>
          <w:spacing w:val="-2"/>
        </w:rPr>
        <w:t>亿元，其中本公司作为有限合伙人以自有资金认缴出资</w:t>
      </w:r>
      <w:r>
        <w:rPr>
          <w:rFonts w:ascii="Times New Roman" w:hAnsi="Times New Roman" w:cs="Times New Roman" w:eastAsia="Times New Roman" w:hint="default"/>
          <w:spacing w:val="-2"/>
        </w:rPr>
        <w:t>6,000</w:t>
      </w:r>
      <w:r>
        <w:rPr>
          <w:spacing w:val="-2"/>
        </w:rPr>
        <w:t>万元，博通思创作为有限合伙人认缴出资</w:t>
      </w:r>
      <w:r>
        <w:rPr>
          <w:spacing w:val="-57"/>
        </w:rPr>
        <w:t> </w:t>
      </w:r>
      <w:r>
        <w:rPr>
          <w:spacing w:val="-57"/>
        </w:rPr>
      </w:r>
      <w:r>
        <w:rPr>
          <w:rFonts w:ascii="Times New Roman" w:hAnsi="Times New Roman" w:cs="Times New Roman" w:eastAsia="Times New Roman" w:hint="default"/>
        </w:rPr>
        <w:t>1.4</w:t>
      </w:r>
      <w:r>
        <w:rPr/>
        <w:t>亿元，上海清科作为普通合伙人认缴出资</w:t>
      </w:r>
      <w:r>
        <w:rPr>
          <w:rFonts w:ascii="Times New Roman" w:hAnsi="Times New Roman" w:cs="Times New Roman" w:eastAsia="Times New Roman" w:hint="default"/>
        </w:rPr>
        <w:t>500</w:t>
      </w:r>
      <w:r>
        <w:rPr/>
        <w:t>万元。截止</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日，本公司尚未出资。</w:t>
      </w:r>
    </w:p>
    <w:p>
      <w:pPr>
        <w:spacing w:line="240" w:lineRule="auto" w:before="1"/>
        <w:rPr>
          <w:rFonts w:ascii="宋体" w:hAnsi="宋体" w:cs="宋体" w:eastAsia="宋体" w:hint="default"/>
          <w:sz w:val="22"/>
          <w:szCs w:val="22"/>
        </w:rPr>
      </w:pPr>
    </w:p>
    <w:p>
      <w:pPr>
        <w:pStyle w:val="Heading3"/>
        <w:spacing w:line="240" w:lineRule="auto"/>
        <w:ind w:right="1134"/>
        <w:jc w:val="left"/>
        <w:rPr>
          <w:b w:val="0"/>
          <w:bCs w:val="0"/>
        </w:rPr>
      </w:pPr>
      <w:bookmarkStart w:name="6、关联方应收应付款项" w:id="318"/>
      <w:bookmarkEnd w:id="318"/>
      <w:r>
        <w:rPr>
          <w:b w:val="0"/>
          <w:bCs w:val="0"/>
        </w:rPr>
      </w:r>
      <w:r>
        <w:rPr>
          <w:rFonts w:ascii="Times New Roman" w:hAnsi="Times New Roman" w:cs="Times New Roman" w:eastAsia="Times New Roman" w:hint="default"/>
        </w:rPr>
        <w:t>6</w:t>
      </w:r>
      <w:r>
        <w:rPr/>
        <w:t>、关联方应收应付款项</w:t>
      </w:r>
      <w:r>
        <w:rPr>
          <w:b w:val="0"/>
          <w:bCs w:val="0"/>
        </w:rPr>
      </w:r>
    </w:p>
    <w:p>
      <w:pPr>
        <w:spacing w:line="240" w:lineRule="auto" w:before="10"/>
        <w:rPr>
          <w:rFonts w:ascii="宋体" w:hAnsi="宋体" w:cs="宋体" w:eastAsia="宋体" w:hint="default"/>
          <w:b/>
          <w:bCs/>
          <w:sz w:val="24"/>
          <w:szCs w:val="24"/>
        </w:rPr>
      </w:pPr>
    </w:p>
    <w:p>
      <w:pPr>
        <w:pStyle w:val="Heading3"/>
        <w:spacing w:line="240" w:lineRule="auto"/>
        <w:ind w:right="1134"/>
        <w:jc w:val="left"/>
        <w:rPr>
          <w:b w:val="0"/>
          <w:bCs w:val="0"/>
        </w:rPr>
      </w:pPr>
      <w:bookmarkStart w:name="（1）应付项目" w:id="319"/>
      <w:bookmarkEnd w:id="319"/>
      <w:r>
        <w:rPr>
          <w:b w:val="0"/>
          <w:bCs w:val="0"/>
        </w:rPr>
      </w:r>
      <w:r>
        <w:rPr/>
        <w:t>（</w:t>
      </w:r>
      <w:r>
        <w:rPr>
          <w:rFonts w:ascii="Times New Roman" w:hAnsi="Times New Roman" w:cs="Times New Roman" w:eastAsia="Times New Roman" w:hint="default"/>
        </w:rPr>
        <w:t>1</w:t>
      </w:r>
      <w:r>
        <w:rPr/>
        <w:t>）应付项目</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85"/>
        <w:gridCol w:w="2800"/>
        <w:gridCol w:w="2392"/>
        <w:gridCol w:w="2392"/>
      </w:tblGrid>
      <w:tr>
        <w:trPr>
          <w:trHeight w:val="402"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26"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28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2800"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85" w:type="dxa"/>
            <w:tcBorders>
              <w:top w:val="single" w:sz="4" w:space="0" w:color="000000"/>
              <w:left w:val="single" w:sz="4" w:space="0" w:color="000000"/>
              <w:bottom w:val="single" w:sz="4" w:space="0" w:color="000000"/>
              <w:right w:val="single" w:sz="4" w:space="0" w:color="000000"/>
            </w:tcBorders>
          </w:tcPr>
          <w:p>
            <w:pP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上海芝柯智能科技有限公司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102,670.45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167,735.05</w:t>
            </w:r>
          </w:p>
        </w:tc>
      </w:tr>
      <w:tr>
        <w:trPr>
          <w:trHeight w:val="402"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2800"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85" w:type="dxa"/>
            <w:tcBorders>
              <w:top w:val="single" w:sz="4" w:space="0" w:color="000000"/>
              <w:left w:val="single" w:sz="4" w:space="0" w:color="000000"/>
              <w:bottom w:val="single" w:sz="4" w:space="0" w:color="000000"/>
              <w:right w:val="single" w:sz="4" w:space="0" w:color="000000"/>
            </w:tcBorders>
          </w:tcPr>
          <w:p>
            <w:pP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北京易路易通科技有限公司</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407,547.17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943,396.20</w:t>
            </w:r>
          </w:p>
        </w:tc>
      </w:tr>
      <w:tr>
        <w:trPr>
          <w:trHeight w:val="402" w:hRule="exact"/>
        </w:trPr>
        <w:tc>
          <w:tcPr>
            <w:tcW w:w="1985" w:type="dxa"/>
            <w:tcBorders>
              <w:top w:val="single" w:sz="4" w:space="0" w:color="000000"/>
              <w:left w:val="single" w:sz="4" w:space="0" w:color="000000"/>
              <w:bottom w:val="single" w:sz="4" w:space="0" w:color="000000"/>
              <w:right w:val="single" w:sz="4" w:space="0" w:color="000000"/>
            </w:tcBorders>
          </w:tcPr>
          <w:p>
            <w:pP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中世顺科技（北京）股份有限公司</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6,875,000.00</w:t>
            </w:r>
          </w:p>
        </w:tc>
      </w:tr>
      <w:tr>
        <w:trPr>
          <w:trHeight w:val="402" w:hRule="exact"/>
        </w:trPr>
        <w:tc>
          <w:tcPr>
            <w:tcW w:w="1985" w:type="dxa"/>
            <w:tcBorders>
              <w:top w:val="single" w:sz="4" w:space="0" w:color="000000"/>
              <w:left w:val="single" w:sz="4" w:space="0" w:color="000000"/>
              <w:bottom w:val="single" w:sz="4" w:space="0" w:color="000000"/>
              <w:right w:val="single" w:sz="4" w:space="0" w:color="000000"/>
            </w:tcBorders>
          </w:tcPr>
          <w:p>
            <w:pP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仝文定</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1,816.78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9,083.28</w:t>
            </w:r>
          </w:p>
        </w:tc>
      </w:tr>
      <w:tr>
        <w:trPr>
          <w:trHeight w:val="402" w:hRule="exact"/>
        </w:trPr>
        <w:tc>
          <w:tcPr>
            <w:tcW w:w="1985" w:type="dxa"/>
            <w:tcBorders>
              <w:top w:val="single" w:sz="4" w:space="0" w:color="000000"/>
              <w:left w:val="single" w:sz="4" w:space="0" w:color="000000"/>
              <w:bottom w:val="single" w:sz="4" w:space="0" w:color="000000"/>
              <w:right w:val="single" w:sz="4" w:space="0" w:color="000000"/>
            </w:tcBorders>
          </w:tcPr>
          <w:p>
            <w:pP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刘镇</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52,753.09</w:t>
            </w:r>
          </w:p>
        </w:tc>
      </w:tr>
      <w:tr>
        <w:trPr>
          <w:trHeight w:val="402" w:hRule="exact"/>
        </w:trPr>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2800"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1985"/>
        <w:gridCol w:w="2800"/>
        <w:gridCol w:w="2392"/>
        <w:gridCol w:w="2394"/>
      </w:tblGrid>
      <w:tr>
        <w:trPr>
          <w:trHeight w:val="402" w:hRule="exact"/>
        </w:trPr>
        <w:tc>
          <w:tcPr>
            <w:tcW w:w="1985" w:type="dxa"/>
            <w:tcBorders>
              <w:top w:val="single" w:sz="4" w:space="0" w:color="000000"/>
              <w:left w:val="single" w:sz="4" w:space="0" w:color="000000"/>
              <w:bottom w:val="single" w:sz="4" w:space="0" w:color="000000"/>
              <w:right w:val="single" w:sz="4" w:space="0" w:color="000000"/>
            </w:tcBorders>
          </w:tcPr>
          <w:p>
            <w:pPr/>
          </w:p>
        </w:tc>
        <w:tc>
          <w:tcPr>
            <w:tcW w:w="2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深圳市天眼智通科技有限公司</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49" w:right="0"/>
              <w:jc w:val="left"/>
              <w:rPr>
                <w:rFonts w:ascii="Times New Roman" w:hAnsi="Times New Roman" w:cs="Times New Roman" w:eastAsia="Times New Roman" w:hint="default"/>
                <w:sz w:val="18"/>
                <w:szCs w:val="18"/>
              </w:rPr>
            </w:pPr>
            <w:r>
              <w:rPr>
                <w:rFonts w:ascii="Times New Roman"/>
                <w:sz w:val="18"/>
              </w:rPr>
              <w:t>121,335.00</w:t>
            </w:r>
          </w:p>
        </w:tc>
      </w:tr>
    </w:tbl>
    <w:p>
      <w:pPr>
        <w:spacing w:line="240" w:lineRule="auto" w:before="2"/>
        <w:rPr>
          <w:rFonts w:ascii="宋体" w:hAnsi="宋体" w:cs="宋体" w:eastAsia="宋体" w:hint="default"/>
          <w:sz w:val="18"/>
          <w:szCs w:val="18"/>
        </w:rPr>
      </w:pPr>
    </w:p>
    <w:p>
      <w:pPr>
        <w:pStyle w:val="Heading2"/>
        <w:spacing w:line="240" w:lineRule="auto" w:before="26"/>
        <w:ind w:right="1134"/>
        <w:jc w:val="left"/>
        <w:rPr>
          <w:b w:val="0"/>
          <w:bCs w:val="0"/>
        </w:rPr>
      </w:pPr>
      <w:bookmarkStart w:name="十一、承诺及或有事项" w:id="320"/>
      <w:bookmarkEnd w:id="320"/>
      <w:r>
        <w:rPr>
          <w:b w:val="0"/>
          <w:bCs w:val="0"/>
        </w:rPr>
      </w:r>
      <w:r>
        <w:rPr/>
        <w:t>十一、承诺及或有事项</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重要承诺事项" w:id="321"/>
      <w:bookmarkEnd w:id="321"/>
      <w:r>
        <w:rPr>
          <w:b w:val="0"/>
          <w:bCs w:val="0"/>
        </w:rPr>
      </w:r>
      <w:r>
        <w:rPr>
          <w:rFonts w:ascii="Times New Roman" w:hAnsi="Times New Roman" w:cs="Times New Roman" w:eastAsia="Times New Roman" w:hint="default"/>
        </w:rPr>
        <w:t>1</w:t>
      </w:r>
      <w:r>
        <w:rPr/>
        <w:t>、重要承诺事项</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t>资产负债表日存在的重要承诺</w:t>
      </w:r>
    </w:p>
    <w:p>
      <w:pPr>
        <w:pStyle w:val="BodyText"/>
        <w:spacing w:line="300" w:lineRule="auto" w:before="116"/>
        <w:ind w:right="1124" w:firstLine="360"/>
        <w:jc w:val="both"/>
      </w:pPr>
      <w:r>
        <w:rPr>
          <w:rFonts w:ascii="Times New Roman" w:hAnsi="Times New Roman" w:cs="Times New Roman" w:eastAsia="Times New Roman" w:hint="default"/>
          <w:spacing w:val="-2"/>
        </w:rPr>
        <w:t>2017</w:t>
      </w:r>
      <w:r>
        <w:rPr>
          <w:spacing w:val="-2"/>
        </w:rPr>
        <w:t>年</w:t>
      </w:r>
      <w:r>
        <w:rPr>
          <w:rFonts w:ascii="Times New Roman" w:hAnsi="Times New Roman" w:cs="Times New Roman" w:eastAsia="Times New Roman" w:hint="default"/>
          <w:spacing w:val="-2"/>
        </w:rPr>
        <w:t>9</w:t>
      </w:r>
      <w:r>
        <w:rPr>
          <w:spacing w:val="-2"/>
        </w:rPr>
        <w:t>月</w:t>
      </w:r>
      <w:r>
        <w:rPr>
          <w:rFonts w:ascii="Times New Roman" w:hAnsi="Times New Roman" w:cs="Times New Roman" w:eastAsia="Times New Roman" w:hint="default"/>
          <w:spacing w:val="-2"/>
        </w:rPr>
        <w:t>1</w:t>
      </w:r>
      <w:r>
        <w:rPr>
          <w:spacing w:val="-2"/>
        </w:rPr>
        <w:t>日，本公司与天眼智通（香港）有限公司（以下简称</w:t>
      </w:r>
      <w:r>
        <w:rPr>
          <w:rFonts w:ascii="Times New Roman" w:hAnsi="Times New Roman" w:cs="Times New Roman" w:eastAsia="Times New Roman" w:hint="default"/>
          <w:spacing w:val="-2"/>
        </w:rPr>
        <w:t>“</w:t>
      </w:r>
      <w:r>
        <w:rPr>
          <w:spacing w:val="-2"/>
        </w:rPr>
        <w:t>天眼智通香港</w:t>
      </w:r>
      <w:r>
        <w:rPr>
          <w:rFonts w:ascii="Times New Roman" w:hAnsi="Times New Roman" w:cs="Times New Roman" w:eastAsia="Times New Roman" w:hint="default"/>
          <w:spacing w:val="-2"/>
        </w:rPr>
        <w:t>”</w:t>
      </w:r>
      <w:r>
        <w:rPr>
          <w:spacing w:val="-2"/>
        </w:rPr>
        <w:t>）签署了《关于合资经营深圳市天眼智</w:t>
      </w:r>
      <w:r>
        <w:rPr/>
        <w:t> 通科技有限公司之合资合同》，本公司认缴出资人民币</w:t>
      </w:r>
      <w:r>
        <w:rPr>
          <w:rFonts w:ascii="Times New Roman" w:hAnsi="Times New Roman" w:cs="Times New Roman" w:eastAsia="Times New Roman" w:hint="default"/>
        </w:rPr>
        <w:t>1,000.00</w:t>
      </w:r>
      <w:r>
        <w:rPr/>
        <w:t>万元，占深圳市天眼智通科技有限公司注册资本的</w:t>
      </w:r>
      <w:r>
        <w:rPr>
          <w:rFonts w:ascii="Times New Roman" w:hAnsi="Times New Roman" w:cs="Times New Roman" w:eastAsia="Times New Roman" w:hint="default"/>
        </w:rPr>
        <w:t>40.00%</w:t>
      </w:r>
      <w:r>
        <w:rPr/>
        <w:t>。 截止</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日已支付人民币</w:t>
      </w:r>
      <w:r>
        <w:rPr>
          <w:rFonts w:ascii="Times New Roman" w:hAnsi="Times New Roman" w:cs="Times New Roman" w:eastAsia="Times New Roman" w:hint="default"/>
        </w:rPr>
        <w:t>300.00</w:t>
      </w:r>
      <w:r>
        <w:rPr/>
        <w:t>万元。</w:t>
      </w:r>
    </w:p>
    <w:p>
      <w:pPr>
        <w:pStyle w:val="BodyText"/>
        <w:spacing w:line="300" w:lineRule="auto" w:before="13"/>
        <w:ind w:right="0" w:firstLine="360"/>
        <w:jc w:val="left"/>
      </w:pPr>
      <w:r>
        <w:rPr>
          <w:rFonts w:ascii="Times New Roman" w:hAnsi="Times New Roman" w:cs="Times New Roman" w:eastAsia="Times New Roman" w:hint="default"/>
          <w:spacing w:val="-3"/>
        </w:rPr>
        <w:t>2018</w:t>
      </w:r>
      <w:r>
        <w:rPr>
          <w:spacing w:val="-3"/>
        </w:rPr>
        <w:t>年</w:t>
      </w:r>
      <w:r>
        <w:rPr>
          <w:rFonts w:ascii="Times New Roman" w:hAnsi="Times New Roman" w:cs="Times New Roman" w:eastAsia="Times New Roman" w:hint="default"/>
          <w:spacing w:val="-3"/>
        </w:rPr>
        <w:t>6</w:t>
      </w:r>
      <w:r>
        <w:rPr>
          <w:spacing w:val="-3"/>
        </w:rPr>
        <w:t>月</w:t>
      </w:r>
      <w:r>
        <w:rPr>
          <w:rFonts w:ascii="Times New Roman" w:hAnsi="Times New Roman" w:cs="Times New Roman" w:eastAsia="Times New Roman" w:hint="default"/>
          <w:spacing w:val="-3"/>
        </w:rPr>
        <w:t>25</w:t>
      </w:r>
      <w:r>
        <w:rPr>
          <w:spacing w:val="-3"/>
        </w:rPr>
        <w:t>日，本公司与上海清科创业投资管理有限公司（以下简称</w:t>
      </w:r>
      <w:r>
        <w:rPr>
          <w:rFonts w:ascii="Times New Roman" w:hAnsi="Times New Roman" w:cs="Times New Roman" w:eastAsia="Times New Roman" w:hint="default"/>
          <w:spacing w:val="-3"/>
        </w:rPr>
        <w:t>“</w:t>
      </w:r>
      <w:r>
        <w:rPr>
          <w:spacing w:val="-3"/>
        </w:rPr>
        <w:t>上海清科</w:t>
      </w:r>
      <w:r>
        <w:rPr>
          <w:rFonts w:ascii="Times New Roman" w:hAnsi="Times New Roman" w:cs="Times New Roman" w:eastAsia="Times New Roman" w:hint="default"/>
          <w:spacing w:val="-3"/>
        </w:rPr>
        <w:t>”</w:t>
      </w:r>
      <w:r>
        <w:rPr>
          <w:spacing w:val="-3"/>
        </w:rPr>
        <w:t>）、深圳市博通思创咨询有限公司（以</w:t>
      </w:r>
      <w:r>
        <w:rPr/>
        <w:t> </w:t>
      </w:r>
      <w:r>
        <w:rPr>
          <w:spacing w:val="-3"/>
        </w:rPr>
        <w:t>下简称</w:t>
      </w:r>
      <w:r>
        <w:rPr>
          <w:rFonts w:ascii="Times New Roman" w:hAnsi="Times New Roman" w:cs="Times New Roman" w:eastAsia="Times New Roman" w:hint="default"/>
          <w:spacing w:val="-3"/>
        </w:rPr>
        <w:t>“</w:t>
      </w:r>
      <w:r>
        <w:rPr>
          <w:spacing w:val="-3"/>
        </w:rPr>
        <w:t>博通思创</w:t>
      </w:r>
      <w:r>
        <w:rPr>
          <w:rFonts w:ascii="Times New Roman" w:hAnsi="Times New Roman" w:cs="Times New Roman" w:eastAsia="Times New Roman" w:hint="default"/>
          <w:spacing w:val="-3"/>
        </w:rPr>
        <w:t>”</w:t>
      </w:r>
      <w:r>
        <w:rPr>
          <w:spacing w:val="-3"/>
        </w:rPr>
        <w:t>）签署《杭州清科优博讯投资管理合伙企业（有限合伙）合伙协议》（以下简称</w:t>
      </w:r>
      <w:r>
        <w:rPr>
          <w:rFonts w:ascii="Times New Roman" w:hAnsi="Times New Roman" w:cs="Times New Roman" w:eastAsia="Times New Roman" w:hint="default"/>
          <w:spacing w:val="-3"/>
        </w:rPr>
        <w:t>“</w:t>
      </w:r>
      <w:r>
        <w:rPr>
          <w:spacing w:val="-3"/>
        </w:rPr>
        <w:t>合伙协议</w:t>
      </w:r>
      <w:r>
        <w:rPr>
          <w:rFonts w:ascii="Times New Roman" w:hAnsi="Times New Roman" w:cs="Times New Roman" w:eastAsia="Times New Roman" w:hint="default"/>
          <w:spacing w:val="-3"/>
        </w:rPr>
        <w:t>”</w:t>
      </w:r>
      <w:r>
        <w:rPr>
          <w:spacing w:val="-3"/>
        </w:rPr>
        <w:t>或</w:t>
      </w:r>
      <w:r>
        <w:rPr>
          <w:rFonts w:ascii="Times New Roman" w:hAnsi="Times New Roman" w:cs="Times New Roman" w:eastAsia="Times New Roman" w:hint="default"/>
          <w:spacing w:val="-3"/>
        </w:rPr>
        <w:t>“</w:t>
      </w:r>
      <w:r>
        <w:rPr>
          <w:spacing w:val="-3"/>
        </w:rPr>
        <w:t>本协议</w:t>
      </w:r>
      <w:r>
        <w:rPr>
          <w:rFonts w:ascii="Times New Roman" w:hAnsi="Times New Roman" w:cs="Times New Roman" w:eastAsia="Times New Roman" w:hint="default"/>
          <w:spacing w:val="-3"/>
        </w:rPr>
        <w:t>”</w:t>
      </w:r>
      <w:r>
        <w:rPr>
          <w:spacing w:val="-3"/>
        </w:rPr>
        <w:t>），</w:t>
      </w:r>
      <w:r>
        <w:rPr>
          <w:spacing w:val="-48"/>
        </w:rPr>
        <w:t> </w:t>
      </w:r>
      <w:r>
        <w:rPr/>
        <w:t>共同投资设立杭州清科优博讯投资管理合伙企业（有限合伙）（以下简称</w:t>
      </w:r>
      <w:r>
        <w:rPr>
          <w:rFonts w:ascii="Times New Roman" w:hAnsi="Times New Roman" w:cs="Times New Roman" w:eastAsia="Times New Roman" w:hint="default"/>
        </w:rPr>
        <w:t>“</w:t>
      </w:r>
      <w:r>
        <w:rPr/>
        <w:t>产业基金</w:t>
      </w:r>
      <w:r>
        <w:rPr>
          <w:rFonts w:ascii="Times New Roman" w:hAnsi="Times New Roman" w:cs="Times New Roman" w:eastAsia="Times New Roman" w:hint="default"/>
        </w:rPr>
        <w:t>”</w:t>
      </w:r>
      <w:r>
        <w:rPr/>
        <w:t>或</w:t>
      </w:r>
      <w:r>
        <w:rPr>
          <w:rFonts w:ascii="Times New Roman" w:hAnsi="Times New Roman" w:cs="Times New Roman" w:eastAsia="Times New Roman" w:hint="default"/>
        </w:rPr>
        <w:t>“</w:t>
      </w:r>
      <w:r>
        <w:rPr/>
        <w:t>合伙企业</w:t>
      </w:r>
      <w:r>
        <w:rPr>
          <w:rFonts w:ascii="Times New Roman" w:hAnsi="Times New Roman" w:cs="Times New Roman" w:eastAsia="Times New Roman" w:hint="default"/>
        </w:rPr>
        <w:t>”</w:t>
      </w:r>
      <w:r>
        <w:rPr/>
        <w:t>）。产业基金的目标总认 </w:t>
      </w:r>
      <w:r>
        <w:rPr>
          <w:spacing w:val="-2"/>
        </w:rPr>
        <w:t>缴出资额为人民币</w:t>
      </w:r>
      <w:r>
        <w:rPr>
          <w:rFonts w:ascii="Times New Roman" w:hAnsi="Times New Roman" w:cs="Times New Roman" w:eastAsia="Times New Roman" w:hint="default"/>
          <w:spacing w:val="-2"/>
        </w:rPr>
        <w:t>2.05</w:t>
      </w:r>
      <w:r>
        <w:rPr>
          <w:spacing w:val="-2"/>
        </w:rPr>
        <w:t>亿元，其中本公司作为有限合伙人以自有资金认缴出资</w:t>
      </w:r>
      <w:r>
        <w:rPr>
          <w:rFonts w:ascii="Times New Roman" w:hAnsi="Times New Roman" w:cs="Times New Roman" w:eastAsia="Times New Roman" w:hint="default"/>
          <w:spacing w:val="-2"/>
        </w:rPr>
        <w:t>6,000</w:t>
      </w:r>
      <w:r>
        <w:rPr>
          <w:spacing w:val="-2"/>
        </w:rPr>
        <w:t>万元，博通思创作为有限合伙人认缴出资</w:t>
      </w:r>
      <w:r>
        <w:rPr>
          <w:spacing w:val="-57"/>
        </w:rPr>
        <w:t> </w:t>
      </w:r>
      <w:r>
        <w:rPr>
          <w:spacing w:val="-57"/>
        </w:rPr>
      </w:r>
      <w:r>
        <w:rPr>
          <w:rFonts w:ascii="Times New Roman" w:hAnsi="Times New Roman" w:cs="Times New Roman" w:eastAsia="Times New Roman" w:hint="default"/>
        </w:rPr>
        <w:t>1.4</w:t>
      </w:r>
      <w:r>
        <w:rPr/>
        <w:t>亿元，上海清科作为普通合伙人认缴出资</w:t>
      </w:r>
      <w:r>
        <w:rPr>
          <w:rFonts w:ascii="Times New Roman" w:hAnsi="Times New Roman" w:cs="Times New Roman" w:eastAsia="Times New Roman" w:hint="default"/>
        </w:rPr>
        <w:t>500</w:t>
      </w:r>
      <w:r>
        <w:rPr/>
        <w:t>万元。截止</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日，本公司尚未出资。 除存在上述承诺事项外，截止</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日，本公司无其他应披露未披露的重大承诺事项。</w:t>
      </w:r>
    </w:p>
    <w:p>
      <w:pPr>
        <w:spacing w:line="240" w:lineRule="auto" w:before="1"/>
        <w:rPr>
          <w:rFonts w:ascii="宋体" w:hAnsi="宋体" w:cs="宋体" w:eastAsia="宋体" w:hint="default"/>
          <w:sz w:val="22"/>
          <w:szCs w:val="22"/>
        </w:rPr>
      </w:pPr>
    </w:p>
    <w:p>
      <w:pPr>
        <w:pStyle w:val="Heading3"/>
        <w:spacing w:line="240" w:lineRule="auto"/>
        <w:ind w:right="1134"/>
        <w:jc w:val="left"/>
        <w:rPr>
          <w:b w:val="0"/>
          <w:bCs w:val="0"/>
        </w:rPr>
      </w:pPr>
      <w:bookmarkStart w:name="2、或有事项" w:id="322"/>
      <w:bookmarkEnd w:id="322"/>
      <w:r>
        <w:rPr>
          <w:b w:val="0"/>
          <w:bCs w:val="0"/>
        </w:rPr>
      </w:r>
      <w:r>
        <w:rPr>
          <w:rFonts w:ascii="Times New Roman" w:hAnsi="Times New Roman" w:cs="Times New Roman" w:eastAsia="Times New Roman" w:hint="default"/>
        </w:rPr>
        <w:t>2</w:t>
      </w:r>
      <w:r>
        <w:rPr/>
        <w:t>、或有事项</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资产负债表日存在的重要或有事项" w:id="323"/>
      <w:bookmarkEnd w:id="323"/>
      <w:r>
        <w:rPr>
          <w:b w:val="0"/>
          <w:bCs w:val="0"/>
        </w:rPr>
      </w:r>
      <w:r>
        <w:rPr/>
        <w:t>（</w:t>
      </w:r>
      <w:r>
        <w:rPr>
          <w:rFonts w:ascii="Times New Roman" w:hAnsi="Times New Roman" w:cs="Times New Roman" w:eastAsia="Times New Roman" w:hint="default"/>
        </w:rPr>
        <w:t>1</w:t>
      </w:r>
      <w:r>
        <w:rPr/>
        <w:t>）资产负债表日存在的重要或有事项</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right="1131" w:firstLine="360"/>
        <w:jc w:val="both"/>
      </w:pPr>
      <w:r>
        <w:rPr/>
        <w:t>本公司因东峡大通（北京）管理咨询有限公司拖欠货款及相应利息而向北京市海淀区人民法院提起诉讼，</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 </w:t>
      </w:r>
      <w:r>
        <w:rPr>
          <w:spacing w:val="-2"/>
        </w:rPr>
        <w:t>日北京市海淀区人民法院向公司出具《诉讼服务告知书》，案件编号为</w:t>
      </w:r>
      <w:r>
        <w:rPr>
          <w:rFonts w:ascii="Times New Roman" w:hAnsi="Times New Roman" w:cs="Times New Roman" w:eastAsia="Times New Roman" w:hint="default"/>
          <w:spacing w:val="-2"/>
        </w:rPr>
        <w:t>2018</w:t>
      </w:r>
      <w:r>
        <w:rPr>
          <w:spacing w:val="-2"/>
        </w:rPr>
        <w:t>海预民字第</w:t>
      </w:r>
      <w:r>
        <w:rPr>
          <w:rFonts w:ascii="Times New Roman" w:hAnsi="Times New Roman" w:cs="Times New Roman" w:eastAsia="Times New Roman" w:hint="default"/>
          <w:spacing w:val="-2"/>
        </w:rPr>
        <w:t>106926</w:t>
      </w:r>
      <w:r>
        <w:rPr>
          <w:spacing w:val="-2"/>
        </w:rPr>
        <w:t>号。截止</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31</w:t>
      </w:r>
      <w:r>
        <w:rPr>
          <w:spacing w:val="-2"/>
        </w:rPr>
        <w:t>日，该</w:t>
      </w:r>
      <w:r>
        <w:rPr>
          <w:spacing w:val="-49"/>
        </w:rPr>
        <w:t> </w:t>
      </w:r>
      <w:r>
        <w:rPr>
          <w:spacing w:val="-49"/>
        </w:rPr>
      </w:r>
      <w:r>
        <w:rPr/>
        <w:t>案件尚未开庭审理。</w:t>
      </w:r>
    </w:p>
    <w:p>
      <w:pPr>
        <w:spacing w:line="240" w:lineRule="auto" w:before="6"/>
        <w:rPr>
          <w:rFonts w:ascii="宋体" w:hAnsi="宋体" w:cs="宋体" w:eastAsia="宋体" w:hint="default"/>
          <w:sz w:val="23"/>
          <w:szCs w:val="23"/>
        </w:rPr>
      </w:pPr>
    </w:p>
    <w:p>
      <w:pPr>
        <w:pStyle w:val="Heading3"/>
        <w:spacing w:line="240" w:lineRule="auto"/>
        <w:ind w:right="1134"/>
        <w:jc w:val="left"/>
        <w:rPr>
          <w:b w:val="0"/>
          <w:bCs w:val="0"/>
        </w:rPr>
      </w:pPr>
      <w:bookmarkStart w:name="（2）公司没有需要披露的重要或有事项，也应予以说明" w:id="324"/>
      <w:bookmarkEnd w:id="324"/>
      <w:r>
        <w:rPr>
          <w:b w:val="0"/>
          <w:bCs w:val="0"/>
        </w:rPr>
      </w:r>
      <w:r>
        <w:rPr/>
        <w:t>（</w:t>
      </w:r>
      <w:r>
        <w:rPr>
          <w:rFonts w:ascii="Times New Roman" w:hAnsi="Times New Roman" w:cs="Times New Roman" w:eastAsia="Times New Roman" w:hint="default"/>
        </w:rPr>
        <w:t>2</w:t>
      </w:r>
      <w:r>
        <w:rPr/>
        <w:t>）公司没有需要披露的重要或有事项，也应予以说明</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t>公司不存在需要披露的重要或有事项。</w:t>
      </w:r>
    </w:p>
    <w:p>
      <w:pPr>
        <w:spacing w:line="240" w:lineRule="auto" w:before="13"/>
        <w:rPr>
          <w:rFonts w:ascii="宋体" w:hAnsi="宋体" w:cs="宋体" w:eastAsia="宋体" w:hint="default"/>
          <w:sz w:val="24"/>
          <w:szCs w:val="24"/>
        </w:rPr>
      </w:pPr>
    </w:p>
    <w:p>
      <w:pPr>
        <w:pStyle w:val="Heading2"/>
        <w:spacing w:line="240" w:lineRule="auto"/>
        <w:ind w:right="1134"/>
        <w:jc w:val="left"/>
        <w:rPr>
          <w:b w:val="0"/>
          <w:bCs w:val="0"/>
        </w:rPr>
      </w:pPr>
      <w:bookmarkStart w:name="十二、资产负债表日后事项" w:id="325"/>
      <w:bookmarkEnd w:id="325"/>
      <w:r>
        <w:rPr>
          <w:b w:val="0"/>
          <w:bCs w:val="0"/>
        </w:rPr>
      </w:r>
      <w:r>
        <w:rPr/>
        <w:t>十二、资产负债表日后事项</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利润分配情况" w:id="326"/>
      <w:bookmarkEnd w:id="326"/>
      <w:r>
        <w:rPr>
          <w:b w:val="0"/>
          <w:bCs w:val="0"/>
        </w:rPr>
      </w:r>
      <w:r>
        <w:rPr>
          <w:rFonts w:ascii="Times New Roman" w:hAnsi="Times New Roman" w:cs="Times New Roman" w:eastAsia="Times New Roman" w:hint="default"/>
        </w:rPr>
        <w:t>1</w:t>
      </w:r>
      <w:r>
        <w:rPr/>
        <w:t>、利润分配情况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4"/>
        <w:gridCol w:w="4585"/>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拟分配的利润或股利</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8,400,000.00</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经审议批准宣告发放的利润或股利</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其他资产负债表日后事项说明" w:id="327"/>
      <w:bookmarkEnd w:id="327"/>
      <w:r>
        <w:rPr>
          <w:b w:val="0"/>
          <w:bCs w:val="0"/>
        </w:rPr>
      </w:r>
      <w:r>
        <w:rPr>
          <w:rFonts w:ascii="Times New Roman" w:hAnsi="Times New Roman" w:cs="Times New Roman" w:eastAsia="Times New Roman" w:hint="default"/>
        </w:rPr>
        <w:t>2</w:t>
      </w:r>
      <w:r>
        <w:rPr/>
        <w:t>、其他资产负债表日后事项说明</w:t>
      </w:r>
      <w:r>
        <w:rPr>
          <w:b w:val="0"/>
          <w:bCs w:val="0"/>
        </w:rPr>
      </w:r>
    </w:p>
    <w:p>
      <w:pPr>
        <w:spacing w:line="240" w:lineRule="auto" w:before="7"/>
        <w:rPr>
          <w:rFonts w:ascii="宋体" w:hAnsi="宋体" w:cs="宋体" w:eastAsia="宋体" w:hint="default"/>
          <w:b/>
          <w:bCs/>
          <w:sz w:val="26"/>
          <w:szCs w:val="26"/>
        </w:rPr>
      </w:pPr>
    </w:p>
    <w:p>
      <w:pPr>
        <w:pStyle w:val="BodyText"/>
        <w:spacing w:line="300" w:lineRule="auto"/>
        <w:ind w:right="1139" w:firstLine="360"/>
        <w:jc w:val="both"/>
      </w:pPr>
      <w:r>
        <w:rPr/>
        <w:t>根据</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26</w:t>
      </w:r>
      <w:r>
        <w:rPr/>
        <w:t>日第三届董事会第九次会议决议，本公司拟以总股本</w:t>
      </w:r>
      <w:r>
        <w:rPr>
          <w:rFonts w:ascii="Times New Roman" w:hAnsi="Times New Roman" w:cs="Times New Roman" w:eastAsia="Times New Roman" w:hint="default"/>
        </w:rPr>
        <w:t>280,000,000</w:t>
      </w:r>
      <w:r>
        <w:rPr/>
        <w:t>股为基数，向全体股东每</w:t>
      </w:r>
      <w:r>
        <w:rPr>
          <w:rFonts w:ascii="Times New Roman" w:hAnsi="Times New Roman" w:cs="Times New Roman" w:eastAsia="Times New Roman" w:hint="default"/>
        </w:rPr>
        <w:t>10</w:t>
      </w:r>
      <w:r>
        <w:rPr/>
        <w:t>股分配现 金股利</w:t>
      </w:r>
      <w:r>
        <w:rPr>
          <w:rFonts w:ascii="Times New Roman" w:hAnsi="Times New Roman" w:cs="Times New Roman" w:eastAsia="Times New Roman" w:hint="default"/>
        </w:rPr>
        <w:t>0.30</w:t>
      </w:r>
      <w:r>
        <w:rPr/>
        <w:t>元（含税），共分配现金股利</w:t>
      </w:r>
      <w:r>
        <w:rPr>
          <w:rFonts w:ascii="Times New Roman" w:hAnsi="Times New Roman" w:cs="Times New Roman" w:eastAsia="Times New Roman" w:hint="default"/>
        </w:rPr>
        <w:t>840.00</w:t>
      </w:r>
      <w:r>
        <w:rPr/>
        <w:t>万元。该提案尚需提交股东大会审议。</w:t>
      </w:r>
    </w:p>
    <w:p>
      <w:pPr>
        <w:pStyle w:val="BodyText"/>
        <w:spacing w:line="300" w:lineRule="auto" w:before="13"/>
        <w:ind w:right="1132" w:firstLine="360"/>
        <w:jc w:val="both"/>
      </w:pPr>
      <w:r>
        <w:rPr/>
        <w:t>本公司于</w:t>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27</w:t>
      </w:r>
      <w:r>
        <w:rPr/>
        <w:t>日召开第三届董事会第八次会议审议通过了《关于向公司参股子公司提供财务资助的议案》，同 </w:t>
      </w:r>
      <w:r>
        <w:rPr>
          <w:spacing w:val="-2"/>
        </w:rPr>
        <w:t>意公司向持股</w:t>
      </w:r>
      <w:r>
        <w:rPr>
          <w:rFonts w:ascii="Times New Roman" w:hAnsi="Times New Roman" w:cs="Times New Roman" w:eastAsia="Times New Roman" w:hint="default"/>
          <w:spacing w:val="-2"/>
        </w:rPr>
        <w:t>20%</w:t>
      </w:r>
      <w:r>
        <w:rPr>
          <w:spacing w:val="-2"/>
        </w:rPr>
        <w:t>的参股公司中世顺科技（北京）股份有限公司（以下简称</w:t>
      </w:r>
      <w:r>
        <w:rPr>
          <w:rFonts w:ascii="Times New Roman" w:hAnsi="Times New Roman" w:cs="Times New Roman" w:eastAsia="Times New Roman" w:hint="default"/>
          <w:spacing w:val="-2"/>
        </w:rPr>
        <w:t>“</w:t>
      </w:r>
      <w:r>
        <w:rPr>
          <w:spacing w:val="-2"/>
        </w:rPr>
        <w:t>中世顺</w:t>
      </w:r>
      <w:r>
        <w:rPr>
          <w:rFonts w:ascii="Times New Roman" w:hAnsi="Times New Roman" w:cs="Times New Roman" w:eastAsia="Times New Roman" w:hint="default"/>
          <w:spacing w:val="-2"/>
        </w:rPr>
        <w:t>”</w:t>
      </w:r>
      <w:r>
        <w:rPr>
          <w:spacing w:val="-2"/>
        </w:rPr>
        <w:t>）提供人民币</w:t>
      </w:r>
      <w:r>
        <w:rPr>
          <w:rFonts w:ascii="Times New Roman" w:hAnsi="Times New Roman" w:cs="Times New Roman" w:eastAsia="Times New Roman" w:hint="default"/>
          <w:spacing w:val="-2"/>
        </w:rPr>
        <w:t>2,000</w:t>
      </w:r>
      <w:r>
        <w:rPr>
          <w:spacing w:val="-2"/>
        </w:rPr>
        <w:t>万元的财务资助，资</w:t>
      </w:r>
      <w:r>
        <w:rPr>
          <w:spacing w:val="-54"/>
        </w:rPr>
        <w:t> </w:t>
      </w:r>
      <w:r>
        <w:rPr>
          <w:spacing w:val="-54"/>
        </w:rPr>
      </w:r>
      <w:r>
        <w:rPr/>
        <w:t>助期限为</w:t>
      </w:r>
      <w:r>
        <w:rPr>
          <w:rFonts w:ascii="Times New Roman" w:hAnsi="Times New Roman" w:cs="Times New Roman" w:eastAsia="Times New Roman" w:hint="default"/>
        </w:rPr>
        <w:t>9</w:t>
      </w:r>
      <w:r>
        <w:rPr/>
        <w:t>个月，中世顺按照</w:t>
      </w:r>
      <w:r>
        <w:rPr>
          <w:rFonts w:ascii="Times New Roman" w:hAnsi="Times New Roman" w:cs="Times New Roman" w:eastAsia="Times New Roman" w:hint="default"/>
        </w:rPr>
        <w:t>6%</w:t>
      </w:r>
      <w:r>
        <w:rPr/>
        <w:t>的年利率向公司支付资金占用费。</w:t>
      </w:r>
    </w:p>
    <w:p>
      <w:pPr>
        <w:spacing w:after="0" w:line="300" w:lineRule="auto"/>
        <w:jc w:val="both"/>
        <w:sectPr>
          <w:pgSz w:w="11910" w:h="16840"/>
          <w:pgMar w:header="747" w:footer="979" w:top="1060" w:bottom="1160" w:left="980" w:right="0"/>
        </w:sectPr>
      </w:pPr>
    </w:p>
    <w:p>
      <w:pPr>
        <w:spacing w:line="240" w:lineRule="auto" w:before="12"/>
        <w:rPr>
          <w:rFonts w:ascii="宋体" w:hAnsi="宋体" w:cs="宋体" w:eastAsia="宋体" w:hint="default"/>
          <w:sz w:val="25"/>
          <w:szCs w:val="25"/>
        </w:rPr>
      </w:pPr>
    </w:p>
    <w:p>
      <w:pPr>
        <w:pStyle w:val="BodyText"/>
        <w:spacing w:line="316" w:lineRule="auto" w:before="44"/>
        <w:ind w:right="1118" w:firstLine="360"/>
        <w:jc w:val="left"/>
      </w:pPr>
      <w:r>
        <w:rPr>
          <w:spacing w:val="-2"/>
        </w:rPr>
        <w:t>除存在上述资产负债表日后事项外，截至本财务报告批准报出日止，本公司无其他应披露未披露的重大资产负债表日后</w:t>
      </w:r>
      <w:r>
        <w:rPr/>
        <w:t> 事项。</w:t>
      </w:r>
    </w:p>
    <w:p>
      <w:pPr>
        <w:spacing w:line="240" w:lineRule="auto" w:before="10"/>
        <w:rPr>
          <w:rFonts w:ascii="宋体" w:hAnsi="宋体" w:cs="宋体" w:eastAsia="宋体" w:hint="default"/>
          <w:sz w:val="20"/>
          <w:szCs w:val="20"/>
        </w:rPr>
      </w:pPr>
    </w:p>
    <w:p>
      <w:pPr>
        <w:pStyle w:val="Heading2"/>
        <w:spacing w:line="240" w:lineRule="auto"/>
        <w:ind w:right="1134"/>
        <w:jc w:val="left"/>
        <w:rPr>
          <w:b w:val="0"/>
          <w:bCs w:val="0"/>
        </w:rPr>
      </w:pPr>
      <w:bookmarkStart w:name="十三、其他重要事项" w:id="328"/>
      <w:bookmarkEnd w:id="328"/>
      <w:r>
        <w:rPr>
          <w:b w:val="0"/>
          <w:bCs w:val="0"/>
        </w:rPr>
      </w:r>
      <w:r>
        <w:rPr/>
        <w:t>十三、其他重要事项</w:t>
      </w:r>
      <w:r>
        <w:rPr>
          <w:b w:val="0"/>
          <w:bCs w:val="0"/>
        </w:rPr>
      </w:r>
    </w:p>
    <w:p>
      <w:pPr>
        <w:spacing w:line="240" w:lineRule="auto" w:before="9"/>
        <w:rPr>
          <w:rFonts w:ascii="宋体" w:hAnsi="宋体" w:cs="宋体" w:eastAsia="宋体" w:hint="default"/>
          <w:b/>
          <w:bCs/>
          <w:sz w:val="24"/>
          <w:szCs w:val="24"/>
        </w:rPr>
      </w:pPr>
    </w:p>
    <w:p>
      <w:pPr>
        <w:pStyle w:val="Heading3"/>
        <w:spacing w:line="240" w:lineRule="auto"/>
        <w:ind w:right="1134"/>
        <w:jc w:val="left"/>
        <w:rPr>
          <w:b w:val="0"/>
          <w:bCs w:val="0"/>
        </w:rPr>
      </w:pPr>
      <w:bookmarkStart w:name="1、其他" w:id="329"/>
      <w:bookmarkEnd w:id="329"/>
      <w:r>
        <w:rPr>
          <w:b w:val="0"/>
          <w:bCs w:val="0"/>
        </w:rPr>
      </w:r>
      <w:r>
        <w:rPr>
          <w:rFonts w:ascii="Times New Roman" w:hAnsi="Times New Roman" w:cs="Times New Roman" w:eastAsia="Times New Roman" w:hint="default"/>
        </w:rPr>
        <w:t>1</w:t>
      </w:r>
      <w:r>
        <w:rPr/>
        <w:t>、其他</w:t>
      </w:r>
      <w:r>
        <w:rPr>
          <w:b w:val="0"/>
          <w:bCs w:val="0"/>
        </w:rPr>
      </w:r>
    </w:p>
    <w:p>
      <w:pPr>
        <w:spacing w:line="240" w:lineRule="auto" w:before="7"/>
        <w:rPr>
          <w:rFonts w:ascii="宋体" w:hAnsi="宋体" w:cs="宋体" w:eastAsia="宋体" w:hint="default"/>
          <w:b/>
          <w:bCs/>
          <w:sz w:val="26"/>
          <w:szCs w:val="26"/>
        </w:rPr>
      </w:pPr>
    </w:p>
    <w:p>
      <w:pPr>
        <w:pStyle w:val="Heading4"/>
        <w:spacing w:line="240" w:lineRule="auto"/>
        <w:ind w:right="1134"/>
        <w:jc w:val="left"/>
        <w:rPr>
          <w:b w:val="0"/>
          <w:bCs w:val="0"/>
        </w:rPr>
      </w:pPr>
      <w:r>
        <w:rPr/>
        <w:t>（一）重大资产重组事项</w:t>
      </w:r>
      <w:r>
        <w:rPr>
          <w:b w:val="0"/>
          <w:bCs w:val="0"/>
        </w:rPr>
      </w:r>
    </w:p>
    <w:p>
      <w:pPr>
        <w:pStyle w:val="BodyText"/>
        <w:spacing w:line="309" w:lineRule="auto" w:before="76"/>
        <w:ind w:right="0" w:firstLine="433"/>
        <w:jc w:val="left"/>
      </w:pP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11</w:t>
      </w:r>
      <w:r>
        <w:rPr>
          <w:spacing w:val="-2"/>
        </w:rPr>
        <w:t>日，本公司发布重大资产重组停牌公告，确定公司筹划重大事项为重大资产重组事项。</w:t>
      </w:r>
      <w:r>
        <w:rPr>
          <w:rFonts w:ascii="Times New Roman" w:hAnsi="Times New Roman" w:cs="Times New Roman" w:eastAsia="Times New Roman" w:hint="default"/>
          <w:spacing w:val="-2"/>
        </w:rPr>
        <w:t>2018</w:t>
      </w:r>
      <w:r>
        <w:rPr>
          <w:spacing w:val="-2"/>
        </w:rPr>
        <w:t>年</w:t>
      </w:r>
      <w:r>
        <w:rPr>
          <w:rFonts w:ascii="Times New Roman" w:hAnsi="Times New Roman" w:cs="Times New Roman" w:eastAsia="Times New Roman" w:hint="default"/>
          <w:spacing w:val="-2"/>
        </w:rPr>
        <w:t>12</w:t>
      </w:r>
      <w:r>
        <w:rPr>
          <w:spacing w:val="-2"/>
        </w:rPr>
        <w:t>月</w:t>
      </w:r>
      <w:r>
        <w:rPr>
          <w:rFonts w:ascii="Times New Roman" w:hAnsi="Times New Roman" w:cs="Times New Roman" w:eastAsia="Times New Roman" w:hint="default"/>
          <w:spacing w:val="-2"/>
        </w:rPr>
        <w:t>13</w:t>
      </w:r>
      <w:r>
        <w:rPr>
          <w:spacing w:val="-2"/>
        </w:rPr>
        <w:t>日，</w:t>
      </w:r>
      <w:r>
        <w:rPr/>
        <w:t> </w:t>
      </w:r>
      <w:r>
        <w:rPr>
          <w:spacing w:val="-2"/>
        </w:rPr>
        <w:t>公司召开第三届第四次董事会议，审议通过了《深圳市优博讯科技股份有限公司发行股份及支付现金购买资产并募集配套资</w:t>
      </w:r>
      <w:r>
        <w:rPr>
          <w:spacing w:val="-64"/>
        </w:rPr>
        <w:t> </w:t>
      </w:r>
      <w:r>
        <w:rPr>
          <w:spacing w:val="-64"/>
        </w:rPr>
      </w:r>
      <w:r>
        <w:rPr/>
        <w:t>金暨关联交易预案》等与本次重大资产重组事项相关的议案。截止至报告日，该重大资产重组尚在进行中。</w:t>
      </w:r>
    </w:p>
    <w:p>
      <w:pPr>
        <w:pStyle w:val="BodyText"/>
        <w:spacing w:line="316" w:lineRule="auto" w:before="24"/>
        <w:ind w:left="514" w:right="0" w:firstLine="1"/>
        <w:jc w:val="left"/>
      </w:pPr>
      <w:r>
        <w:rPr>
          <w:rFonts w:ascii="宋体" w:hAnsi="宋体" w:cs="宋体" w:eastAsia="宋体" w:hint="default"/>
          <w:b/>
          <w:bCs/>
        </w:rPr>
        <w:t>（二）股份质押事项</w:t>
      </w:r>
      <w:r>
        <w:rPr>
          <w:rFonts w:ascii="宋体" w:hAnsi="宋体" w:cs="宋体" w:eastAsia="宋体" w:hint="default"/>
          <w:b/>
          <w:bCs/>
          <w:w w:val="99"/>
        </w:rPr>
        <w:t> </w:t>
      </w:r>
      <w:r>
        <w:rPr>
          <w:spacing w:val="-1"/>
        </w:rPr>
        <w:t>截止</w:t>
      </w:r>
      <w:r>
        <w:rPr>
          <w:rFonts w:ascii="Times New Roman" w:hAnsi="Times New Roman" w:cs="Times New Roman" w:eastAsia="Times New Roman" w:hint="default"/>
          <w:spacing w:val="-1"/>
        </w:rPr>
        <w:t>2018</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w:t>
      </w:r>
      <w:r>
        <w:rPr>
          <w:rFonts w:ascii="Times New Roman" w:hAnsi="Times New Roman" w:cs="Times New Roman" w:eastAsia="Times New Roman" w:hint="default"/>
          <w:spacing w:val="-1"/>
        </w:rPr>
        <w:t>,</w:t>
      </w:r>
      <w:r>
        <w:rPr>
          <w:spacing w:val="-1"/>
        </w:rPr>
        <w:t>本公司之股东深圳市中洲创业投资有限公司持有本公司限售流通股</w:t>
      </w:r>
      <w:r>
        <w:rPr>
          <w:rFonts w:ascii="Times New Roman" w:hAnsi="Times New Roman" w:cs="Times New Roman" w:eastAsia="Times New Roman" w:hint="default"/>
          <w:spacing w:val="-1"/>
        </w:rPr>
        <w:t>17,170,000</w:t>
      </w:r>
      <w:r>
        <w:rPr>
          <w:spacing w:val="-1"/>
        </w:rPr>
        <w:t>股，占本公司总股本</w:t>
      </w:r>
    </w:p>
    <w:p>
      <w:pPr>
        <w:pStyle w:val="BodyText"/>
        <w:spacing w:line="300" w:lineRule="auto"/>
        <w:ind w:left="514" w:right="1167" w:hanging="360"/>
        <w:jc w:val="left"/>
      </w:pPr>
      <w:r>
        <w:rPr/>
        <w:t>的</w:t>
      </w:r>
      <w:r>
        <w:rPr>
          <w:rFonts w:ascii="Times New Roman" w:hAnsi="Times New Roman" w:cs="Times New Roman" w:eastAsia="Times New Roman" w:hint="default"/>
        </w:rPr>
        <w:t>6.13%</w:t>
      </w:r>
      <w:r>
        <w:rPr/>
        <w:t>。深圳市中洲创业投资有限公司共质押其持有的本公司股份</w:t>
      </w:r>
      <w:r>
        <w:rPr>
          <w:rFonts w:ascii="Times New Roman" w:hAnsi="Times New Roman" w:cs="Times New Roman" w:eastAsia="Times New Roman" w:hint="default"/>
        </w:rPr>
        <w:t>17,150,000</w:t>
      </w:r>
      <w:r>
        <w:rPr/>
        <w:t>股，占本公司总股本的</w:t>
      </w:r>
      <w:r>
        <w:rPr>
          <w:rFonts w:ascii="Times New Roman" w:hAnsi="Times New Roman" w:cs="Times New Roman" w:eastAsia="Times New Roman" w:hint="default"/>
        </w:rPr>
        <w:t>6.13%</w:t>
      </w:r>
      <w:r>
        <w:rPr/>
        <w:t>。 截止</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w:t>
      </w:r>
      <w:r>
        <w:rPr>
          <w:rFonts w:ascii="Times New Roman" w:hAnsi="Times New Roman" w:cs="Times New Roman" w:eastAsia="Times New Roman" w:hint="default"/>
        </w:rPr>
        <w:t>,</w:t>
      </w:r>
      <w:r>
        <w:rPr/>
        <w:t>本公司之股东香港优博讯科技控股集团有限公司持有本公司限售流通股</w:t>
      </w:r>
      <w:r>
        <w:rPr>
          <w:rFonts w:ascii="Times New Roman" w:hAnsi="Times New Roman" w:cs="Times New Roman" w:eastAsia="Times New Roman" w:hint="default"/>
        </w:rPr>
        <w:t>140,049,000</w:t>
      </w:r>
      <w:r>
        <w:rPr/>
        <w:t>股，占本公司</w:t>
      </w:r>
    </w:p>
    <w:p>
      <w:pPr>
        <w:pStyle w:val="BodyText"/>
        <w:spacing w:line="300" w:lineRule="auto" w:before="13"/>
        <w:ind w:left="514" w:right="1182" w:hanging="360"/>
        <w:jc w:val="left"/>
      </w:pPr>
      <w:r>
        <w:rPr/>
        <w:t>总股本的</w:t>
      </w:r>
      <w:r>
        <w:rPr>
          <w:rFonts w:ascii="Times New Roman" w:hAnsi="Times New Roman" w:cs="Times New Roman" w:eastAsia="Times New Roman" w:hint="default"/>
        </w:rPr>
        <w:t>50.02%</w:t>
      </w:r>
      <w:r>
        <w:rPr/>
        <w:t>。香港优博讯科技控股集团有限公司共质押其持有的本公司股份</w:t>
      </w:r>
      <w:r>
        <w:rPr>
          <w:rFonts w:ascii="Times New Roman" w:hAnsi="Times New Roman" w:cs="Times New Roman" w:eastAsia="Times New Roman" w:hint="default"/>
        </w:rPr>
        <w:t>23,000,000</w:t>
      </w:r>
      <w:r>
        <w:rPr/>
        <w:t>股，占本公司总股本的</w:t>
      </w:r>
      <w:r>
        <w:rPr>
          <w:rFonts w:ascii="Times New Roman" w:hAnsi="Times New Roman" w:cs="Times New Roman" w:eastAsia="Times New Roman" w:hint="default"/>
        </w:rPr>
        <w:t>8.21%</w:t>
      </w:r>
      <w:r>
        <w:rPr/>
        <w:t>。 截止</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w:t>
      </w:r>
      <w:r>
        <w:rPr>
          <w:rFonts w:ascii="Times New Roman" w:hAnsi="Times New Roman" w:cs="Times New Roman" w:eastAsia="Times New Roman" w:hint="default"/>
        </w:rPr>
        <w:t>,</w:t>
      </w:r>
      <w:r>
        <w:rPr/>
        <w:t>本公司之股东深圳市博讯投资有限公司持有本公司限售流通股</w:t>
      </w:r>
      <w:r>
        <w:rPr>
          <w:rFonts w:ascii="Times New Roman" w:hAnsi="Times New Roman" w:cs="Times New Roman" w:eastAsia="Times New Roman" w:hint="default"/>
        </w:rPr>
        <w:t>17,955,000</w:t>
      </w:r>
      <w:r>
        <w:rPr/>
        <w:t>股，占本公司总股本的</w:t>
      </w:r>
    </w:p>
    <w:p>
      <w:pPr>
        <w:pStyle w:val="BodyText"/>
        <w:spacing w:line="240" w:lineRule="auto" w:before="13"/>
        <w:ind w:right="1134"/>
        <w:jc w:val="left"/>
      </w:pPr>
      <w:r>
        <w:rPr>
          <w:rFonts w:ascii="Times New Roman" w:hAnsi="Times New Roman" w:cs="Times New Roman" w:eastAsia="Times New Roman" w:hint="default"/>
        </w:rPr>
        <w:t>6.41%</w:t>
      </w:r>
      <w:r>
        <w:rPr/>
        <w:t>。深圳市博讯投资有限公司共质押其持有的本公司股份</w:t>
      </w:r>
      <w:r>
        <w:rPr>
          <w:rFonts w:ascii="Times New Roman" w:hAnsi="Times New Roman" w:cs="Times New Roman" w:eastAsia="Times New Roman" w:hint="default"/>
        </w:rPr>
        <w:t>7,425,000</w:t>
      </w:r>
      <w:r>
        <w:rPr/>
        <w:t>股，占本公司总股本的</w:t>
      </w:r>
      <w:r>
        <w:rPr>
          <w:rFonts w:ascii="Times New Roman" w:hAnsi="Times New Roman" w:cs="Times New Roman" w:eastAsia="Times New Roman" w:hint="default"/>
        </w:rPr>
        <w:t>2.65%</w:t>
      </w:r>
      <w:r>
        <w:rPr/>
        <w:t>。</w:t>
      </w:r>
    </w:p>
    <w:p>
      <w:pPr>
        <w:spacing w:line="240" w:lineRule="auto" w:before="1"/>
        <w:rPr>
          <w:rFonts w:ascii="宋体" w:hAnsi="宋体" w:cs="宋体" w:eastAsia="宋体" w:hint="default"/>
          <w:sz w:val="24"/>
          <w:szCs w:val="24"/>
        </w:rPr>
      </w:pPr>
    </w:p>
    <w:p>
      <w:pPr>
        <w:pStyle w:val="Heading2"/>
        <w:spacing w:line="240" w:lineRule="auto"/>
        <w:ind w:right="1134"/>
        <w:jc w:val="left"/>
        <w:rPr>
          <w:b w:val="0"/>
          <w:bCs w:val="0"/>
        </w:rPr>
      </w:pPr>
      <w:bookmarkStart w:name="十四、母公司财务报表主要项目注释" w:id="330"/>
      <w:bookmarkEnd w:id="330"/>
      <w:r>
        <w:rPr>
          <w:b w:val="0"/>
          <w:bCs w:val="0"/>
        </w:rPr>
      </w:r>
      <w:r>
        <w:rPr/>
        <w:t>十四、母公司财务报表主要项目注释</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应收票据及应收账款" w:id="331"/>
      <w:bookmarkEnd w:id="331"/>
      <w:r>
        <w:rPr>
          <w:b w:val="0"/>
          <w:bCs w:val="0"/>
        </w:rPr>
      </w:r>
      <w:r>
        <w:rPr>
          <w:rFonts w:ascii="Times New Roman" w:hAnsi="Times New Roman" w:cs="Times New Roman" w:eastAsia="Times New Roman" w:hint="default"/>
        </w:rPr>
        <w:t>1</w:t>
      </w:r>
      <w:r>
        <w:rPr/>
        <w:t>、应收票据及应收账款</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40,987,297.99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12,360,475.10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260,618,824.06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163,941,375.62</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301,606,122.05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176,301,850.72</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1）应收票据" w:id="332"/>
      <w:bookmarkEnd w:id="332"/>
      <w:r>
        <w:rPr>
          <w:b w:val="0"/>
          <w:bCs w:val="0"/>
        </w:rPr>
      </w:r>
      <w:r>
        <w:rPr/>
        <w:t>（</w:t>
      </w:r>
      <w:r>
        <w:rPr>
          <w:rFonts w:ascii="Times New Roman" w:hAnsi="Times New Roman" w:cs="Times New Roman" w:eastAsia="Times New Roman" w:hint="default"/>
        </w:rPr>
        <w:t>1</w:t>
      </w:r>
      <w:r>
        <w:rPr/>
        <w:t>）应收票据</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1134"/>
        <w:jc w:val="left"/>
      </w:pPr>
      <w:r>
        <w:rPr>
          <w:rFonts w:ascii="Times New Roman" w:hAnsi="Times New Roman" w:cs="Times New Roman" w:eastAsia="Times New Roman" w:hint="default"/>
        </w:rPr>
        <w:t>1)</w:t>
      </w:r>
      <w:r>
        <w:rPr/>
        <w:t>应收票据分类列示</w:t>
      </w:r>
    </w:p>
    <w:p>
      <w:pPr>
        <w:pStyle w:val="BodyText"/>
        <w:spacing w:line="240" w:lineRule="auto" w:before="102"/>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40,718,048.00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12,360,475.10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商业承兑票据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269,249.99</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40,987,297.99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12,360,475.10</w:t>
            </w:r>
          </w:p>
        </w:tc>
      </w:tr>
    </w:tbl>
    <w:p>
      <w:pPr>
        <w:pStyle w:val="BodyText"/>
        <w:spacing w:line="240" w:lineRule="auto" w:before="51"/>
        <w:ind w:right="1134"/>
        <w:jc w:val="left"/>
      </w:pPr>
      <w:r>
        <w:rPr>
          <w:rFonts w:ascii="Times New Roman" w:hAnsi="Times New Roman" w:cs="Times New Roman" w:eastAsia="Times New Roman" w:hint="default"/>
        </w:rPr>
        <w:t>2)</w:t>
      </w:r>
      <w:r>
        <w:rPr/>
        <w:t>期末公司已质押的应收票据</w:t>
      </w:r>
    </w:p>
    <w:p>
      <w:pPr>
        <w:pStyle w:val="BodyText"/>
        <w:spacing w:line="240" w:lineRule="auto" w:before="10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4762"/>
        <w:gridCol w:w="4796"/>
      </w:tblGrid>
      <w:tr>
        <w:trPr>
          <w:trHeight w:val="402"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center"/>
              <w:rPr>
                <w:rFonts w:ascii="宋体" w:hAnsi="宋体" w:cs="宋体" w:eastAsia="宋体" w:hint="default"/>
                <w:sz w:val="18"/>
                <w:szCs w:val="18"/>
              </w:rPr>
            </w:pPr>
            <w:r>
              <w:rPr>
                <w:rFonts w:ascii="宋体" w:hAnsi="宋体" w:cs="宋体" w:eastAsia="宋体" w:hint="default"/>
                <w:sz w:val="18"/>
                <w:szCs w:val="18"/>
              </w:rPr>
              <w:t>期末已质押金额</w:t>
            </w:r>
          </w:p>
        </w:tc>
      </w:tr>
      <w:tr>
        <w:trPr>
          <w:trHeight w:val="402" w:hRule="exact"/>
        </w:trPr>
        <w:tc>
          <w:tcPr>
            <w:tcW w:w="4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4796"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36,718,048.00</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36,718,048.00</w:t>
            </w:r>
          </w:p>
        </w:tc>
      </w:tr>
    </w:tbl>
    <w:p>
      <w:pPr>
        <w:pStyle w:val="BodyText"/>
        <w:spacing w:line="240" w:lineRule="auto" w:before="51"/>
        <w:ind w:right="1134"/>
        <w:jc w:val="left"/>
      </w:pPr>
      <w:r>
        <w:rPr>
          <w:rFonts w:ascii="Times New Roman" w:hAnsi="Times New Roman" w:cs="Times New Roman" w:eastAsia="Times New Roman" w:hint="default"/>
        </w:rPr>
        <w:t>3)</w:t>
      </w:r>
      <w:r>
        <w:rPr/>
        <w:t>期末公司已背书或贴现且在资产负债表日尚未到期的应收票据</w:t>
      </w:r>
    </w:p>
    <w:p>
      <w:pPr>
        <w:pStyle w:val="BodyText"/>
        <w:spacing w:line="240" w:lineRule="auto" w:before="103"/>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882"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780"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银行承兑票据</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37,129,887.58</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37,129,887.58</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应收账款" w:id="333"/>
      <w:bookmarkEnd w:id="333"/>
      <w:r>
        <w:rPr>
          <w:b w:val="0"/>
          <w:bCs w:val="0"/>
        </w:rPr>
      </w:r>
      <w:r>
        <w:rPr/>
        <w:t>（</w:t>
      </w:r>
      <w:r>
        <w:rPr>
          <w:rFonts w:ascii="Times New Roman" w:hAnsi="Times New Roman" w:cs="Times New Roman" w:eastAsia="Times New Roman" w:hint="default"/>
        </w:rPr>
        <w:t>2</w:t>
      </w:r>
      <w:r>
        <w:rPr/>
        <w:t>）应收账款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1134"/>
        <w:jc w:val="left"/>
      </w:pPr>
      <w:r>
        <w:rPr>
          <w:rFonts w:ascii="Times New Roman" w:hAnsi="Times New Roman" w:cs="Times New Roman" w:eastAsia="Times New Roman" w:hint="default"/>
        </w:rPr>
        <w:t>1)</w:t>
      </w:r>
      <w:r>
        <w:rPr/>
        <w:t>应收账款分类披露</w:t>
      </w:r>
    </w:p>
    <w:p>
      <w:pPr>
        <w:pStyle w:val="BodyText"/>
        <w:spacing w:line="240" w:lineRule="auto" w:before="102"/>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3"/>
        <w:gridCol w:w="932"/>
        <w:gridCol w:w="932"/>
      </w:tblGrid>
      <w:tr>
        <w:trPr>
          <w:trHeight w:val="403" w:hRule="exact"/>
        </w:trPr>
        <w:tc>
          <w:tcPr>
            <w:tcW w:w="1635"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1" w:hRule="exact"/>
        </w:trPr>
        <w:tc>
          <w:tcPr>
            <w:tcW w:w="1635"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35"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9" w:hRule="exact"/>
        </w:trPr>
        <w:tc>
          <w:tcPr>
            <w:tcW w:w="1635"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3" w:hRule="exact"/>
        </w:trPr>
        <w:tc>
          <w:tcPr>
            <w:tcW w:w="1635"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8"/>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8"/>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8"/>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4"/>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635"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160"/>
              <w:jc w:val="both"/>
              <w:rPr>
                <w:rFonts w:ascii="宋体" w:hAnsi="宋体" w:cs="宋体" w:eastAsia="宋体" w:hint="default"/>
                <w:sz w:val="18"/>
                <w:szCs w:val="18"/>
              </w:rPr>
            </w:pPr>
            <w:r>
              <w:rPr>
                <w:rFonts w:ascii="宋体" w:hAnsi="宋体" w:cs="宋体" w:eastAsia="宋体" w:hint="default"/>
                <w:sz w:val="18"/>
                <w:szCs w:val="18"/>
              </w:rPr>
              <w:t>单项金额重大并单 独计提坏账准备的 应收账款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7" w:right="0"/>
              <w:jc w:val="left"/>
              <w:rPr>
                <w:rFonts w:ascii="Times New Roman" w:hAnsi="Times New Roman" w:cs="Times New Roman" w:eastAsia="Times New Roman" w:hint="default"/>
                <w:sz w:val="18"/>
                <w:szCs w:val="18"/>
              </w:rPr>
            </w:pPr>
            <w:r>
              <w:rPr>
                <w:rFonts w:ascii="Times New Roman"/>
                <w:sz w:val="18"/>
              </w:rPr>
              <w:t>5,122,49</w:t>
            </w:r>
          </w:p>
          <w:p>
            <w:pPr>
              <w:pStyle w:val="TableParagraph"/>
              <w:spacing w:line="240" w:lineRule="auto" w:before="105"/>
              <w:ind w:left="403" w:right="0"/>
              <w:jc w:val="left"/>
              <w:rPr>
                <w:rFonts w:ascii="Times New Roman" w:hAnsi="Times New Roman" w:cs="Times New Roman" w:eastAsia="Times New Roman" w:hint="default"/>
                <w:sz w:val="18"/>
                <w:szCs w:val="18"/>
              </w:rPr>
            </w:pPr>
            <w:r>
              <w:rPr>
                <w:rFonts w:ascii="Times New Roman"/>
                <w:sz w:val="18"/>
              </w:rPr>
              <w:t>9.04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1.82%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5,122,49</w:t>
            </w:r>
          </w:p>
          <w:p>
            <w:pPr>
              <w:pStyle w:val="TableParagraph"/>
              <w:spacing w:line="240" w:lineRule="auto" w:before="105"/>
              <w:ind w:left="413" w:right="0"/>
              <w:jc w:val="left"/>
              <w:rPr>
                <w:rFonts w:ascii="Times New Roman" w:hAnsi="Times New Roman" w:cs="Times New Roman" w:eastAsia="Times New Roman" w:hint="default"/>
                <w:sz w:val="18"/>
                <w:szCs w:val="18"/>
              </w:rPr>
            </w:pPr>
            <w:r>
              <w:rPr>
                <w:rFonts w:ascii="Times New Roman"/>
                <w:sz w:val="18"/>
              </w:rPr>
              <w:t>9.04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790"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813"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22"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应收账款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63" w:right="0"/>
              <w:jc w:val="center"/>
              <w:rPr>
                <w:rFonts w:ascii="Times New Roman" w:hAnsi="Times New Roman" w:cs="Times New Roman" w:eastAsia="Times New Roman" w:hint="default"/>
                <w:sz w:val="18"/>
                <w:szCs w:val="18"/>
              </w:rPr>
            </w:pPr>
            <w:r>
              <w:rPr>
                <w:rFonts w:ascii="Times New Roman"/>
                <w:sz w:val="18"/>
              </w:rPr>
              <w:t>276,608,</w:t>
            </w:r>
          </w:p>
          <w:p>
            <w:pPr>
              <w:pStyle w:val="TableParagraph"/>
              <w:spacing w:line="240" w:lineRule="auto" w:before="105"/>
              <w:ind w:left="200" w:right="0"/>
              <w:jc w:val="center"/>
              <w:rPr>
                <w:rFonts w:ascii="Times New Roman" w:hAnsi="Times New Roman" w:cs="Times New Roman" w:eastAsia="Times New Roman" w:hint="default"/>
                <w:sz w:val="18"/>
                <w:szCs w:val="18"/>
              </w:rPr>
            </w:pPr>
            <w:r>
              <w:rPr>
                <w:rFonts w:ascii="Times New Roman"/>
                <w:sz w:val="18"/>
              </w:rPr>
              <w:t>401.72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98.09%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15,989,5</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77.66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5.78%</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260,618,8</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24.06</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174,526</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,277.01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99.64%</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9" w:right="0"/>
              <w:jc w:val="left"/>
              <w:rPr>
                <w:rFonts w:ascii="Times New Roman" w:hAnsi="Times New Roman" w:cs="Times New Roman" w:eastAsia="Times New Roman" w:hint="default"/>
                <w:sz w:val="18"/>
                <w:szCs w:val="18"/>
              </w:rPr>
            </w:pPr>
            <w:r>
              <w:rPr>
                <w:rFonts w:ascii="Times New Roman"/>
                <w:sz w:val="18"/>
              </w:rPr>
              <w:t>10,584,90</w:t>
            </w:r>
          </w:p>
          <w:p>
            <w:pPr>
              <w:pStyle w:val="TableParagraph"/>
              <w:spacing w:line="240" w:lineRule="auto" w:before="105"/>
              <w:ind w:left="465" w:right="0"/>
              <w:jc w:val="left"/>
              <w:rPr>
                <w:rFonts w:ascii="Times New Roman" w:hAnsi="Times New Roman" w:cs="Times New Roman" w:eastAsia="Times New Roman" w:hint="default"/>
                <w:sz w:val="18"/>
                <w:szCs w:val="18"/>
              </w:rPr>
            </w:pPr>
            <w:r>
              <w:rPr>
                <w:rFonts w:ascii="Times New Roman"/>
                <w:sz w:val="18"/>
              </w:rPr>
              <w:t>1.39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6.06%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8" w:right="0"/>
              <w:jc w:val="left"/>
              <w:rPr>
                <w:rFonts w:ascii="Times New Roman" w:hAnsi="Times New Roman" w:cs="Times New Roman" w:eastAsia="Times New Roman" w:hint="default"/>
                <w:sz w:val="18"/>
                <w:szCs w:val="18"/>
              </w:rPr>
            </w:pPr>
            <w:r>
              <w:rPr>
                <w:rFonts w:ascii="Times New Roman"/>
                <w:sz w:val="18"/>
              </w:rPr>
              <w:t>163,941,37</w:t>
            </w:r>
          </w:p>
          <w:p>
            <w:pPr>
              <w:pStyle w:val="TableParagraph"/>
              <w:spacing w:line="240" w:lineRule="auto" w:before="105"/>
              <w:ind w:left="584" w:right="0"/>
              <w:jc w:val="left"/>
              <w:rPr>
                <w:rFonts w:ascii="Times New Roman" w:hAnsi="Times New Roman" w:cs="Times New Roman" w:eastAsia="Times New Roman" w:hint="default"/>
                <w:sz w:val="18"/>
                <w:szCs w:val="18"/>
              </w:rPr>
            </w:pPr>
            <w:r>
              <w:rPr>
                <w:rFonts w:ascii="Times New Roman"/>
                <w:sz w:val="18"/>
              </w:rPr>
              <w:t>5.62</w:t>
            </w: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160"/>
              <w:jc w:val="both"/>
              <w:rPr>
                <w:rFonts w:ascii="宋体" w:hAnsi="宋体" w:cs="宋体" w:eastAsia="宋体" w:hint="default"/>
                <w:sz w:val="18"/>
                <w:szCs w:val="18"/>
              </w:rPr>
            </w:pPr>
            <w:r>
              <w:rPr>
                <w:rFonts w:ascii="宋体" w:hAnsi="宋体" w:cs="宋体" w:eastAsia="宋体" w:hint="default"/>
                <w:sz w:val="18"/>
                <w:szCs w:val="18"/>
              </w:rPr>
              <w:t>单项金额不重大但 单独计提坏账准备 的应收账款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254,000.</w:t>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0.09%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254,000.</w:t>
            </w:r>
          </w:p>
          <w:p>
            <w:pPr>
              <w:pStyle w:val="TableParagraph"/>
              <w:spacing w:line="240" w:lineRule="auto" w:before="105"/>
              <w:ind w:right="22"/>
              <w:jc w:val="right"/>
              <w:rPr>
                <w:rFonts w:ascii="Times New Roman" w:hAnsi="Times New Roman" w:cs="Times New Roman" w:eastAsia="Times New Roman" w:hint="default"/>
                <w:sz w:val="18"/>
                <w:szCs w:val="18"/>
              </w:rPr>
            </w:pPr>
            <w:r>
              <w:rPr>
                <w:rFonts w:ascii="Times New Roman"/>
                <w:sz w:val="18"/>
              </w:rPr>
              <w:t>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42" w:right="0"/>
              <w:jc w:val="left"/>
              <w:rPr>
                <w:rFonts w:ascii="Times New Roman" w:hAnsi="Times New Roman" w:cs="Times New Roman" w:eastAsia="Times New Roman" w:hint="default"/>
                <w:sz w:val="18"/>
                <w:szCs w:val="18"/>
              </w:rPr>
            </w:pPr>
            <w:r>
              <w:rPr>
                <w:rFonts w:ascii="Times New Roman"/>
                <w:sz w:val="18"/>
              </w:rPr>
              <w:t>0.00</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6" w:right="0"/>
              <w:jc w:val="left"/>
              <w:rPr>
                <w:rFonts w:ascii="Times New Roman" w:hAnsi="Times New Roman" w:cs="Times New Roman" w:eastAsia="Times New Roman" w:hint="default"/>
                <w:sz w:val="18"/>
                <w:szCs w:val="18"/>
              </w:rPr>
            </w:pPr>
            <w:r>
              <w:rPr>
                <w:rFonts w:ascii="Times New Roman"/>
                <w:sz w:val="18"/>
              </w:rPr>
              <w:t>633,255</w:t>
            </w:r>
          </w:p>
          <w:p>
            <w:pPr>
              <w:pStyle w:val="TableParagraph"/>
              <w:spacing w:line="240" w:lineRule="auto" w:before="105"/>
              <w:ind w:left="396" w:right="0"/>
              <w:jc w:val="left"/>
              <w:rPr>
                <w:rFonts w:ascii="Times New Roman" w:hAnsi="Times New Roman" w:cs="Times New Roman" w:eastAsia="Times New Roman" w:hint="default"/>
                <w:sz w:val="18"/>
                <w:szCs w:val="18"/>
              </w:rPr>
            </w:pPr>
            <w:r>
              <w:rPr>
                <w:rFonts w:ascii="Times New Roman"/>
                <w:sz w:val="18"/>
              </w:rPr>
              <w:t>.00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0.36%</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633,255.0</w:t>
            </w:r>
          </w:p>
          <w:p>
            <w:pPr>
              <w:pStyle w:val="TableParagraph"/>
              <w:spacing w:line="240" w:lineRule="auto" w:before="105"/>
              <w:ind w:right="20"/>
              <w:jc w:val="right"/>
              <w:rPr>
                <w:rFonts w:ascii="Times New Roman" w:hAnsi="Times New Roman" w:cs="Times New Roman" w:eastAsia="Times New Roman" w:hint="default"/>
                <w:sz w:val="18"/>
                <w:szCs w:val="18"/>
              </w:rPr>
            </w:pPr>
            <w:r>
              <w:rPr>
                <w:rFonts w:ascii="Times New Roman"/>
                <w:sz w:val="18"/>
              </w:rPr>
              <w:t>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100.00%</w:t>
            </w: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62" w:hRule="exact"/>
        </w:trPr>
        <w:tc>
          <w:tcPr>
            <w:tcW w:w="1635"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92"/>
              <w:ind w:left="69" w:right="0"/>
              <w:jc w:val="center"/>
              <w:rPr>
                <w:rFonts w:ascii="Times New Roman" w:hAnsi="Times New Roman" w:cs="Times New Roman" w:eastAsia="Times New Roman" w:hint="default"/>
                <w:sz w:val="18"/>
                <w:szCs w:val="18"/>
              </w:rPr>
            </w:pPr>
            <w:r>
              <w:rPr>
                <w:rFonts w:ascii="Times New Roman"/>
                <w:sz w:val="18"/>
              </w:rPr>
              <w:t>281,984,</w:t>
            </w:r>
          </w:p>
          <w:p>
            <w:pPr>
              <w:pStyle w:val="TableParagraph"/>
              <w:spacing w:line="240" w:lineRule="auto" w:before="105"/>
              <w:ind w:left="205" w:right="0"/>
              <w:jc w:val="center"/>
              <w:rPr>
                <w:rFonts w:ascii="Times New Roman" w:hAnsi="Times New Roman" w:cs="Times New Roman" w:eastAsia="Times New Roman" w:hint="default"/>
                <w:sz w:val="18"/>
                <w:szCs w:val="18"/>
              </w:rPr>
            </w:pPr>
            <w:r>
              <w:rPr>
                <w:rFonts w:ascii="Times New Roman"/>
                <w:sz w:val="18"/>
              </w:rPr>
              <w:t>900.76</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2"/>
              <w:ind w:left="98" w:right="0"/>
              <w:jc w:val="left"/>
              <w:rPr>
                <w:rFonts w:ascii="Times New Roman" w:hAnsi="Times New Roman" w:cs="Times New Roman" w:eastAsia="Times New Roman" w:hint="default"/>
                <w:sz w:val="18"/>
                <w:szCs w:val="18"/>
              </w:rPr>
            </w:pPr>
            <w:r>
              <w:rPr>
                <w:rFonts w:ascii="Times New Roman"/>
                <w:sz w:val="18"/>
              </w:rPr>
              <w:t>21,366,0</w:t>
            </w:r>
          </w:p>
          <w:p>
            <w:pPr>
              <w:pStyle w:val="TableParagraph"/>
              <w:spacing w:line="240" w:lineRule="auto" w:before="105"/>
              <w:ind w:left="323" w:right="0"/>
              <w:jc w:val="left"/>
              <w:rPr>
                <w:rFonts w:ascii="Times New Roman" w:hAnsi="Times New Roman" w:cs="Times New Roman" w:eastAsia="Times New Roman" w:hint="default"/>
                <w:sz w:val="18"/>
                <w:szCs w:val="18"/>
              </w:rPr>
            </w:pPr>
            <w:r>
              <w:rPr>
                <w:rFonts w:ascii="Times New Roman"/>
                <w:sz w:val="18"/>
              </w:rPr>
              <w:t>76.70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7.58%</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2"/>
              <w:ind w:left="37" w:right="0"/>
              <w:jc w:val="left"/>
              <w:rPr>
                <w:rFonts w:ascii="Times New Roman" w:hAnsi="Times New Roman" w:cs="Times New Roman" w:eastAsia="Times New Roman" w:hint="default"/>
                <w:sz w:val="18"/>
                <w:szCs w:val="18"/>
              </w:rPr>
            </w:pPr>
            <w:r>
              <w:rPr>
                <w:rFonts w:ascii="Times New Roman"/>
                <w:sz w:val="18"/>
              </w:rPr>
              <w:t>260,618,8</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24.06</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2"/>
              <w:ind w:left="36" w:right="0"/>
              <w:jc w:val="left"/>
              <w:rPr>
                <w:rFonts w:ascii="Times New Roman" w:hAnsi="Times New Roman" w:cs="Times New Roman" w:eastAsia="Times New Roman" w:hint="default"/>
                <w:sz w:val="18"/>
                <w:szCs w:val="18"/>
              </w:rPr>
            </w:pPr>
            <w:r>
              <w:rPr>
                <w:rFonts w:ascii="Times New Roman"/>
                <w:sz w:val="18"/>
              </w:rPr>
              <w:t>175,159</w:t>
            </w:r>
          </w:p>
          <w:p>
            <w:pPr>
              <w:pStyle w:val="TableParagraph"/>
              <w:spacing w:line="240" w:lineRule="auto" w:before="105"/>
              <w:ind w:left="80" w:right="0"/>
              <w:jc w:val="left"/>
              <w:rPr>
                <w:rFonts w:ascii="Times New Roman" w:hAnsi="Times New Roman" w:cs="Times New Roman" w:eastAsia="Times New Roman" w:hint="default"/>
                <w:sz w:val="18"/>
                <w:szCs w:val="18"/>
              </w:rPr>
            </w:pPr>
            <w:r>
              <w:rPr>
                <w:rFonts w:ascii="Times New Roman"/>
                <w:sz w:val="18"/>
              </w:rPr>
              <w:t>,532.01</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2"/>
              <w:ind w:left="67" w:right="0"/>
              <w:jc w:val="left"/>
              <w:rPr>
                <w:rFonts w:ascii="Times New Roman" w:hAnsi="Times New Roman" w:cs="Times New Roman" w:eastAsia="Times New Roman" w:hint="default"/>
                <w:sz w:val="18"/>
                <w:szCs w:val="18"/>
              </w:rPr>
            </w:pPr>
            <w:r>
              <w:rPr>
                <w:rFonts w:ascii="Times New Roman"/>
                <w:sz w:val="18"/>
              </w:rPr>
              <w:t>11,218,15</w:t>
            </w:r>
          </w:p>
          <w:p>
            <w:pPr>
              <w:pStyle w:val="TableParagraph"/>
              <w:spacing w:line="240" w:lineRule="auto" w:before="105"/>
              <w:ind w:left="465" w:right="0"/>
              <w:jc w:val="left"/>
              <w:rPr>
                <w:rFonts w:ascii="Times New Roman" w:hAnsi="Times New Roman" w:cs="Times New Roman" w:eastAsia="Times New Roman" w:hint="default"/>
                <w:sz w:val="18"/>
                <w:szCs w:val="18"/>
              </w:rPr>
            </w:pPr>
            <w:r>
              <w:rPr>
                <w:rFonts w:ascii="Times New Roman"/>
                <w:sz w:val="18"/>
              </w:rPr>
              <w:t>6.39</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6.40%</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2"/>
              <w:ind w:left="88" w:right="0"/>
              <w:jc w:val="left"/>
              <w:rPr>
                <w:rFonts w:ascii="Times New Roman" w:hAnsi="Times New Roman" w:cs="Times New Roman" w:eastAsia="Times New Roman" w:hint="default"/>
                <w:sz w:val="18"/>
                <w:szCs w:val="18"/>
              </w:rPr>
            </w:pPr>
            <w:r>
              <w:rPr>
                <w:rFonts w:ascii="Times New Roman"/>
                <w:sz w:val="18"/>
              </w:rPr>
              <w:t>163,941,37</w:t>
            </w:r>
          </w:p>
          <w:p>
            <w:pPr>
              <w:pStyle w:val="TableParagraph"/>
              <w:spacing w:line="240" w:lineRule="auto" w:before="105"/>
              <w:ind w:left="584" w:right="0"/>
              <w:jc w:val="left"/>
              <w:rPr>
                <w:rFonts w:ascii="Times New Roman" w:hAnsi="Times New Roman" w:cs="Times New Roman" w:eastAsia="Times New Roman" w:hint="default"/>
                <w:sz w:val="18"/>
                <w:szCs w:val="18"/>
              </w:rPr>
            </w:pPr>
            <w:r>
              <w:rPr>
                <w:rFonts w:ascii="Times New Roman"/>
                <w:sz w:val="18"/>
              </w:rPr>
              <w:t>5.62</w:t>
            </w:r>
          </w:p>
        </w:tc>
      </w:tr>
      <w:tr>
        <w:trPr>
          <w:trHeight w:val="391" w:hRule="exact"/>
        </w:trPr>
        <w:tc>
          <w:tcPr>
            <w:tcW w:w="1635"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2" w:hRule="exact"/>
        </w:trPr>
        <w:tc>
          <w:tcPr>
            <w:tcW w:w="1635"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pStyle w:val="BodyText"/>
        <w:spacing w:line="240" w:lineRule="auto" w:before="51"/>
        <w:ind w:right="-20"/>
        <w:jc w:val="left"/>
      </w:pPr>
      <w:r>
        <w:rPr/>
        <w:t>期末单项金额重大并单项计提坏账准备的应收账款：</w:t>
      </w:r>
    </w:p>
    <w:p>
      <w:pPr>
        <w:pStyle w:val="BodyText"/>
        <w:spacing w:line="240" w:lineRule="auto" w:before="116"/>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060" w:bottom="1160" w:left="980" w:right="0"/>
          <w:cols w:num="2" w:equalWidth="0">
            <w:col w:w="4295" w:space="4535"/>
            <w:col w:w="2100"/>
          </w:cols>
        </w:sectPr>
      </w:pP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995"/>
        <w:gridCol w:w="1267"/>
        <w:gridCol w:w="1275"/>
        <w:gridCol w:w="994"/>
        <w:gridCol w:w="4041"/>
      </w:tblGrid>
      <w:tr>
        <w:trPr>
          <w:trHeight w:val="402" w:hRule="exact"/>
        </w:trPr>
        <w:tc>
          <w:tcPr>
            <w:tcW w:w="19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81" w:right="0"/>
              <w:jc w:val="left"/>
              <w:rPr>
                <w:rFonts w:ascii="宋体" w:hAnsi="宋体" w:cs="宋体" w:eastAsia="宋体" w:hint="default"/>
                <w:sz w:val="18"/>
                <w:szCs w:val="18"/>
              </w:rPr>
            </w:pPr>
            <w:r>
              <w:rPr>
                <w:rFonts w:ascii="宋体" w:hAnsi="宋体" w:cs="宋体" w:eastAsia="宋体" w:hint="default"/>
                <w:sz w:val="18"/>
                <w:szCs w:val="18"/>
              </w:rPr>
              <w:t>应收账款（按单位）</w:t>
            </w:r>
          </w:p>
        </w:tc>
        <w:tc>
          <w:tcPr>
            <w:tcW w:w="757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95" w:type="dxa"/>
            <w:vMerge/>
            <w:tcBorders>
              <w:left w:val="single" w:sz="4" w:space="0" w:color="000000"/>
              <w:bottom w:val="single" w:sz="4" w:space="0" w:color="000000"/>
              <w:right w:val="single" w:sz="4" w:space="0" w:color="000000"/>
            </w:tcBorders>
            <w:shd w:val="clear" w:color="auto" w:fill="D2D2D2"/>
          </w:tcPr>
          <w:p>
            <w:pPr/>
          </w:p>
        </w:tc>
        <w:tc>
          <w:tcPr>
            <w:tcW w:w="12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67"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2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7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0"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40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计提理由</w:t>
            </w:r>
          </w:p>
        </w:tc>
      </w:tr>
      <w:tr>
        <w:trPr>
          <w:trHeight w:val="1650" w:hRule="exact"/>
        </w:trPr>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22" w:right="160"/>
              <w:jc w:val="left"/>
              <w:rPr>
                <w:rFonts w:ascii="宋体" w:hAnsi="宋体" w:cs="宋体" w:eastAsia="宋体" w:hint="default"/>
                <w:sz w:val="18"/>
                <w:szCs w:val="18"/>
              </w:rPr>
            </w:pPr>
            <w:r>
              <w:rPr>
                <w:rFonts w:ascii="宋体" w:hAnsi="宋体" w:cs="宋体" w:eastAsia="宋体" w:hint="default"/>
                <w:sz w:val="18"/>
                <w:szCs w:val="18"/>
              </w:rPr>
              <w:t>北京全峰快递有限责任 公司</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89" w:right="0"/>
              <w:jc w:val="left"/>
              <w:rPr>
                <w:rFonts w:ascii="Times New Roman" w:hAnsi="Times New Roman" w:cs="Times New Roman" w:eastAsia="Times New Roman" w:hint="default"/>
                <w:sz w:val="18"/>
                <w:szCs w:val="18"/>
              </w:rPr>
            </w:pPr>
            <w:r>
              <w:rPr>
                <w:rFonts w:ascii="Times New Roman"/>
                <w:sz w:val="18"/>
              </w:rPr>
              <w:t>2,423,199.04</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97" w:right="0"/>
              <w:jc w:val="left"/>
              <w:rPr>
                <w:rFonts w:ascii="Times New Roman" w:hAnsi="Times New Roman" w:cs="Times New Roman" w:eastAsia="Times New Roman" w:hint="default"/>
                <w:sz w:val="18"/>
                <w:szCs w:val="18"/>
              </w:rPr>
            </w:pPr>
            <w:r>
              <w:rPr>
                <w:rFonts w:ascii="Times New Roman"/>
                <w:sz w:val="18"/>
              </w:rPr>
              <w:t>2,423,199.04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404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2" w:right="20"/>
              <w:jc w:val="both"/>
              <w:rPr>
                <w:rFonts w:ascii="宋体" w:hAnsi="宋体" w:cs="宋体" w:eastAsia="宋体" w:hint="default"/>
                <w:sz w:val="18"/>
                <w:szCs w:val="18"/>
              </w:rPr>
            </w:pPr>
            <w:r>
              <w:rPr>
                <w:rFonts w:ascii="宋体" w:hAnsi="宋体" w:cs="宋体" w:eastAsia="宋体" w:hint="default"/>
                <w:spacing w:val="-10"/>
                <w:sz w:val="18"/>
                <w:szCs w:val="18"/>
              </w:rPr>
              <w:t>根据北京市朝阳区人民法院（</w:t>
            </w:r>
            <w:r>
              <w:rPr>
                <w:rFonts w:ascii="Times New Roman" w:hAnsi="Times New Roman" w:cs="Times New Roman" w:eastAsia="Times New Roman" w:hint="default"/>
                <w:spacing w:val="-10"/>
                <w:sz w:val="18"/>
                <w:szCs w:val="18"/>
              </w:rPr>
              <w:t>2018</w:t>
            </w:r>
            <w:r>
              <w:rPr>
                <w:rFonts w:ascii="宋体" w:hAnsi="宋体" w:cs="宋体" w:eastAsia="宋体" w:hint="default"/>
                <w:spacing w:val="-10"/>
                <w:sz w:val="18"/>
                <w:szCs w:val="18"/>
              </w:rPr>
              <w:t>）京</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0105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执</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13945 </w:t>
            </w:r>
            <w:r>
              <w:rPr>
                <w:rFonts w:ascii="宋体" w:hAnsi="宋体" w:cs="宋体" w:eastAsia="宋体" w:hint="default"/>
                <w:sz w:val="18"/>
                <w:szCs w:val="18"/>
              </w:rPr>
              <w:t>号执行裁定书，未发现北京全峰快递有限责任公司 有足额可供执行的财产，北京市朝阳区人民法院已 对北京全峰快递有限责任公司采取限制消费措施， 同时裁定终结执行程序，本公司预计无法收回。</w:t>
            </w:r>
          </w:p>
        </w:tc>
      </w:tr>
      <w:tr>
        <w:trPr>
          <w:trHeight w:val="714" w:hRule="exact"/>
        </w:trPr>
        <w:tc>
          <w:tcPr>
            <w:tcW w:w="199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23"/>
              <w:jc w:val="left"/>
              <w:rPr>
                <w:rFonts w:ascii="宋体" w:hAnsi="宋体" w:cs="宋体" w:eastAsia="宋体" w:hint="default"/>
                <w:sz w:val="18"/>
                <w:szCs w:val="18"/>
              </w:rPr>
            </w:pPr>
            <w:r>
              <w:rPr>
                <w:rFonts w:ascii="宋体" w:hAnsi="宋体" w:cs="宋体" w:eastAsia="宋体" w:hint="default"/>
                <w:spacing w:val="-4"/>
                <w:sz w:val="18"/>
                <w:szCs w:val="18"/>
              </w:rPr>
              <w:t>东峡大通（北京）管理咨</w:t>
            </w:r>
            <w:r>
              <w:rPr>
                <w:rFonts w:ascii="宋体" w:hAnsi="宋体" w:cs="宋体" w:eastAsia="宋体" w:hint="default"/>
                <w:sz w:val="18"/>
                <w:szCs w:val="18"/>
              </w:rPr>
              <w:t> 询有限公司</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89" w:right="0"/>
              <w:jc w:val="left"/>
              <w:rPr>
                <w:rFonts w:ascii="Times New Roman" w:hAnsi="Times New Roman" w:cs="Times New Roman" w:eastAsia="Times New Roman" w:hint="default"/>
                <w:sz w:val="18"/>
                <w:szCs w:val="18"/>
              </w:rPr>
            </w:pPr>
            <w:r>
              <w:rPr>
                <w:rFonts w:ascii="Times New Roman"/>
                <w:sz w:val="18"/>
              </w:rPr>
              <w:t>2,699,300.00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97" w:right="0"/>
              <w:jc w:val="left"/>
              <w:rPr>
                <w:rFonts w:ascii="Times New Roman" w:hAnsi="Times New Roman" w:cs="Times New Roman" w:eastAsia="Times New Roman" w:hint="default"/>
                <w:sz w:val="18"/>
                <w:szCs w:val="18"/>
              </w:rPr>
            </w:pPr>
            <w:r>
              <w:rPr>
                <w:rFonts w:ascii="Times New Roman"/>
                <w:sz w:val="18"/>
              </w:rPr>
              <w:t>2,699,300.00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100.00%</w:t>
            </w:r>
          </w:p>
        </w:tc>
        <w:tc>
          <w:tcPr>
            <w:tcW w:w="404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6"/>
              <w:jc w:val="left"/>
              <w:rPr>
                <w:rFonts w:ascii="宋体" w:hAnsi="宋体" w:cs="宋体" w:eastAsia="宋体" w:hint="default"/>
                <w:sz w:val="18"/>
                <w:szCs w:val="18"/>
              </w:rPr>
            </w:pPr>
            <w:r>
              <w:rPr>
                <w:rFonts w:ascii="宋体" w:hAnsi="宋体" w:cs="宋体" w:eastAsia="宋体" w:hint="default"/>
                <w:sz w:val="18"/>
                <w:szCs w:val="18"/>
              </w:rPr>
              <w:t>经营状况不善，被多家公司起诉，法院判决赔偿仍 无力偿还债务，本公司预计无法收回。</w:t>
            </w:r>
          </w:p>
        </w:tc>
      </w:tr>
    </w:tbl>
    <w:p>
      <w:pPr>
        <w:spacing w:after="0" w:line="319" w:lineRule="auto"/>
        <w:jc w:val="left"/>
        <w:rPr>
          <w:rFonts w:ascii="宋体" w:hAnsi="宋体" w:cs="宋体" w:eastAsia="宋体"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6" w:type="dxa"/>
        <w:tblLayout w:type="fixed"/>
        <w:tblCellMar>
          <w:top w:w="0" w:type="dxa"/>
          <w:left w:w="0" w:type="dxa"/>
          <w:bottom w:w="0" w:type="dxa"/>
          <w:right w:w="0" w:type="dxa"/>
        </w:tblCellMar>
        <w:tblLook w:val="01E0"/>
      </w:tblPr>
      <w:tblGrid>
        <w:gridCol w:w="1997"/>
        <w:gridCol w:w="1268"/>
        <w:gridCol w:w="1286"/>
        <w:gridCol w:w="982"/>
        <w:gridCol w:w="4029"/>
      </w:tblGrid>
      <w:tr>
        <w:trPr>
          <w:trHeight w:val="402" w:hRule="exact"/>
        </w:trPr>
        <w:tc>
          <w:tcPr>
            <w:tcW w:w="19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9" w:right="0"/>
              <w:jc w:val="left"/>
              <w:rPr>
                <w:rFonts w:ascii="Times New Roman" w:hAnsi="Times New Roman" w:cs="Times New Roman" w:eastAsia="Times New Roman" w:hint="default"/>
                <w:sz w:val="18"/>
                <w:szCs w:val="18"/>
              </w:rPr>
            </w:pPr>
            <w:r>
              <w:rPr>
                <w:rFonts w:ascii="Times New Roman"/>
                <w:sz w:val="18"/>
              </w:rPr>
              <w:t>5,122,499.04</w:t>
            </w:r>
          </w:p>
        </w:tc>
        <w:tc>
          <w:tcPr>
            <w:tcW w:w="1286" w:type="dxa"/>
            <w:tcBorders>
              <w:top w:val="single" w:sz="4" w:space="0" w:color="000000"/>
              <w:left w:val="single" w:sz="4" w:space="0" w:color="000000"/>
              <w:bottom w:val="single" w:sz="4" w:space="0" w:color="000000"/>
              <w:right w:val="single" w:sz="9" w:space="0" w:color="D2D2D2"/>
            </w:tcBorders>
          </w:tcPr>
          <w:p>
            <w:pPr>
              <w:pStyle w:val="TableParagraph"/>
              <w:spacing w:line="240" w:lineRule="auto" w:before="91"/>
              <w:ind w:left="297" w:right="0"/>
              <w:jc w:val="left"/>
              <w:rPr>
                <w:rFonts w:ascii="Times New Roman" w:hAnsi="Times New Roman" w:cs="Times New Roman" w:eastAsia="Times New Roman" w:hint="default"/>
                <w:sz w:val="18"/>
                <w:szCs w:val="18"/>
              </w:rPr>
            </w:pPr>
            <w:r>
              <w:rPr>
                <w:rFonts w:ascii="Times New Roman"/>
                <w:sz w:val="18"/>
              </w:rPr>
              <w:t>5,122,499.04</w:t>
            </w:r>
          </w:p>
        </w:tc>
        <w:tc>
          <w:tcPr>
            <w:tcW w:w="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1"/>
              <w:jc w:val="center"/>
              <w:rPr>
                <w:rFonts w:ascii="Times New Roman" w:hAnsi="Times New Roman" w:cs="Times New Roman" w:eastAsia="Times New Roman" w:hint="default"/>
                <w:sz w:val="18"/>
                <w:szCs w:val="18"/>
              </w:rPr>
            </w:pPr>
            <w:r>
              <w:rPr>
                <w:rFonts w:ascii="Times New Roman"/>
                <w:sz w:val="18"/>
              </w:rPr>
              <w:t>--</w:t>
            </w:r>
          </w:p>
        </w:tc>
        <w:tc>
          <w:tcPr>
            <w:tcW w:w="40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79" w:top="1060" w:bottom="1160" w:left="980" w:right="0"/>
        </w:sectPr>
      </w:pPr>
    </w:p>
    <w:p>
      <w:pPr>
        <w:pStyle w:val="BodyText"/>
        <w:spacing w:line="240" w:lineRule="auto" w:before="51"/>
        <w:ind w:right="-20"/>
        <w:jc w:val="left"/>
      </w:pPr>
      <w:r>
        <w:rPr/>
        <w:t>组合中，按账龄分析法计提坏账准备的应收账款：</w:t>
      </w:r>
    </w:p>
    <w:p>
      <w:pPr>
        <w:pStyle w:val="BodyText"/>
        <w:spacing w:line="240" w:lineRule="auto" w:before="117"/>
        <w:ind w:right="-20"/>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060" w:bottom="1160" w:left="980" w:right="0"/>
          <w:cols w:num="2" w:equalWidth="0">
            <w:col w:w="4115" w:space="4715"/>
            <w:col w:w="2100"/>
          </w:cols>
        </w:sectPr>
      </w:pP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476"/>
        <w:gridCol w:w="2301"/>
        <w:gridCol w:w="2390"/>
        <w:gridCol w:w="2390"/>
      </w:tblGrid>
      <w:tr>
        <w:trPr>
          <w:trHeight w:val="205" w:hRule="exact"/>
        </w:trPr>
        <w:tc>
          <w:tcPr>
            <w:tcW w:w="2476"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1"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2" w:hRule="exact"/>
        </w:trPr>
        <w:tc>
          <w:tcPr>
            <w:tcW w:w="24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5"/>
              <w:jc w:val="center"/>
              <w:rPr>
                <w:rFonts w:ascii="宋体" w:hAnsi="宋体" w:cs="宋体" w:eastAsia="宋体" w:hint="default"/>
                <w:sz w:val="18"/>
                <w:szCs w:val="18"/>
              </w:rPr>
            </w:pPr>
            <w:r>
              <w:rPr>
                <w:rFonts w:ascii="宋体" w:hAnsi="宋体" w:cs="宋体" w:eastAsia="宋体" w:hint="default"/>
                <w:sz w:val="18"/>
                <w:szCs w:val="18"/>
              </w:rPr>
              <w:t>账龄</w:t>
            </w:r>
          </w:p>
        </w:tc>
        <w:tc>
          <w:tcPr>
            <w:tcW w:w="7081" w:type="dxa"/>
            <w:gridSpan w:val="3"/>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476" w:type="dxa"/>
            <w:vMerge/>
            <w:tcBorders>
              <w:left w:val="single" w:sz="4" w:space="0" w:color="000000"/>
              <w:bottom w:val="nil" w:sz="6" w:space="0" w:color="auto"/>
              <w:right w:val="single" w:sz="4" w:space="0" w:color="000000"/>
            </w:tcBorders>
            <w:shd w:val="clear" w:color="auto" w:fill="D2D2D2"/>
          </w:tcPr>
          <w:p>
            <w:pPr/>
          </w:p>
        </w:tc>
        <w:tc>
          <w:tcPr>
            <w:tcW w:w="23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1" w:hRule="exact"/>
        </w:trPr>
        <w:tc>
          <w:tcPr>
            <w:tcW w:w="247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01" w:type="dxa"/>
            <w:vMerge/>
            <w:tcBorders>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r>
      <w:tr>
        <w:trPr>
          <w:trHeight w:val="397" w:hRule="exact"/>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240,912,130.60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12,045,606.53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10,207,070.44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816,565.64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4,266,928.57</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853,385.71</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1,584,646.68</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792,323.34</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1,501,742.65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1,201,394.12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280,302.32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280,302.32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258,752,821.26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15,989,577.66</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6.18%</w:t>
            </w:r>
          </w:p>
        </w:tc>
      </w:tr>
    </w:tbl>
    <w:p>
      <w:pPr>
        <w:pStyle w:val="BodyText"/>
        <w:spacing w:line="360" w:lineRule="auto" w:before="51"/>
        <w:ind w:right="6432"/>
        <w:jc w:val="left"/>
      </w:pPr>
      <w:r>
        <w:rPr/>
        <w:t>确定该组合依据的说明： 组合中，采用余额百分比法计提坏账准备的应收账款：</w:t>
      </w:r>
    </w:p>
    <w:p>
      <w:pPr>
        <w:pStyle w:val="BodyText"/>
        <w:spacing w:line="338" w:lineRule="auto" w:before="26"/>
        <w:ind w:right="679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组合中，采用其他方法计提坏账准备的应收账款：</w:t>
      </w:r>
    </w:p>
    <w:p>
      <w:pPr>
        <w:spacing w:line="240" w:lineRule="auto" w:before="6"/>
        <w:rPr>
          <w:rFonts w:ascii="宋体" w:hAnsi="宋体" w:cs="宋体" w:eastAsia="宋体" w:hint="default"/>
          <w:sz w:val="2"/>
          <w:szCs w:val="2"/>
        </w:rPr>
      </w:pPr>
    </w:p>
    <w:tbl>
      <w:tblPr>
        <w:tblW w:w="0" w:type="auto"/>
        <w:jc w:val="left"/>
        <w:tblInd w:w="151" w:type="dxa"/>
        <w:tblLayout w:type="fixed"/>
        <w:tblCellMar>
          <w:top w:w="0" w:type="dxa"/>
          <w:left w:w="0" w:type="dxa"/>
          <w:bottom w:w="0" w:type="dxa"/>
          <w:right w:w="0" w:type="dxa"/>
        </w:tblCellMar>
        <w:tblLook w:val="01E0"/>
      </w:tblPr>
      <w:tblGrid>
        <w:gridCol w:w="3239"/>
        <w:gridCol w:w="2214"/>
        <w:gridCol w:w="2056"/>
        <w:gridCol w:w="2072"/>
      </w:tblGrid>
      <w:tr>
        <w:trPr>
          <w:trHeight w:val="426" w:hRule="exact"/>
        </w:trPr>
        <w:tc>
          <w:tcPr>
            <w:tcW w:w="3239"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13"/>
              <w:ind w:right="0"/>
              <w:jc w:val="left"/>
              <w:rPr>
                <w:rFonts w:ascii="宋体" w:hAnsi="宋体" w:cs="宋体" w:eastAsia="宋体" w:hint="default"/>
                <w:sz w:val="20"/>
                <w:szCs w:val="20"/>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6343"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left="1"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27" w:hRule="exact"/>
        </w:trPr>
        <w:tc>
          <w:tcPr>
            <w:tcW w:w="3239" w:type="dxa"/>
            <w:vMerge/>
            <w:tcBorders>
              <w:left w:val="single" w:sz="6" w:space="0" w:color="000000"/>
              <w:bottom w:val="single" w:sz="6" w:space="0" w:color="000000"/>
              <w:right w:val="single" w:sz="6" w:space="0" w:color="000000"/>
            </w:tcBorders>
            <w:shd w:val="clear" w:color="auto" w:fill="D9D9D9"/>
          </w:tcPr>
          <w:p>
            <w:pPr/>
          </w:p>
        </w:tc>
        <w:tc>
          <w:tcPr>
            <w:tcW w:w="221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05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66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2072"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left="412"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427" w:hRule="exact"/>
        </w:trPr>
        <w:tc>
          <w:tcPr>
            <w:tcW w:w="32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合并范围内的关联方</w:t>
            </w:r>
          </w:p>
        </w:tc>
        <w:tc>
          <w:tcPr>
            <w:tcW w:w="22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12,361,773.33</w:t>
            </w:r>
          </w:p>
        </w:tc>
        <w:tc>
          <w:tcPr>
            <w:tcW w:w="2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0.00</w:t>
            </w:r>
          </w:p>
        </w:tc>
        <w:tc>
          <w:tcPr>
            <w:tcW w:w="2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0</w:t>
            </w:r>
          </w:p>
        </w:tc>
      </w:tr>
      <w:tr>
        <w:trPr>
          <w:trHeight w:val="427" w:hRule="exact"/>
        </w:trPr>
        <w:tc>
          <w:tcPr>
            <w:tcW w:w="323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2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pacing w:val="-1"/>
                <w:sz w:val="18"/>
              </w:rPr>
              <w:t>12,361,773.33</w:t>
            </w:r>
          </w:p>
        </w:tc>
        <w:tc>
          <w:tcPr>
            <w:tcW w:w="205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0.00</w:t>
            </w:r>
          </w:p>
        </w:tc>
        <w:tc>
          <w:tcPr>
            <w:tcW w:w="207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pStyle w:val="BodyText"/>
        <w:spacing w:line="240" w:lineRule="auto" w:before="51"/>
        <w:ind w:right="2409"/>
        <w:jc w:val="left"/>
      </w:pPr>
      <w:r>
        <w:rPr>
          <w:rFonts w:ascii="Times New Roman" w:hAnsi="Times New Roman" w:cs="Times New Roman" w:eastAsia="Times New Roman" w:hint="default"/>
        </w:rPr>
        <w:t>2)</w:t>
      </w:r>
      <w:r>
        <w:rPr/>
        <w:t>本期计提、收回或转回的坏账准备情况</w:t>
      </w:r>
    </w:p>
    <w:p>
      <w:pPr>
        <w:pStyle w:val="BodyText"/>
        <w:spacing w:line="338" w:lineRule="auto" w:before="103"/>
        <w:ind w:right="-14"/>
        <w:jc w:val="left"/>
      </w:pPr>
      <w:r>
        <w:rPr/>
        <w:t>本期计提坏账准备金额</w:t>
      </w:r>
      <w:r>
        <w:rPr>
          <w:spacing w:val="-47"/>
        </w:rPr>
        <w:t> </w:t>
      </w:r>
      <w:r>
        <w:rPr>
          <w:rFonts w:ascii="Times New Roman" w:hAnsi="Times New Roman" w:cs="Times New Roman" w:eastAsia="Times New Roman" w:hint="default"/>
        </w:rPr>
        <w:t>10,781,847.31</w:t>
      </w:r>
      <w:r>
        <w:rPr>
          <w:rFonts w:ascii="Times New Roman" w:hAnsi="Times New Roman" w:cs="Times New Roman" w:eastAsia="Times New Roman" w:hint="default"/>
          <w:spacing w:val="-1"/>
        </w:rPr>
        <w:t> </w:t>
      </w:r>
      <w:r>
        <w:rPr/>
        <w:t>元；本期收回或转回坏账准备金额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 其中本期坏账准备收回或转回金额重要的：无</w:t>
      </w:r>
    </w:p>
    <w:p>
      <w:pPr>
        <w:pStyle w:val="BodyText"/>
        <w:spacing w:line="240" w:lineRule="auto" w:before="42"/>
        <w:ind w:right="2409"/>
        <w:jc w:val="left"/>
      </w:pPr>
      <w:r>
        <w:rPr>
          <w:rFonts w:ascii="Times New Roman" w:hAnsi="Times New Roman" w:cs="Times New Roman" w:eastAsia="Times New Roman" w:hint="default"/>
        </w:rPr>
        <w:t>3)</w:t>
      </w:r>
      <w:r>
        <w:rPr/>
        <w:t>本期实际核销的应收账款情况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060" w:bottom="1160" w:left="980" w:right="0"/>
          <w:cols w:num="2" w:equalWidth="0">
            <w:col w:w="6544" w:space="2285"/>
            <w:col w:w="2101"/>
          </w:cols>
        </w:sectPr>
      </w:pPr>
    </w:p>
    <w:p>
      <w:pPr>
        <w:spacing w:line="240" w:lineRule="auto" w:before="0"/>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4984"/>
        <w:gridCol w:w="4584"/>
      </w:tblGrid>
      <w:tr>
        <w:trPr>
          <w:trHeight w:val="401"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r>
        <w:trPr>
          <w:trHeight w:val="403" w:hRule="exact"/>
        </w:trPr>
        <w:tc>
          <w:tcPr>
            <w:tcW w:w="4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实际核销的应收账款</w:t>
            </w:r>
          </w:p>
        </w:tc>
        <w:tc>
          <w:tcPr>
            <w:tcW w:w="45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633,927.00</w:t>
            </w:r>
          </w:p>
        </w:tc>
      </w:tr>
    </w:tbl>
    <w:p>
      <w:pPr>
        <w:pStyle w:val="BodyText"/>
        <w:spacing w:line="240" w:lineRule="auto" w:before="51"/>
        <w:ind w:right="1134"/>
        <w:jc w:val="left"/>
      </w:pPr>
      <w:r>
        <w:rPr/>
        <w:t>应收账款核销说明：</w:t>
      </w:r>
    </w:p>
    <w:p>
      <w:pPr>
        <w:pStyle w:val="BodyText"/>
        <w:spacing w:line="240" w:lineRule="auto" w:before="116"/>
        <w:ind w:right="1134"/>
        <w:jc w:val="left"/>
      </w:pPr>
      <w:r>
        <w:rPr>
          <w:rFonts w:ascii="Times New Roman" w:hAnsi="Times New Roman" w:cs="Times New Roman" w:eastAsia="Times New Roman" w:hint="default"/>
        </w:rPr>
        <w:t>4)</w:t>
      </w:r>
      <w:r>
        <w:rPr/>
        <w:t>按欠款方归集的期末余额前五名的应收账款情况</w:t>
      </w:r>
    </w:p>
    <w:p>
      <w:pPr>
        <w:spacing w:line="240" w:lineRule="auto" w:before="0"/>
        <w:rPr>
          <w:rFonts w:ascii="宋体" w:hAnsi="宋体" w:cs="宋体" w:eastAsia="宋体" w:hint="default"/>
          <w:sz w:val="7"/>
          <w:szCs w:val="7"/>
        </w:rPr>
      </w:pPr>
    </w:p>
    <w:tbl>
      <w:tblPr>
        <w:tblW w:w="0" w:type="auto"/>
        <w:jc w:val="left"/>
        <w:tblInd w:w="146" w:type="dxa"/>
        <w:tblLayout w:type="fixed"/>
        <w:tblCellMar>
          <w:top w:w="0" w:type="dxa"/>
          <w:left w:w="0" w:type="dxa"/>
          <w:bottom w:w="0" w:type="dxa"/>
          <w:right w:w="0" w:type="dxa"/>
        </w:tblCellMar>
        <w:tblLook w:val="01E0"/>
      </w:tblPr>
      <w:tblGrid>
        <w:gridCol w:w="2944"/>
        <w:gridCol w:w="1985"/>
        <w:gridCol w:w="2585"/>
        <w:gridCol w:w="2126"/>
      </w:tblGrid>
      <w:tr>
        <w:trPr>
          <w:trHeight w:val="347" w:hRule="exact"/>
        </w:trPr>
        <w:tc>
          <w:tcPr>
            <w:tcW w:w="294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9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62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5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right="68"/>
              <w:jc w:val="right"/>
              <w:rPr>
                <w:rFonts w:ascii="Times New Roman" w:hAnsi="Times New Roman" w:cs="Times New Roman" w:eastAsia="Times New Roman" w:hint="default"/>
                <w:sz w:val="18"/>
                <w:szCs w:val="18"/>
              </w:rPr>
            </w:pPr>
            <w:r>
              <w:rPr>
                <w:rFonts w:ascii="宋体" w:hAnsi="宋体" w:cs="宋体" w:eastAsia="宋体" w:hint="default"/>
                <w:sz w:val="18"/>
                <w:szCs w:val="18"/>
              </w:rPr>
              <w:t>占应收账款期末余额的比例</w:t>
            </w:r>
            <w:r>
              <w:rPr>
                <w:rFonts w:ascii="Times New Roman" w:hAnsi="Times New Roman" w:cs="Times New Roman" w:eastAsia="Times New Roman" w:hint="default"/>
                <w:sz w:val="18"/>
                <w:szCs w:val="18"/>
              </w:rPr>
              <w:t>(%)</w:t>
            </w:r>
          </w:p>
        </w:tc>
        <w:tc>
          <w:tcPr>
            <w:tcW w:w="212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1"/>
              <w:ind w:left="424" w:right="0"/>
              <w:jc w:val="left"/>
              <w:rPr>
                <w:rFonts w:ascii="宋体" w:hAnsi="宋体" w:cs="宋体" w:eastAsia="宋体" w:hint="default"/>
                <w:sz w:val="18"/>
                <w:szCs w:val="18"/>
              </w:rPr>
            </w:pPr>
            <w:r>
              <w:rPr>
                <w:rFonts w:ascii="宋体" w:hAnsi="宋体" w:cs="宋体" w:eastAsia="宋体" w:hint="default"/>
                <w:sz w:val="18"/>
                <w:szCs w:val="18"/>
              </w:rPr>
              <w:t>已计提坏账准备</w:t>
            </w:r>
          </w:p>
        </w:tc>
      </w:tr>
      <w:tr>
        <w:trPr>
          <w:trHeight w:val="347" w:hRule="exact"/>
        </w:trPr>
        <w:tc>
          <w:tcPr>
            <w:tcW w:w="2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客户一</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61,208,396.20</w:t>
            </w:r>
          </w:p>
        </w:tc>
        <w:tc>
          <w:tcPr>
            <w:tcW w:w="25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21.71</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3,060,419.81</w:t>
            </w:r>
          </w:p>
        </w:tc>
      </w:tr>
      <w:tr>
        <w:trPr>
          <w:trHeight w:val="347" w:hRule="exact"/>
        </w:trPr>
        <w:tc>
          <w:tcPr>
            <w:tcW w:w="2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客户二</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43,282,960.02</w:t>
            </w:r>
          </w:p>
        </w:tc>
        <w:tc>
          <w:tcPr>
            <w:tcW w:w="25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15.35</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2,164,148.00</w:t>
            </w:r>
          </w:p>
        </w:tc>
      </w:tr>
      <w:tr>
        <w:trPr>
          <w:trHeight w:val="347" w:hRule="exact"/>
        </w:trPr>
        <w:tc>
          <w:tcPr>
            <w:tcW w:w="2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客户三</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20,864,000.00</w:t>
            </w:r>
          </w:p>
        </w:tc>
        <w:tc>
          <w:tcPr>
            <w:tcW w:w="25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7.40</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1,043,200.00</w:t>
            </w:r>
          </w:p>
        </w:tc>
      </w:tr>
      <w:tr>
        <w:trPr>
          <w:trHeight w:val="348" w:hRule="exact"/>
        </w:trPr>
        <w:tc>
          <w:tcPr>
            <w:tcW w:w="2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客户四</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11,298,407.96</w:t>
            </w:r>
          </w:p>
        </w:tc>
        <w:tc>
          <w:tcPr>
            <w:tcW w:w="25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4.01</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618,926.01</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6"/>
        <w:rPr>
          <w:rFonts w:ascii="宋体" w:hAnsi="宋体" w:cs="宋体" w:eastAsia="宋体" w:hint="default"/>
          <w:sz w:val="28"/>
          <w:szCs w:val="28"/>
        </w:rPr>
      </w:pPr>
    </w:p>
    <w:tbl>
      <w:tblPr>
        <w:tblW w:w="0" w:type="auto"/>
        <w:jc w:val="left"/>
        <w:tblInd w:w="146" w:type="dxa"/>
        <w:tblLayout w:type="fixed"/>
        <w:tblCellMar>
          <w:top w:w="0" w:type="dxa"/>
          <w:left w:w="0" w:type="dxa"/>
          <w:bottom w:w="0" w:type="dxa"/>
          <w:right w:w="0" w:type="dxa"/>
        </w:tblCellMar>
        <w:tblLook w:val="01E0"/>
      </w:tblPr>
      <w:tblGrid>
        <w:gridCol w:w="2944"/>
        <w:gridCol w:w="1985"/>
        <w:gridCol w:w="2585"/>
        <w:gridCol w:w="2126"/>
      </w:tblGrid>
      <w:tr>
        <w:trPr>
          <w:trHeight w:val="347" w:hRule="exact"/>
        </w:trPr>
        <w:tc>
          <w:tcPr>
            <w:tcW w:w="2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18"/>
                <w:szCs w:val="18"/>
              </w:rPr>
            </w:pPr>
            <w:r>
              <w:rPr>
                <w:rFonts w:ascii="宋体" w:hAnsi="宋体" w:cs="宋体" w:eastAsia="宋体" w:hint="default"/>
                <w:sz w:val="18"/>
                <w:szCs w:val="18"/>
              </w:rPr>
              <w:t>客户五</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10,420,939.14</w:t>
            </w:r>
          </w:p>
        </w:tc>
        <w:tc>
          <w:tcPr>
            <w:tcW w:w="25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3.70</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0"/>
              <w:jc w:val="right"/>
              <w:rPr>
                <w:rFonts w:ascii="Times New Roman" w:hAnsi="Times New Roman" w:cs="Times New Roman" w:eastAsia="Times New Roman" w:hint="default"/>
                <w:sz w:val="18"/>
                <w:szCs w:val="18"/>
              </w:rPr>
            </w:pPr>
            <w:r>
              <w:rPr>
                <w:rFonts w:ascii="Times New Roman"/>
                <w:spacing w:val="-1"/>
                <w:sz w:val="18"/>
              </w:rPr>
              <w:t>521,046.96</w:t>
            </w:r>
          </w:p>
        </w:tc>
      </w:tr>
      <w:tr>
        <w:trPr>
          <w:trHeight w:val="348" w:hRule="exact"/>
        </w:trPr>
        <w:tc>
          <w:tcPr>
            <w:tcW w:w="294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9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147,074,703.32</w:t>
            </w:r>
          </w:p>
        </w:tc>
        <w:tc>
          <w:tcPr>
            <w:tcW w:w="25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z w:val="18"/>
              </w:rPr>
              <w:t>52.17</w:t>
            </w:r>
          </w:p>
        </w:tc>
        <w:tc>
          <w:tcPr>
            <w:tcW w:w="21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7,407,740.78</w:t>
            </w:r>
          </w:p>
        </w:tc>
      </w:tr>
    </w:tbl>
    <w:p>
      <w:pPr>
        <w:pStyle w:val="BodyText"/>
        <w:spacing w:line="240" w:lineRule="auto" w:before="51"/>
        <w:ind w:right="1134"/>
        <w:jc w:val="left"/>
      </w:pPr>
      <w:r>
        <w:rPr>
          <w:rFonts w:ascii="Times New Roman" w:hAnsi="Times New Roman" w:cs="Times New Roman" w:eastAsia="Times New Roman" w:hint="default"/>
        </w:rPr>
        <w:t>5)</w:t>
      </w:r>
      <w:r>
        <w:rPr/>
        <w:t>因金融资产转移而终止确认的应收账款</w:t>
      </w:r>
    </w:p>
    <w:p>
      <w:pPr>
        <w:spacing w:line="240" w:lineRule="auto" w:before="4"/>
        <w:rPr>
          <w:rFonts w:ascii="宋体" w:hAnsi="宋体" w:cs="宋体" w:eastAsia="宋体" w:hint="default"/>
          <w:sz w:val="8"/>
          <w:szCs w:val="8"/>
        </w:rPr>
      </w:pPr>
    </w:p>
    <w:tbl>
      <w:tblPr>
        <w:tblW w:w="0" w:type="auto"/>
        <w:jc w:val="left"/>
        <w:tblInd w:w="146" w:type="dxa"/>
        <w:tblLayout w:type="fixed"/>
        <w:tblCellMar>
          <w:top w:w="0" w:type="dxa"/>
          <w:left w:w="0" w:type="dxa"/>
          <w:bottom w:w="0" w:type="dxa"/>
          <w:right w:w="0" w:type="dxa"/>
        </w:tblCellMar>
        <w:tblLook w:val="01E0"/>
      </w:tblPr>
      <w:tblGrid>
        <w:gridCol w:w="2128"/>
        <w:gridCol w:w="2409"/>
        <w:gridCol w:w="2410"/>
        <w:gridCol w:w="2694"/>
      </w:tblGrid>
      <w:tr>
        <w:trPr>
          <w:trHeight w:val="330" w:hRule="exact"/>
        </w:trPr>
        <w:tc>
          <w:tcPr>
            <w:tcW w:w="212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right="875"/>
              <w:jc w:val="right"/>
              <w:rPr>
                <w:rFonts w:ascii="宋体" w:hAnsi="宋体" w:cs="宋体" w:eastAsia="宋体" w:hint="default"/>
                <w:sz w:val="18"/>
                <w:szCs w:val="18"/>
              </w:rPr>
            </w:pPr>
            <w:r>
              <w:rPr>
                <w:rFonts w:ascii="宋体" w:hAnsi="宋体" w:cs="宋体" w:eastAsia="宋体" w:hint="default"/>
                <w:sz w:val="18"/>
                <w:szCs w:val="18"/>
              </w:rPr>
              <w:t>项目</w:t>
            </w:r>
          </w:p>
        </w:tc>
        <w:tc>
          <w:tcPr>
            <w:tcW w:w="2409"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right="1"/>
              <w:jc w:val="center"/>
              <w:rPr>
                <w:rFonts w:ascii="宋体" w:hAnsi="宋体" w:cs="宋体" w:eastAsia="宋体" w:hint="default"/>
                <w:sz w:val="18"/>
                <w:szCs w:val="18"/>
              </w:rPr>
            </w:pPr>
            <w:r>
              <w:rPr>
                <w:rFonts w:ascii="宋体" w:hAnsi="宋体" w:cs="宋体" w:eastAsia="宋体" w:hint="default"/>
                <w:sz w:val="18"/>
                <w:szCs w:val="18"/>
              </w:rPr>
              <w:t>金融资产转移的方式</w:t>
            </w:r>
          </w:p>
        </w:tc>
        <w:tc>
          <w:tcPr>
            <w:tcW w:w="241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left="387" w:right="0"/>
              <w:jc w:val="left"/>
              <w:rPr>
                <w:rFonts w:ascii="宋体" w:hAnsi="宋体" w:cs="宋体" w:eastAsia="宋体" w:hint="default"/>
                <w:sz w:val="18"/>
                <w:szCs w:val="18"/>
              </w:rPr>
            </w:pPr>
            <w:r>
              <w:rPr>
                <w:rFonts w:ascii="宋体" w:hAnsi="宋体" w:cs="宋体" w:eastAsia="宋体" w:hint="default"/>
                <w:sz w:val="18"/>
                <w:szCs w:val="18"/>
              </w:rPr>
              <w:t>本年度终止确认金额</w:t>
            </w:r>
          </w:p>
        </w:tc>
        <w:tc>
          <w:tcPr>
            <w:tcW w:w="2694"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3"/>
              <w:ind w:left="169" w:right="0"/>
              <w:jc w:val="left"/>
              <w:rPr>
                <w:rFonts w:ascii="宋体" w:hAnsi="宋体" w:cs="宋体" w:eastAsia="宋体" w:hint="default"/>
                <w:sz w:val="18"/>
                <w:szCs w:val="18"/>
              </w:rPr>
            </w:pPr>
            <w:r>
              <w:rPr>
                <w:rFonts w:ascii="宋体" w:hAnsi="宋体" w:cs="宋体" w:eastAsia="宋体" w:hint="default"/>
                <w:sz w:val="18"/>
                <w:szCs w:val="18"/>
              </w:rPr>
              <w:t>与终止确认相关的利得或损失</w:t>
            </w:r>
          </w:p>
        </w:tc>
      </w:tr>
      <w:tr>
        <w:trPr>
          <w:trHeight w:val="347" w:hRule="exact"/>
        </w:trPr>
        <w:tc>
          <w:tcPr>
            <w:tcW w:w="2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4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right="1"/>
              <w:jc w:val="center"/>
              <w:rPr>
                <w:rFonts w:ascii="宋体" w:hAnsi="宋体" w:cs="宋体" w:eastAsia="宋体" w:hint="default"/>
                <w:sz w:val="18"/>
                <w:szCs w:val="18"/>
              </w:rPr>
            </w:pPr>
            <w:r>
              <w:rPr>
                <w:rFonts w:ascii="宋体" w:hAnsi="宋体" w:cs="宋体" w:eastAsia="宋体" w:hint="default"/>
                <w:sz w:val="18"/>
                <w:szCs w:val="18"/>
              </w:rPr>
              <w:t>不附追索权的应收账款保理</w:t>
            </w: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right="1"/>
              <w:jc w:val="right"/>
              <w:rPr>
                <w:rFonts w:ascii="Times New Roman" w:hAnsi="Times New Roman" w:cs="Times New Roman" w:eastAsia="Times New Roman" w:hint="default"/>
                <w:sz w:val="18"/>
                <w:szCs w:val="18"/>
              </w:rPr>
            </w:pPr>
            <w:r>
              <w:rPr>
                <w:rFonts w:ascii="Times New Roman"/>
                <w:spacing w:val="-1"/>
                <w:sz w:val="18"/>
              </w:rPr>
              <w:t>28,567,082.32</w:t>
            </w:r>
          </w:p>
        </w:tc>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0"/>
              <w:ind w:left="1446" w:right="0"/>
              <w:jc w:val="left"/>
              <w:rPr>
                <w:rFonts w:ascii="Times New Roman" w:hAnsi="Times New Roman" w:cs="Times New Roman" w:eastAsia="Times New Roman" w:hint="default"/>
                <w:sz w:val="18"/>
                <w:szCs w:val="18"/>
              </w:rPr>
            </w:pPr>
            <w:r>
              <w:rPr>
                <w:rFonts w:ascii="Times New Roman"/>
                <w:sz w:val="18"/>
              </w:rPr>
              <w:t>807,734.25</w:t>
            </w:r>
          </w:p>
        </w:tc>
      </w:tr>
      <w:tr>
        <w:trPr>
          <w:trHeight w:val="347" w:hRule="exact"/>
        </w:trPr>
        <w:tc>
          <w:tcPr>
            <w:tcW w:w="212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right="875"/>
              <w:jc w:val="right"/>
              <w:rPr>
                <w:rFonts w:ascii="宋体" w:hAnsi="宋体" w:cs="宋体" w:eastAsia="宋体" w:hint="default"/>
                <w:sz w:val="18"/>
                <w:szCs w:val="18"/>
              </w:rPr>
            </w:pPr>
            <w:r>
              <w:rPr>
                <w:rFonts w:ascii="宋体" w:hAnsi="宋体" w:cs="宋体" w:eastAsia="宋体" w:hint="default"/>
                <w:sz w:val="18"/>
                <w:szCs w:val="18"/>
              </w:rPr>
              <w:t>合计</w:t>
            </w:r>
          </w:p>
        </w:tc>
        <w:tc>
          <w:tcPr>
            <w:tcW w:w="2409" w:type="dxa"/>
            <w:tcBorders>
              <w:top w:val="single" w:sz="6" w:space="0" w:color="000000"/>
              <w:left w:val="single" w:sz="6" w:space="0" w:color="000000"/>
              <w:bottom w:val="single" w:sz="6" w:space="0" w:color="000000"/>
              <w:right w:val="single" w:sz="6" w:space="0" w:color="000000"/>
            </w:tcBorders>
          </w:tcPr>
          <w:p>
            <w:pPr/>
          </w:p>
        </w:tc>
        <w:tc>
          <w:tcPr>
            <w:tcW w:w="241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right"/>
              <w:rPr>
                <w:rFonts w:ascii="Times New Roman" w:hAnsi="Times New Roman" w:cs="Times New Roman" w:eastAsia="Times New Roman" w:hint="default"/>
                <w:sz w:val="18"/>
                <w:szCs w:val="18"/>
              </w:rPr>
            </w:pPr>
            <w:r>
              <w:rPr>
                <w:rFonts w:ascii="Times New Roman"/>
                <w:spacing w:val="-1"/>
                <w:sz w:val="18"/>
              </w:rPr>
              <w:t>28,567,082.32</w:t>
            </w:r>
          </w:p>
        </w:tc>
        <w:tc>
          <w:tcPr>
            <w:tcW w:w="269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1446" w:right="0"/>
              <w:jc w:val="left"/>
              <w:rPr>
                <w:rFonts w:ascii="Times New Roman" w:hAnsi="Times New Roman" w:cs="Times New Roman" w:eastAsia="Times New Roman" w:hint="default"/>
                <w:sz w:val="18"/>
                <w:szCs w:val="18"/>
              </w:rPr>
            </w:pPr>
            <w:r>
              <w:rPr>
                <w:rFonts w:ascii="Times New Roman"/>
                <w:sz w:val="18"/>
              </w:rPr>
              <w:t>807,734.25</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其他应收款" w:id="334"/>
      <w:bookmarkEnd w:id="334"/>
      <w:r>
        <w:rPr>
          <w:b w:val="0"/>
          <w:bCs w:val="0"/>
        </w:rPr>
      </w:r>
      <w:r>
        <w:rPr>
          <w:rFonts w:ascii="Times New Roman" w:hAnsi="Times New Roman" w:cs="Times New Roman" w:eastAsia="Times New Roman" w:hint="default"/>
        </w:rPr>
        <w:t>2</w:t>
      </w:r>
      <w:r>
        <w:rPr/>
        <w:t>、其他应收款</w:t>
      </w:r>
      <w:r>
        <w:rPr>
          <w:b w:val="0"/>
          <w:bCs w:val="0"/>
        </w:rPr>
      </w:r>
    </w:p>
    <w:p>
      <w:pPr>
        <w:spacing w:line="240" w:lineRule="auto" w:before="4"/>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2"/>
        <w:gridCol w:w="3190"/>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418,002.87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345,640.30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15,041,361.95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14,445,584.52</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2"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15,459,364.82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14,791,224.82</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1）应收利息" w:id="335"/>
      <w:bookmarkEnd w:id="335"/>
      <w:r>
        <w:rPr>
          <w:b w:val="0"/>
          <w:bCs w:val="0"/>
        </w:rPr>
      </w:r>
      <w:r>
        <w:rPr/>
        <w:t>（</w:t>
      </w:r>
      <w:r>
        <w:rPr>
          <w:rFonts w:ascii="Times New Roman" w:hAnsi="Times New Roman" w:cs="Times New Roman" w:eastAsia="Times New Roman" w:hint="default"/>
        </w:rPr>
        <w:t>1</w:t>
      </w:r>
      <w:r>
        <w:rPr/>
        <w:t>）应收利息</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1134"/>
        <w:jc w:val="left"/>
      </w:pPr>
      <w:r>
        <w:rPr>
          <w:rFonts w:ascii="Times New Roman" w:hAnsi="Times New Roman" w:cs="Times New Roman" w:eastAsia="Times New Roman" w:hint="default"/>
        </w:rPr>
        <w:t>1)</w:t>
      </w:r>
      <w:r>
        <w:rPr/>
        <w:t>应收利息分类</w:t>
      </w:r>
    </w:p>
    <w:p>
      <w:pPr>
        <w:pStyle w:val="BodyText"/>
        <w:spacing w:line="240" w:lineRule="auto" w:before="103"/>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3167"/>
        <w:gridCol w:w="3203"/>
        <w:gridCol w:w="3189"/>
      </w:tblGrid>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2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定期存款</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418,002.87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345,640.30</w:t>
            </w:r>
          </w:p>
        </w:tc>
      </w:tr>
      <w:tr>
        <w:trPr>
          <w:trHeight w:val="402" w:hRule="exact"/>
        </w:trPr>
        <w:tc>
          <w:tcPr>
            <w:tcW w:w="3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20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418,002.87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345,640.30</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其他应收款" w:id="336"/>
      <w:bookmarkEnd w:id="336"/>
      <w:r>
        <w:rPr>
          <w:b w:val="0"/>
          <w:bCs w:val="0"/>
        </w:rPr>
      </w:r>
      <w:r>
        <w:rPr/>
        <w:t>（</w:t>
      </w:r>
      <w:r>
        <w:rPr>
          <w:rFonts w:ascii="Times New Roman" w:hAnsi="Times New Roman" w:cs="Times New Roman" w:eastAsia="Times New Roman" w:hint="default"/>
        </w:rPr>
        <w:t>2</w:t>
      </w:r>
      <w:r>
        <w:rPr/>
        <w:t>）其他应收款</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1134"/>
        <w:jc w:val="left"/>
      </w:pPr>
      <w:r>
        <w:rPr>
          <w:rFonts w:ascii="Times New Roman" w:hAnsi="Times New Roman" w:cs="Times New Roman" w:eastAsia="Times New Roman" w:hint="default"/>
        </w:rPr>
        <w:t>1)</w:t>
      </w:r>
      <w:r>
        <w:rPr/>
        <w:t>其他应收款分类披露</w:t>
      </w:r>
    </w:p>
    <w:p>
      <w:pPr>
        <w:pStyle w:val="BodyText"/>
        <w:spacing w:line="240" w:lineRule="auto" w:before="103"/>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623"/>
        <w:gridCol w:w="763"/>
        <w:gridCol w:w="762"/>
        <w:gridCol w:w="762"/>
        <w:gridCol w:w="762"/>
        <w:gridCol w:w="790"/>
        <w:gridCol w:w="654"/>
        <w:gridCol w:w="762"/>
        <w:gridCol w:w="813"/>
        <w:gridCol w:w="932"/>
        <w:gridCol w:w="932"/>
      </w:tblGrid>
      <w:tr>
        <w:trPr>
          <w:trHeight w:val="397" w:hRule="exact"/>
        </w:trPr>
        <w:tc>
          <w:tcPr>
            <w:tcW w:w="1623" w:type="dxa"/>
            <w:vMerge w:val="restart"/>
            <w:tcBorders>
              <w:top w:val="single" w:sz="4" w:space="0" w:color="000000"/>
              <w:left w:val="single" w:sz="4" w:space="0" w:color="000000"/>
              <w:right w:val="single" w:sz="4" w:space="0" w:color="000000"/>
            </w:tcBorders>
            <w:shd w:val="clear" w:color="auto" w:fill="D2D2D2"/>
          </w:tcPr>
          <w:p>
            <w:pP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66" w:hRule="exact"/>
        </w:trPr>
        <w:tc>
          <w:tcPr>
            <w:tcW w:w="1623" w:type="dxa"/>
            <w:vMerge/>
            <w:tcBorders>
              <w:left w:val="single" w:sz="4" w:space="0" w:color="000000"/>
              <w:bottom w:val="nil" w:sz="6" w:space="0" w:color="auto"/>
              <w:right w:val="single" w:sz="4" w:space="0" w:color="000000"/>
            </w:tcBorders>
            <w:shd w:val="clear" w:color="auto" w:fill="D2D2D2"/>
          </w:tcPr>
          <w:p>
            <w:pPr/>
          </w:p>
        </w:tc>
        <w:tc>
          <w:tcPr>
            <w:tcW w:w="152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
        </w:tc>
        <w:tc>
          <w:tcPr>
            <w:tcW w:w="141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34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506"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
        </w:tc>
      </w:tr>
      <w:tr>
        <w:trPr>
          <w:trHeight w:val="241" w:hRule="exact"/>
        </w:trPr>
        <w:tc>
          <w:tcPr>
            <w:tcW w:w="162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类别</w:t>
            </w:r>
          </w:p>
        </w:tc>
        <w:tc>
          <w:tcPr>
            <w:tcW w:w="1525" w:type="dxa"/>
            <w:gridSpan w:val="2"/>
            <w:vMerge/>
            <w:tcBorders>
              <w:left w:val="single" w:sz="4" w:space="0" w:color="000000"/>
              <w:bottom w:val="single" w:sz="4" w:space="0" w:color="000000"/>
              <w:right w:val="single" w:sz="4" w:space="0" w:color="000000"/>
            </w:tcBorders>
            <w:shd w:val="clear" w:color="auto" w:fill="D2D2D2"/>
          </w:tcPr>
          <w:p>
            <w:pPr/>
          </w:p>
        </w:tc>
        <w:tc>
          <w:tcPr>
            <w:tcW w:w="1524" w:type="dxa"/>
            <w:gridSpan w:val="2"/>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1416" w:type="dxa"/>
            <w:gridSpan w:val="2"/>
            <w:vMerge/>
            <w:tcBorders>
              <w:left w:val="single" w:sz="4" w:space="0" w:color="000000"/>
              <w:bottom w:val="single" w:sz="4" w:space="0" w:color="000000"/>
              <w:right w:val="single" w:sz="4" w:space="0" w:color="000000"/>
            </w:tcBorders>
            <w:shd w:val="clear" w:color="auto" w:fill="D2D2D2"/>
          </w:tcPr>
          <w:p>
            <w:pPr/>
          </w:p>
        </w:tc>
        <w:tc>
          <w:tcPr>
            <w:tcW w:w="1745" w:type="dxa"/>
            <w:gridSpan w:val="2"/>
            <w:vMerge/>
            <w:tcBorders>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158" w:hRule="exact"/>
        </w:trPr>
        <w:tc>
          <w:tcPr>
            <w:tcW w:w="1623" w:type="dxa"/>
            <w:vMerge/>
            <w:tcBorders>
              <w:left w:val="single" w:sz="4" w:space="0" w:color="000000"/>
              <w:bottom w:val="single" w:sz="4" w:space="0" w:color="FFFFFF"/>
              <w:right w:val="single" w:sz="4" w:space="0" w:color="000000"/>
            </w:tcBorders>
            <w:shd w:val="clear" w:color="auto" w:fill="D2D2D2"/>
          </w:tcPr>
          <w:p>
            <w:pPr/>
          </w:p>
        </w:tc>
        <w:tc>
          <w:tcPr>
            <w:tcW w:w="763"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tcBorders>
              <w:top w:val="single" w:sz="4" w:space="0" w:color="000000"/>
              <w:left w:val="single" w:sz="4" w:space="0" w:color="000000"/>
              <w:bottom w:val="single" w:sz="4" w:space="0" w:color="FFFFFF"/>
              <w:right w:val="single" w:sz="4" w:space="0" w:color="000000"/>
            </w:tcBorders>
            <w:shd w:val="clear" w:color="auto" w:fill="D2D2D2"/>
          </w:tcPr>
          <w:p>
            <w:pPr/>
          </w:p>
        </w:tc>
        <w:tc>
          <w:tcPr>
            <w:tcW w:w="762"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2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654" w:type="dxa"/>
            <w:tcBorders>
              <w:top w:val="single" w:sz="4" w:space="0" w:color="000000"/>
              <w:left w:val="single" w:sz="4" w:space="0" w:color="000000"/>
              <w:bottom w:val="nil" w:sz="6" w:space="0" w:color="auto"/>
              <w:right w:val="single" w:sz="4" w:space="0" w:color="000000"/>
            </w:tcBorders>
            <w:shd w:val="clear" w:color="auto" w:fill="D2D2D2"/>
          </w:tcPr>
          <w:p>
            <w:pPr/>
          </w:p>
        </w:tc>
        <w:tc>
          <w:tcPr>
            <w:tcW w:w="762" w:type="dxa"/>
            <w:tcBorders>
              <w:top w:val="single" w:sz="4" w:space="0" w:color="000000"/>
              <w:left w:val="single" w:sz="4" w:space="0" w:color="000000"/>
              <w:bottom w:val="nil" w:sz="6" w:space="0" w:color="auto"/>
              <w:right w:val="single" w:sz="4" w:space="0" w:color="000000"/>
            </w:tcBorders>
            <w:shd w:val="clear" w:color="auto" w:fill="D2D2D2"/>
          </w:tcPr>
          <w:p>
            <w:pPr/>
          </w:p>
        </w:tc>
        <w:tc>
          <w:tcPr>
            <w:tcW w:w="813"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tcBorders>
              <w:top w:val="single" w:sz="4" w:space="0" w:color="000000"/>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1"/>
              <w:ind w:left="100"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4" w:hRule="exact"/>
        </w:trPr>
        <w:tc>
          <w:tcPr>
            <w:tcW w:w="1623" w:type="dxa"/>
            <w:vMerge w:val="restart"/>
            <w:tcBorders>
              <w:top w:val="single" w:sz="4" w:space="0" w:color="FFFFFF"/>
              <w:left w:val="single" w:sz="4" w:space="0" w:color="000000"/>
              <w:right w:val="single" w:sz="4" w:space="0" w:color="000000"/>
            </w:tcBorders>
            <w:shd w:val="clear" w:color="auto" w:fill="D2D2D2"/>
          </w:tcPr>
          <w:p>
            <w:pPr/>
          </w:p>
        </w:tc>
        <w:tc>
          <w:tcPr>
            <w:tcW w:w="763"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vMerge w:val="restart"/>
            <w:tcBorders>
              <w:top w:val="single" w:sz="4" w:space="0" w:color="FFFFFF"/>
              <w:left w:val="single" w:sz="4" w:space="0" w:color="000000"/>
              <w:right w:val="single" w:sz="4" w:space="0" w:color="000000"/>
            </w:tcBorders>
            <w:shd w:val="clear" w:color="auto" w:fill="D2D2D2"/>
          </w:tcPr>
          <w:p>
            <w:pPr>
              <w:pStyle w:val="TableParagraph"/>
              <w:spacing w:line="240" w:lineRule="auto" w:before="49"/>
              <w:ind w:left="19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tcBorders>
              <w:left w:val="single" w:sz="4" w:space="0" w:color="000000"/>
              <w:right w:val="single" w:sz="4" w:space="0" w:color="000000"/>
            </w:tcBorders>
            <w:shd w:val="clear" w:color="auto" w:fill="D2D2D2"/>
          </w:tcPr>
          <w:p>
            <w:pPr/>
          </w:p>
        </w:tc>
        <w:tc>
          <w:tcPr>
            <w:tcW w:w="790" w:type="dxa"/>
            <w:vMerge/>
            <w:tcBorders>
              <w:left w:val="single" w:sz="4" w:space="0" w:color="000000"/>
              <w:bottom w:val="nil" w:sz="6" w:space="0" w:color="auto"/>
              <w:right w:val="single" w:sz="4" w:space="0" w:color="000000"/>
            </w:tcBorders>
            <w:shd w:val="clear" w:color="auto" w:fill="D2D2D2"/>
          </w:tcPr>
          <w:p>
            <w:pPr/>
          </w:p>
        </w:tc>
        <w:tc>
          <w:tcPr>
            <w:tcW w:w="654"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22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3"/>
              <w:ind w:left="10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932" w:type="dxa"/>
            <w:vMerge/>
            <w:tcBorders>
              <w:left w:val="single" w:sz="4" w:space="0" w:color="000000"/>
              <w:bottom w:val="nil" w:sz="6" w:space="0" w:color="auto"/>
              <w:right w:val="single" w:sz="4" w:space="0" w:color="000000"/>
            </w:tcBorders>
            <w:shd w:val="clear" w:color="auto" w:fill="D2D2D2"/>
          </w:tcPr>
          <w:p>
            <w:pPr/>
          </w:p>
        </w:tc>
      </w:tr>
      <w:tr>
        <w:trPr>
          <w:trHeight w:val="200" w:hRule="exact"/>
        </w:trPr>
        <w:tc>
          <w:tcPr>
            <w:tcW w:w="1623" w:type="dxa"/>
            <w:vMerge/>
            <w:tcBorders>
              <w:left w:val="single" w:sz="4" w:space="0" w:color="000000"/>
              <w:right w:val="single" w:sz="4" w:space="0" w:color="000000"/>
            </w:tcBorders>
            <w:shd w:val="clear" w:color="auto" w:fill="D2D2D2"/>
          </w:tcPr>
          <w:p>
            <w:pPr/>
          </w:p>
        </w:tc>
        <w:tc>
          <w:tcPr>
            <w:tcW w:w="763"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right w:val="single" w:sz="4" w:space="0" w:color="000000"/>
            </w:tcBorders>
            <w:shd w:val="clear" w:color="auto" w:fill="D2D2D2"/>
          </w:tcPr>
          <w:p>
            <w:pPr/>
          </w:p>
        </w:tc>
        <w:tc>
          <w:tcPr>
            <w:tcW w:w="790" w:type="dxa"/>
            <w:vMerge w:val="restart"/>
            <w:tcBorders>
              <w:top w:val="nil" w:sz="6" w:space="0" w:color="auto"/>
              <w:left w:val="single" w:sz="4" w:space="0" w:color="000000"/>
              <w:right w:val="single" w:sz="4" w:space="0" w:color="000000"/>
            </w:tcBorders>
            <w:shd w:val="clear" w:color="auto" w:fill="D2D2D2"/>
          </w:tcPr>
          <w:p>
            <w:pPr/>
          </w:p>
        </w:tc>
        <w:tc>
          <w:tcPr>
            <w:tcW w:w="654" w:type="dxa"/>
            <w:vMerge/>
            <w:tcBorders>
              <w:left w:val="single" w:sz="4" w:space="0" w:color="000000"/>
              <w:bottom w:val="nil" w:sz="6" w:space="0" w:color="auto"/>
              <w:right w:val="single" w:sz="4" w:space="0" w:color="000000"/>
            </w:tcBorders>
            <w:shd w:val="clear" w:color="auto" w:fill="D2D2D2"/>
          </w:tcPr>
          <w:p>
            <w:pPr/>
          </w:p>
        </w:tc>
        <w:tc>
          <w:tcPr>
            <w:tcW w:w="762" w:type="dxa"/>
            <w:vMerge/>
            <w:tcBorders>
              <w:left w:val="single" w:sz="4" w:space="0" w:color="000000"/>
              <w:bottom w:val="nil" w:sz="6" w:space="0" w:color="auto"/>
              <w:right w:val="single" w:sz="4" w:space="0" w:color="000000"/>
            </w:tcBorders>
            <w:shd w:val="clear" w:color="auto" w:fill="D2D2D2"/>
          </w:tcPr>
          <w:p>
            <w:pPr/>
          </w:p>
        </w:tc>
        <w:tc>
          <w:tcPr>
            <w:tcW w:w="813" w:type="dxa"/>
            <w:vMerge/>
            <w:tcBorders>
              <w:left w:val="single" w:sz="4" w:space="0" w:color="000000"/>
              <w:bottom w:val="nil" w:sz="6" w:space="0" w:color="auto"/>
              <w:right w:val="single" w:sz="4" w:space="0" w:color="000000"/>
            </w:tcBorders>
            <w:shd w:val="clear" w:color="auto" w:fill="D2D2D2"/>
          </w:tcPr>
          <w:p>
            <w:pPr/>
          </w:p>
        </w:tc>
        <w:tc>
          <w:tcPr>
            <w:tcW w:w="932" w:type="dxa"/>
            <w:vMerge/>
            <w:tcBorders>
              <w:left w:val="single" w:sz="4" w:space="0" w:color="000000"/>
              <w:bottom w:val="nil" w:sz="6" w:space="0" w:color="auto"/>
              <w:right w:val="single" w:sz="4" w:space="0" w:color="000000"/>
            </w:tcBorders>
            <w:shd w:val="clear" w:color="auto" w:fill="D2D2D2"/>
          </w:tcPr>
          <w:p>
            <w:pPr/>
          </w:p>
        </w:tc>
        <w:tc>
          <w:tcPr>
            <w:tcW w:w="932" w:type="dxa"/>
            <w:vMerge w:val="restart"/>
            <w:tcBorders>
              <w:top w:val="nil" w:sz="6" w:space="0" w:color="auto"/>
              <w:left w:val="single" w:sz="4" w:space="0" w:color="000000"/>
              <w:right w:val="single" w:sz="4" w:space="0" w:color="000000"/>
            </w:tcBorders>
            <w:shd w:val="clear" w:color="auto" w:fill="D2D2D2"/>
          </w:tcPr>
          <w:p>
            <w:pPr/>
          </w:p>
        </w:tc>
      </w:tr>
      <w:tr>
        <w:trPr>
          <w:trHeight w:val="161" w:hRule="exact"/>
        </w:trPr>
        <w:tc>
          <w:tcPr>
            <w:tcW w:w="1623"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vMerge/>
            <w:tcBorders>
              <w:left w:val="single" w:sz="4" w:space="0" w:color="000000"/>
              <w:bottom w:val="single" w:sz="4" w:space="0" w:color="000000"/>
              <w:right w:val="single" w:sz="4" w:space="0" w:color="000000"/>
            </w:tcBorders>
            <w:shd w:val="clear" w:color="auto" w:fill="D2D2D2"/>
          </w:tcPr>
          <w:p>
            <w:pP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nil" w:sz="6" w:space="0" w:color="auto"/>
              <w:left w:val="single" w:sz="4" w:space="0" w:color="000000"/>
              <w:bottom w:val="single" w:sz="4" w:space="0" w:color="000000"/>
              <w:right w:val="single" w:sz="4" w:space="0" w:color="000000"/>
            </w:tcBorders>
            <w:shd w:val="clear" w:color="auto" w:fill="D2D2D2"/>
          </w:tcPr>
          <w:p>
            <w:pPr/>
          </w:p>
        </w:tc>
        <w:tc>
          <w:tcPr>
            <w:tcW w:w="762" w:type="dxa"/>
            <w:tcBorders>
              <w:top w:val="nil" w:sz="6" w:space="0" w:color="auto"/>
              <w:left w:val="single" w:sz="4" w:space="0" w:color="000000"/>
              <w:bottom w:val="single" w:sz="4" w:space="0" w:color="000000"/>
              <w:right w:val="single" w:sz="4" w:space="0" w:color="000000"/>
            </w:tcBorders>
            <w:shd w:val="clear" w:color="auto" w:fill="D2D2D2"/>
          </w:tcPr>
          <w:p>
            <w:pPr/>
          </w:p>
        </w:tc>
        <w:tc>
          <w:tcPr>
            <w:tcW w:w="813"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tcBorders>
              <w:top w:val="nil" w:sz="6" w:space="0" w:color="auto"/>
              <w:left w:val="single" w:sz="4" w:space="0" w:color="000000"/>
              <w:bottom w:val="single" w:sz="4" w:space="0" w:color="000000"/>
              <w:right w:val="single" w:sz="4" w:space="0" w:color="000000"/>
            </w:tcBorders>
            <w:shd w:val="clear" w:color="auto" w:fill="D2D2D2"/>
          </w:tcPr>
          <w:p>
            <w:pP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160"/>
              <w:jc w:val="both"/>
              <w:rPr>
                <w:rFonts w:ascii="宋体" w:hAnsi="宋体" w:cs="宋体" w:eastAsia="宋体" w:hint="default"/>
                <w:sz w:val="18"/>
                <w:szCs w:val="18"/>
              </w:rPr>
            </w:pPr>
            <w:r>
              <w:rPr>
                <w:rFonts w:ascii="宋体" w:hAnsi="宋体" w:cs="宋体" w:eastAsia="宋体" w:hint="default"/>
                <w:sz w:val="18"/>
                <w:szCs w:val="18"/>
              </w:rPr>
              <w:t>按信用风险特征组 合计提坏账准备的 其他应收款</w:t>
            </w:r>
          </w:p>
        </w:tc>
        <w:tc>
          <w:tcPr>
            <w:tcW w:w="763"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7" w:right="0"/>
              <w:jc w:val="left"/>
              <w:rPr>
                <w:rFonts w:ascii="Times New Roman" w:hAnsi="Times New Roman" w:cs="Times New Roman" w:eastAsia="Times New Roman" w:hint="default"/>
                <w:sz w:val="18"/>
                <w:szCs w:val="18"/>
              </w:rPr>
            </w:pPr>
            <w:r>
              <w:rPr>
                <w:rFonts w:ascii="Times New Roman"/>
                <w:sz w:val="18"/>
              </w:rPr>
              <w:t>15,481,0</w:t>
            </w:r>
          </w:p>
          <w:p>
            <w:pPr>
              <w:pStyle w:val="TableParagraph"/>
              <w:spacing w:line="240" w:lineRule="auto" w:before="106"/>
              <w:ind w:left="313" w:right="0"/>
              <w:jc w:val="left"/>
              <w:rPr>
                <w:rFonts w:ascii="Times New Roman" w:hAnsi="Times New Roman" w:cs="Times New Roman" w:eastAsia="Times New Roman" w:hint="default"/>
                <w:sz w:val="18"/>
                <w:szCs w:val="18"/>
              </w:rPr>
            </w:pPr>
            <w:r>
              <w:rPr>
                <w:rFonts w:ascii="Times New Roman"/>
                <w:sz w:val="18"/>
              </w:rPr>
              <w:t>93.48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z w:val="18"/>
              </w:rPr>
              <w:t>439,731.</w:t>
            </w:r>
          </w:p>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z w:val="18"/>
              </w:rPr>
              <w:t>53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2.84%</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7" w:right="0"/>
              <w:jc w:val="left"/>
              <w:rPr>
                <w:rFonts w:ascii="Times New Roman" w:hAnsi="Times New Roman" w:cs="Times New Roman" w:eastAsia="Times New Roman" w:hint="default"/>
                <w:sz w:val="18"/>
                <w:szCs w:val="18"/>
              </w:rPr>
            </w:pPr>
            <w:r>
              <w:rPr>
                <w:rFonts w:ascii="Times New Roman"/>
                <w:sz w:val="18"/>
              </w:rPr>
              <w:t>15,041,36</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1.95</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0" w:right="0"/>
              <w:jc w:val="left"/>
              <w:rPr>
                <w:rFonts w:ascii="Times New Roman" w:hAnsi="Times New Roman" w:cs="Times New Roman" w:eastAsia="Times New Roman" w:hint="default"/>
                <w:sz w:val="18"/>
                <w:szCs w:val="18"/>
              </w:rPr>
            </w:pPr>
            <w:r>
              <w:rPr>
                <w:rFonts w:ascii="Times New Roman"/>
                <w:sz w:val="18"/>
              </w:rPr>
              <w:t>15,150,</w:t>
            </w:r>
          </w:p>
          <w:p>
            <w:pPr>
              <w:pStyle w:val="TableParagraph"/>
              <w:spacing w:line="240" w:lineRule="auto" w:before="106"/>
              <w:ind w:left="126" w:right="0"/>
              <w:jc w:val="left"/>
              <w:rPr>
                <w:rFonts w:ascii="Times New Roman" w:hAnsi="Times New Roman" w:cs="Times New Roman" w:eastAsia="Times New Roman" w:hint="default"/>
                <w:sz w:val="18"/>
                <w:szCs w:val="18"/>
              </w:rPr>
            </w:pPr>
            <w:r>
              <w:rPr>
                <w:rFonts w:ascii="Times New Roman"/>
                <w:sz w:val="18"/>
              </w:rPr>
              <w:t>109.24</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704,524.7</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2</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4.65%</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14,445,584.</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52</w:t>
            </w:r>
          </w:p>
        </w:tc>
      </w:tr>
      <w:tr>
        <w:trPr>
          <w:trHeight w:val="161" w:hRule="exact"/>
        </w:trPr>
        <w:tc>
          <w:tcPr>
            <w:tcW w:w="1623" w:type="dxa"/>
            <w:tcBorders>
              <w:top w:val="single" w:sz="4" w:space="0" w:color="000000"/>
              <w:left w:val="single" w:sz="4" w:space="0" w:color="000000"/>
              <w:bottom w:val="nil" w:sz="6" w:space="0" w:color="auto"/>
              <w:right w:val="single" w:sz="4" w:space="0" w:color="000000"/>
            </w:tcBorders>
            <w:shd w:val="clear" w:color="auto" w:fill="D2D2D2"/>
          </w:tcPr>
          <w:p>
            <w:pPr/>
          </w:p>
        </w:tc>
        <w:tc>
          <w:tcPr>
            <w:tcW w:w="763" w:type="dxa"/>
            <w:vMerge w:val="restart"/>
            <w:tcBorders>
              <w:top w:val="single" w:sz="4" w:space="0" w:color="000000"/>
              <w:left w:val="single" w:sz="9" w:space="0" w:color="D2D2D2"/>
              <w:right w:val="single" w:sz="4" w:space="0" w:color="000000"/>
            </w:tcBorders>
          </w:tcPr>
          <w:p>
            <w:pPr>
              <w:pStyle w:val="TableParagraph"/>
              <w:spacing w:line="240" w:lineRule="auto" w:before="91"/>
              <w:ind w:left="93" w:right="0"/>
              <w:jc w:val="left"/>
              <w:rPr>
                <w:rFonts w:ascii="Times New Roman" w:hAnsi="Times New Roman" w:cs="Times New Roman" w:eastAsia="Times New Roman" w:hint="default"/>
                <w:sz w:val="18"/>
                <w:szCs w:val="18"/>
              </w:rPr>
            </w:pPr>
            <w:r>
              <w:rPr>
                <w:rFonts w:ascii="Times New Roman"/>
                <w:sz w:val="18"/>
              </w:rPr>
              <w:t>15,481,0</w:t>
            </w:r>
          </w:p>
          <w:p>
            <w:pPr>
              <w:pStyle w:val="TableParagraph"/>
              <w:spacing w:line="240" w:lineRule="auto" w:before="106"/>
              <w:ind w:left="318" w:right="0"/>
              <w:jc w:val="left"/>
              <w:rPr>
                <w:rFonts w:ascii="Times New Roman" w:hAnsi="Times New Roman" w:cs="Times New Roman" w:eastAsia="Times New Roman" w:hint="default"/>
                <w:sz w:val="18"/>
                <w:szCs w:val="18"/>
              </w:rPr>
            </w:pPr>
            <w:r>
              <w:rPr>
                <w:rFonts w:ascii="Times New Roman"/>
                <w:sz w:val="18"/>
              </w:rPr>
              <w:t>93.48</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91"/>
              <w:ind w:right="22"/>
              <w:jc w:val="right"/>
              <w:rPr>
                <w:rFonts w:ascii="Times New Roman" w:hAnsi="Times New Roman" w:cs="Times New Roman" w:eastAsia="Times New Roman" w:hint="default"/>
                <w:sz w:val="18"/>
                <w:szCs w:val="18"/>
              </w:rPr>
            </w:pPr>
            <w:r>
              <w:rPr>
                <w:rFonts w:ascii="Times New Roman"/>
                <w:sz w:val="18"/>
              </w:rPr>
              <w:t>439,731.</w:t>
            </w:r>
          </w:p>
          <w:p>
            <w:pPr>
              <w:pStyle w:val="TableParagraph"/>
              <w:spacing w:line="240" w:lineRule="auto" w:before="106"/>
              <w:ind w:right="22"/>
              <w:jc w:val="right"/>
              <w:rPr>
                <w:rFonts w:ascii="Times New Roman" w:hAnsi="Times New Roman" w:cs="Times New Roman" w:eastAsia="Times New Roman" w:hint="default"/>
                <w:sz w:val="18"/>
                <w:szCs w:val="18"/>
              </w:rPr>
            </w:pPr>
            <w:r>
              <w:rPr>
                <w:rFonts w:ascii="Times New Roman"/>
                <w:sz w:val="18"/>
              </w:rPr>
              <w:t>53</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65" w:right="0"/>
              <w:jc w:val="left"/>
              <w:rPr>
                <w:rFonts w:ascii="Times New Roman" w:hAnsi="Times New Roman" w:cs="Times New Roman" w:eastAsia="Times New Roman" w:hint="default"/>
                <w:sz w:val="18"/>
                <w:szCs w:val="18"/>
              </w:rPr>
            </w:pPr>
            <w:r>
              <w:rPr>
                <w:rFonts w:ascii="Times New Roman"/>
                <w:sz w:val="18"/>
              </w:rPr>
              <w:t>2.84%</w:t>
            </w:r>
          </w:p>
        </w:tc>
        <w:tc>
          <w:tcPr>
            <w:tcW w:w="790" w:type="dxa"/>
            <w:vMerge w:val="restart"/>
            <w:tcBorders>
              <w:top w:val="single" w:sz="4" w:space="0" w:color="000000"/>
              <w:left w:val="single" w:sz="4" w:space="0" w:color="000000"/>
              <w:right w:val="single" w:sz="4" w:space="0" w:color="000000"/>
            </w:tcBorders>
          </w:tcPr>
          <w:p>
            <w:pPr>
              <w:pStyle w:val="TableParagraph"/>
              <w:spacing w:line="240" w:lineRule="auto" w:before="91"/>
              <w:ind w:left="37" w:right="0"/>
              <w:jc w:val="left"/>
              <w:rPr>
                <w:rFonts w:ascii="Times New Roman" w:hAnsi="Times New Roman" w:cs="Times New Roman" w:eastAsia="Times New Roman" w:hint="default"/>
                <w:sz w:val="18"/>
                <w:szCs w:val="18"/>
              </w:rPr>
            </w:pPr>
            <w:r>
              <w:rPr>
                <w:rFonts w:ascii="Times New Roman"/>
                <w:sz w:val="18"/>
              </w:rPr>
              <w:t>15,041,36</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1.95</w:t>
            </w:r>
          </w:p>
        </w:tc>
        <w:tc>
          <w:tcPr>
            <w:tcW w:w="654" w:type="dxa"/>
            <w:vMerge w:val="restart"/>
            <w:tcBorders>
              <w:top w:val="single" w:sz="4" w:space="0" w:color="000000"/>
              <w:left w:val="single" w:sz="4" w:space="0" w:color="000000"/>
              <w:right w:val="single" w:sz="4" w:space="0" w:color="000000"/>
            </w:tcBorders>
          </w:tcPr>
          <w:p>
            <w:pPr>
              <w:pStyle w:val="TableParagraph"/>
              <w:spacing w:line="240" w:lineRule="auto" w:before="91"/>
              <w:ind w:left="80" w:right="0"/>
              <w:jc w:val="left"/>
              <w:rPr>
                <w:rFonts w:ascii="Times New Roman" w:hAnsi="Times New Roman" w:cs="Times New Roman" w:eastAsia="Times New Roman" w:hint="default"/>
                <w:sz w:val="18"/>
                <w:szCs w:val="18"/>
              </w:rPr>
            </w:pPr>
            <w:r>
              <w:rPr>
                <w:rFonts w:ascii="Times New Roman"/>
                <w:sz w:val="18"/>
              </w:rPr>
              <w:t>15,150,</w:t>
            </w:r>
          </w:p>
          <w:p>
            <w:pPr>
              <w:pStyle w:val="TableParagraph"/>
              <w:spacing w:line="240" w:lineRule="auto" w:before="106"/>
              <w:ind w:left="126" w:right="0"/>
              <w:jc w:val="left"/>
              <w:rPr>
                <w:rFonts w:ascii="Times New Roman" w:hAnsi="Times New Roman" w:cs="Times New Roman" w:eastAsia="Times New Roman" w:hint="default"/>
                <w:sz w:val="18"/>
                <w:szCs w:val="18"/>
              </w:rPr>
            </w:pPr>
            <w:r>
              <w:rPr>
                <w:rFonts w:ascii="Times New Roman"/>
                <w:sz w:val="18"/>
              </w:rPr>
              <w:t>109.24</w:t>
            </w:r>
          </w:p>
        </w:tc>
        <w:tc>
          <w:tcPr>
            <w:tcW w:w="76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3" w:right="0"/>
              <w:jc w:val="left"/>
              <w:rPr>
                <w:rFonts w:ascii="Times New Roman" w:hAnsi="Times New Roman" w:cs="Times New Roman" w:eastAsia="Times New Roman" w:hint="default"/>
                <w:sz w:val="18"/>
                <w:szCs w:val="18"/>
              </w:rPr>
            </w:pPr>
            <w:r>
              <w:rPr>
                <w:rFonts w:ascii="Times New Roman"/>
                <w:sz w:val="18"/>
              </w:rPr>
              <w:t>100.00%</w:t>
            </w:r>
          </w:p>
        </w:tc>
        <w:tc>
          <w:tcPr>
            <w:tcW w:w="813" w:type="dxa"/>
            <w:vMerge w:val="restart"/>
            <w:tcBorders>
              <w:top w:val="single" w:sz="4" w:space="0" w:color="000000"/>
              <w:left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704,524.7</w:t>
            </w:r>
          </w:p>
          <w:p>
            <w:pPr>
              <w:pStyle w:val="TableParagraph"/>
              <w:spacing w:line="240" w:lineRule="auto" w:before="106"/>
              <w:ind w:right="20"/>
              <w:jc w:val="right"/>
              <w:rPr>
                <w:rFonts w:ascii="Times New Roman" w:hAnsi="Times New Roman" w:cs="Times New Roman" w:eastAsia="Times New Roman" w:hint="default"/>
                <w:sz w:val="18"/>
                <w:szCs w:val="18"/>
              </w:rPr>
            </w:pPr>
            <w:r>
              <w:rPr>
                <w:rFonts w:ascii="Times New Roman"/>
                <w:sz w:val="18"/>
              </w:rPr>
              <w:t>2</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35" w:right="0"/>
              <w:jc w:val="left"/>
              <w:rPr>
                <w:rFonts w:ascii="Times New Roman" w:hAnsi="Times New Roman" w:cs="Times New Roman" w:eastAsia="Times New Roman" w:hint="default"/>
                <w:sz w:val="18"/>
                <w:szCs w:val="18"/>
              </w:rPr>
            </w:pPr>
            <w:r>
              <w:rPr>
                <w:rFonts w:ascii="Times New Roman"/>
                <w:sz w:val="18"/>
              </w:rPr>
              <w:t>4.65%</w:t>
            </w:r>
          </w:p>
        </w:tc>
        <w:tc>
          <w:tcPr>
            <w:tcW w:w="932" w:type="dxa"/>
            <w:vMerge w:val="restart"/>
            <w:tcBorders>
              <w:top w:val="single" w:sz="4" w:space="0" w:color="000000"/>
              <w:left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14,445,584.</w:t>
            </w:r>
          </w:p>
          <w:p>
            <w:pPr>
              <w:pStyle w:val="TableParagraph"/>
              <w:spacing w:line="240" w:lineRule="auto" w:before="106"/>
              <w:ind w:right="23"/>
              <w:jc w:val="right"/>
              <w:rPr>
                <w:rFonts w:ascii="Times New Roman" w:hAnsi="Times New Roman" w:cs="Times New Roman" w:eastAsia="Times New Roman" w:hint="default"/>
                <w:sz w:val="18"/>
                <w:szCs w:val="18"/>
              </w:rPr>
            </w:pPr>
            <w:r>
              <w:rPr>
                <w:rFonts w:ascii="Times New Roman"/>
                <w:sz w:val="18"/>
              </w:rPr>
              <w:t>52</w:t>
            </w:r>
          </w:p>
        </w:tc>
      </w:tr>
      <w:tr>
        <w:trPr>
          <w:trHeight w:val="393" w:hRule="exact"/>
        </w:trPr>
        <w:tc>
          <w:tcPr>
            <w:tcW w:w="1623"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vMerge/>
            <w:tcBorders>
              <w:left w:val="single" w:sz="9" w:space="0" w:color="D2D2D2"/>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790" w:type="dxa"/>
            <w:vMerge/>
            <w:tcBorders>
              <w:left w:val="single" w:sz="4" w:space="0" w:color="000000"/>
              <w:right w:val="single" w:sz="4" w:space="0" w:color="000000"/>
            </w:tcBorders>
          </w:tcPr>
          <w:p>
            <w:pPr/>
          </w:p>
        </w:tc>
        <w:tc>
          <w:tcPr>
            <w:tcW w:w="654" w:type="dxa"/>
            <w:vMerge/>
            <w:tcBorders>
              <w:left w:val="single" w:sz="4" w:space="0" w:color="000000"/>
              <w:right w:val="single" w:sz="4" w:space="0" w:color="000000"/>
            </w:tcBorders>
          </w:tcPr>
          <w:p>
            <w:pPr/>
          </w:p>
        </w:tc>
        <w:tc>
          <w:tcPr>
            <w:tcW w:w="762" w:type="dxa"/>
            <w:vMerge/>
            <w:tcBorders>
              <w:left w:val="single" w:sz="4" w:space="0" w:color="000000"/>
              <w:right w:val="single" w:sz="4" w:space="0" w:color="000000"/>
            </w:tcBorders>
          </w:tcPr>
          <w:p>
            <w:pPr/>
          </w:p>
        </w:tc>
        <w:tc>
          <w:tcPr>
            <w:tcW w:w="813"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c>
          <w:tcPr>
            <w:tcW w:w="932" w:type="dxa"/>
            <w:vMerge/>
            <w:tcBorders>
              <w:left w:val="single" w:sz="4" w:space="0" w:color="000000"/>
              <w:right w:val="single" w:sz="4" w:space="0" w:color="000000"/>
            </w:tcBorders>
          </w:tcPr>
          <w:p>
            <w:pPr/>
          </w:p>
        </w:tc>
      </w:tr>
      <w:tr>
        <w:trPr>
          <w:trHeight w:val="161" w:hRule="exact"/>
        </w:trPr>
        <w:tc>
          <w:tcPr>
            <w:tcW w:w="1623" w:type="dxa"/>
            <w:tcBorders>
              <w:top w:val="nil" w:sz="6" w:space="0" w:color="auto"/>
              <w:left w:val="single" w:sz="4" w:space="0" w:color="000000"/>
              <w:bottom w:val="single" w:sz="4" w:space="0" w:color="000000"/>
              <w:right w:val="single" w:sz="4" w:space="0" w:color="000000"/>
            </w:tcBorders>
            <w:shd w:val="clear" w:color="auto" w:fill="D2D2D2"/>
          </w:tcPr>
          <w:p>
            <w:pPr/>
          </w:p>
        </w:tc>
        <w:tc>
          <w:tcPr>
            <w:tcW w:w="763" w:type="dxa"/>
            <w:vMerge/>
            <w:tcBorders>
              <w:left w:val="single" w:sz="9" w:space="0" w:color="D2D2D2"/>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790" w:type="dxa"/>
            <w:vMerge/>
            <w:tcBorders>
              <w:left w:val="single" w:sz="4" w:space="0" w:color="000000"/>
              <w:bottom w:val="single" w:sz="4" w:space="0" w:color="000000"/>
              <w:right w:val="single" w:sz="4" w:space="0" w:color="000000"/>
            </w:tcBorders>
          </w:tcPr>
          <w:p>
            <w:pPr/>
          </w:p>
        </w:tc>
        <w:tc>
          <w:tcPr>
            <w:tcW w:w="654" w:type="dxa"/>
            <w:vMerge/>
            <w:tcBorders>
              <w:left w:val="single" w:sz="4" w:space="0" w:color="000000"/>
              <w:bottom w:val="single" w:sz="4" w:space="0" w:color="000000"/>
              <w:right w:val="single" w:sz="4" w:space="0" w:color="000000"/>
            </w:tcBorders>
          </w:tcPr>
          <w:p>
            <w:pPr/>
          </w:p>
        </w:tc>
        <w:tc>
          <w:tcPr>
            <w:tcW w:w="762" w:type="dxa"/>
            <w:vMerge/>
            <w:tcBorders>
              <w:left w:val="single" w:sz="4" w:space="0" w:color="000000"/>
              <w:bottom w:val="single" w:sz="4" w:space="0" w:color="000000"/>
              <w:right w:val="single" w:sz="4" w:space="0" w:color="000000"/>
            </w:tcBorders>
          </w:tcPr>
          <w:p>
            <w:pPr/>
          </w:p>
        </w:tc>
        <w:tc>
          <w:tcPr>
            <w:tcW w:w="813"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c>
          <w:tcPr>
            <w:tcW w:w="932" w:type="dxa"/>
            <w:vMerge/>
            <w:tcBorders>
              <w:left w:val="single" w:sz="4" w:space="0" w:color="000000"/>
              <w:bottom w:val="single" w:sz="4" w:space="0" w:color="000000"/>
              <w:right w:val="single" w:sz="4" w:space="0" w:color="000000"/>
            </w:tcBorders>
          </w:tcPr>
          <w:p>
            <w:pPr/>
          </w:p>
        </w:tc>
      </w:tr>
    </w:tbl>
    <w:p>
      <w:pPr>
        <w:pStyle w:val="BodyText"/>
        <w:spacing w:line="240" w:lineRule="auto" w:before="51"/>
        <w:ind w:right="1134"/>
        <w:jc w:val="left"/>
      </w:pPr>
      <w:r>
        <w:rPr/>
        <w:t>期末单项金额重大并单项计提坏账准备的其他应收款：</w:t>
      </w:r>
    </w:p>
    <w:p>
      <w:pPr>
        <w:pStyle w:val="BodyText"/>
        <w:spacing w:line="338" w:lineRule="auto" w:before="117"/>
        <w:ind w:right="66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组合中，按账龄分析法计提坏账准备的其他应收款：</w:t>
      </w:r>
    </w:p>
    <w:p>
      <w:pPr>
        <w:spacing w:after="0" w:line="338" w:lineRule="auto"/>
        <w:jc w:val="left"/>
        <w:sectPr>
          <w:pgSz w:w="11910" w:h="16840"/>
          <w:pgMar w:header="747" w:footer="979"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2"/>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60" w:type="dxa"/>
        <w:tblLayout w:type="fixed"/>
        <w:tblCellMar>
          <w:top w:w="0" w:type="dxa"/>
          <w:left w:w="0" w:type="dxa"/>
          <w:bottom w:w="0" w:type="dxa"/>
          <w:right w:w="0" w:type="dxa"/>
        </w:tblCellMar>
        <w:tblLook w:val="01E0"/>
      </w:tblPr>
      <w:tblGrid>
        <w:gridCol w:w="2476"/>
        <w:gridCol w:w="2301"/>
        <w:gridCol w:w="2390"/>
        <w:gridCol w:w="2390"/>
      </w:tblGrid>
      <w:tr>
        <w:trPr>
          <w:trHeight w:val="205" w:hRule="exact"/>
        </w:trPr>
        <w:tc>
          <w:tcPr>
            <w:tcW w:w="2476" w:type="dxa"/>
            <w:tcBorders>
              <w:top w:val="single" w:sz="4" w:space="0" w:color="000000"/>
              <w:left w:val="single" w:sz="4" w:space="0" w:color="000000"/>
              <w:bottom w:val="nil" w:sz="6" w:space="0" w:color="auto"/>
              <w:right w:val="single" w:sz="4" w:space="0" w:color="000000"/>
            </w:tcBorders>
            <w:shd w:val="clear" w:color="auto" w:fill="D2D2D2"/>
          </w:tcPr>
          <w:p>
            <w:pPr/>
          </w:p>
        </w:tc>
        <w:tc>
          <w:tcPr>
            <w:tcW w:w="7081"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1"/>
              <w:ind w:left="5"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192" w:hRule="exact"/>
        </w:trPr>
        <w:tc>
          <w:tcPr>
            <w:tcW w:w="2476"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5"/>
              <w:jc w:val="center"/>
              <w:rPr>
                <w:rFonts w:ascii="宋体" w:hAnsi="宋体" w:cs="宋体" w:eastAsia="宋体" w:hint="default"/>
                <w:sz w:val="18"/>
                <w:szCs w:val="18"/>
              </w:rPr>
            </w:pPr>
            <w:r>
              <w:rPr>
                <w:rFonts w:ascii="宋体" w:hAnsi="宋体" w:cs="宋体" w:eastAsia="宋体" w:hint="default"/>
                <w:sz w:val="18"/>
                <w:szCs w:val="18"/>
              </w:rPr>
              <w:t>账龄</w:t>
            </w:r>
          </w:p>
        </w:tc>
        <w:tc>
          <w:tcPr>
            <w:tcW w:w="7081" w:type="dxa"/>
            <w:gridSpan w:val="3"/>
            <w:vMerge/>
            <w:tcBorders>
              <w:left w:val="single" w:sz="4" w:space="0" w:color="000000"/>
              <w:bottom w:val="single" w:sz="4" w:space="0" w:color="000000"/>
              <w:right w:val="single" w:sz="4" w:space="0" w:color="000000"/>
            </w:tcBorders>
            <w:shd w:val="clear" w:color="auto" w:fill="D2D2D2"/>
          </w:tcPr>
          <w:p>
            <w:pPr/>
          </w:p>
        </w:tc>
      </w:tr>
      <w:tr>
        <w:trPr>
          <w:trHeight w:val="200" w:hRule="exact"/>
        </w:trPr>
        <w:tc>
          <w:tcPr>
            <w:tcW w:w="2476" w:type="dxa"/>
            <w:vMerge/>
            <w:tcBorders>
              <w:left w:val="single" w:sz="4" w:space="0" w:color="000000"/>
              <w:bottom w:val="nil" w:sz="6" w:space="0" w:color="auto"/>
              <w:right w:val="single" w:sz="4" w:space="0" w:color="000000"/>
            </w:tcBorders>
            <w:shd w:val="clear" w:color="auto" w:fill="D2D2D2"/>
          </w:tcPr>
          <w:p>
            <w:pPr/>
          </w:p>
        </w:tc>
        <w:tc>
          <w:tcPr>
            <w:tcW w:w="23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left="698"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212" w:hRule="exact"/>
        </w:trPr>
        <w:tc>
          <w:tcPr>
            <w:tcW w:w="2476" w:type="dxa"/>
            <w:tcBorders>
              <w:top w:val="nil" w:sz="6" w:space="0" w:color="auto"/>
              <w:left w:val="single" w:sz="4" w:space="0" w:color="000000"/>
              <w:bottom w:val="single" w:sz="4" w:space="0" w:color="000000"/>
              <w:right w:val="single" w:sz="4" w:space="0" w:color="000000"/>
            </w:tcBorders>
            <w:shd w:val="clear" w:color="auto" w:fill="D2D2D2"/>
          </w:tcPr>
          <w:p>
            <w:pPr/>
          </w:p>
        </w:tc>
        <w:tc>
          <w:tcPr>
            <w:tcW w:w="2301" w:type="dxa"/>
            <w:vMerge/>
            <w:tcBorders>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c>
          <w:tcPr>
            <w:tcW w:w="2390" w:type="dxa"/>
            <w:vMerge/>
            <w:tcBorders>
              <w:left w:val="single" w:sz="4" w:space="0" w:color="000000"/>
              <w:bottom w:val="single" w:sz="4" w:space="0" w:color="000000"/>
              <w:right w:val="single" w:sz="4" w:space="0" w:color="000000"/>
            </w:tcBorders>
            <w:shd w:val="clear" w:color="auto" w:fill="D2D2D2"/>
          </w:tcPr>
          <w:p>
            <w:pPr/>
          </w:p>
        </w:tc>
      </w:tr>
      <w:tr>
        <w:trPr>
          <w:trHeight w:val="397" w:hRule="exact"/>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1,699,580.55</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84,979.03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1,418,814.10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113,505.13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422,975.37</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84,595.07</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20.00%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160,695.00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80,347.50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81,256.00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65,004.80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80.00%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11,300.00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11,300.00</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47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01"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3,794,621.02</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439,731.53</w:t>
            </w:r>
          </w:p>
        </w:tc>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2"/>
                <w:sz w:val="18"/>
              </w:rPr>
              <w:t>11.59%</w:t>
            </w:r>
          </w:p>
        </w:tc>
      </w:tr>
    </w:tbl>
    <w:p>
      <w:pPr>
        <w:pStyle w:val="BodyText"/>
        <w:spacing w:line="360" w:lineRule="auto" w:before="51"/>
        <w:ind w:right="6252"/>
        <w:jc w:val="left"/>
      </w:pPr>
      <w:r>
        <w:rPr/>
        <w:t>确定该组合依据的说明： 组合中，采用余额百分比法计提坏账准备的其他应收款：</w:t>
      </w:r>
    </w:p>
    <w:p>
      <w:pPr>
        <w:pStyle w:val="BodyText"/>
        <w:spacing w:line="338" w:lineRule="auto" w:before="26"/>
        <w:ind w:right="6612"/>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 组合中，采用其他方法计提坏账准备的其他应收款：</w:t>
      </w:r>
    </w:p>
    <w:p>
      <w:pPr>
        <w:pStyle w:val="BodyText"/>
        <w:spacing w:line="240" w:lineRule="auto" w:before="43"/>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2"/>
        <w:rPr>
          <w:rFonts w:ascii="宋体" w:hAnsi="宋体" w:cs="宋体" w:eastAsia="宋体" w:hint="default"/>
          <w:sz w:val="6"/>
          <w:szCs w:val="6"/>
        </w:rPr>
      </w:pPr>
    </w:p>
    <w:tbl>
      <w:tblPr>
        <w:tblW w:w="0" w:type="auto"/>
        <w:jc w:val="left"/>
        <w:tblInd w:w="151" w:type="dxa"/>
        <w:tblLayout w:type="fixed"/>
        <w:tblCellMar>
          <w:top w:w="0" w:type="dxa"/>
          <w:left w:w="0" w:type="dxa"/>
          <w:bottom w:w="0" w:type="dxa"/>
          <w:right w:w="0" w:type="dxa"/>
        </w:tblCellMar>
        <w:tblLook w:val="01E0"/>
      </w:tblPr>
      <w:tblGrid>
        <w:gridCol w:w="2106"/>
        <w:gridCol w:w="2426"/>
        <w:gridCol w:w="2553"/>
        <w:gridCol w:w="2551"/>
      </w:tblGrid>
      <w:tr>
        <w:trPr>
          <w:trHeight w:val="427" w:hRule="exact"/>
        </w:trPr>
        <w:tc>
          <w:tcPr>
            <w:tcW w:w="2106" w:type="dxa"/>
            <w:vMerge w:val="restart"/>
            <w:tcBorders>
              <w:top w:val="single" w:sz="6" w:space="0" w:color="000000"/>
              <w:left w:val="single" w:sz="6" w:space="0" w:color="000000"/>
              <w:right w:val="single" w:sz="6" w:space="0" w:color="000000"/>
            </w:tcBorders>
            <w:shd w:val="clear" w:color="auto" w:fill="D9D9D9"/>
          </w:tcPr>
          <w:p>
            <w:pPr>
              <w:pStyle w:val="TableParagraph"/>
              <w:spacing w:line="240" w:lineRule="auto" w:before="62"/>
              <w:ind w:left="685" w:right="0"/>
              <w:jc w:val="left"/>
              <w:rPr>
                <w:rFonts w:ascii="宋体" w:hAnsi="宋体" w:cs="宋体" w:eastAsia="宋体" w:hint="default"/>
                <w:sz w:val="18"/>
                <w:szCs w:val="18"/>
              </w:rPr>
            </w:pPr>
            <w:r>
              <w:rPr>
                <w:rFonts w:ascii="宋体" w:hAnsi="宋体" w:cs="宋体" w:eastAsia="宋体" w:hint="default"/>
                <w:sz w:val="18"/>
                <w:szCs w:val="18"/>
              </w:rPr>
              <w:t>组合名称</w:t>
            </w:r>
          </w:p>
        </w:tc>
        <w:tc>
          <w:tcPr>
            <w:tcW w:w="7530"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27" w:hRule="exact"/>
        </w:trPr>
        <w:tc>
          <w:tcPr>
            <w:tcW w:w="2106" w:type="dxa"/>
            <w:vMerge/>
            <w:tcBorders>
              <w:left w:val="single" w:sz="6" w:space="0" w:color="000000"/>
              <w:bottom w:val="single" w:sz="6" w:space="0" w:color="000000"/>
              <w:right w:val="single" w:sz="6" w:space="0" w:color="000000"/>
            </w:tcBorders>
            <w:shd w:val="clear" w:color="auto" w:fill="D9D9D9"/>
          </w:tcPr>
          <w:p>
            <w:pPr/>
          </w:p>
        </w:tc>
        <w:tc>
          <w:tcPr>
            <w:tcW w:w="2426"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553"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55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2"/>
              <w:ind w:right="1"/>
              <w:jc w:val="center"/>
              <w:rPr>
                <w:rFonts w:ascii="宋体" w:hAnsi="宋体" w:cs="宋体" w:eastAsia="宋体" w:hint="default"/>
                <w:sz w:val="18"/>
                <w:szCs w:val="18"/>
              </w:rPr>
            </w:pPr>
            <w:r>
              <w:rPr>
                <w:rFonts w:ascii="宋体" w:hAnsi="宋体" w:cs="宋体" w:eastAsia="宋体" w:hint="default"/>
                <w:sz w:val="18"/>
                <w:szCs w:val="18"/>
              </w:rPr>
              <w:t>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427" w:hRule="exact"/>
        </w:trPr>
        <w:tc>
          <w:tcPr>
            <w:tcW w:w="2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right="1"/>
              <w:jc w:val="center"/>
              <w:rPr>
                <w:rFonts w:ascii="宋体" w:hAnsi="宋体" w:cs="宋体" w:eastAsia="宋体" w:hint="default"/>
                <w:sz w:val="18"/>
                <w:szCs w:val="18"/>
              </w:rPr>
            </w:pPr>
            <w:r>
              <w:rPr>
                <w:rFonts w:ascii="宋体" w:hAnsi="宋体" w:cs="宋体" w:eastAsia="宋体" w:hint="default"/>
                <w:sz w:val="18"/>
                <w:szCs w:val="18"/>
              </w:rPr>
              <w:t>合并范围内的关联方</w:t>
            </w:r>
          </w:p>
        </w:tc>
        <w:tc>
          <w:tcPr>
            <w:tcW w:w="2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Times New Roman" w:hAnsi="Times New Roman" w:cs="Times New Roman" w:eastAsia="Times New Roman" w:hint="default"/>
                <w:sz w:val="18"/>
                <w:szCs w:val="18"/>
              </w:rPr>
            </w:pPr>
            <w:r>
              <w:rPr>
                <w:rFonts w:ascii="Times New Roman"/>
                <w:sz w:val="18"/>
              </w:rPr>
              <w:t>5,506,715.34</w:t>
            </w:r>
          </w:p>
        </w:tc>
        <w:tc>
          <w:tcPr>
            <w:tcW w:w="25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0"/>
              <w:jc w:val="center"/>
              <w:rPr>
                <w:rFonts w:ascii="Times New Roman" w:hAnsi="Times New Roman" w:cs="Times New Roman" w:eastAsia="Times New Roman" w:hint="default"/>
                <w:sz w:val="18"/>
                <w:szCs w:val="18"/>
              </w:rPr>
            </w:pPr>
            <w:r>
              <w:rPr>
                <w:rFonts w:ascii="Times New Roman"/>
                <w:sz w:val="18"/>
              </w:rPr>
              <w:t>0.00</w:t>
            </w:r>
          </w:p>
        </w:tc>
        <w:tc>
          <w:tcPr>
            <w:tcW w:w="25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1"/>
              <w:ind w:right="1"/>
              <w:jc w:val="center"/>
              <w:rPr>
                <w:rFonts w:ascii="Times New Roman" w:hAnsi="Times New Roman" w:cs="Times New Roman" w:eastAsia="Times New Roman" w:hint="default"/>
                <w:sz w:val="18"/>
                <w:szCs w:val="18"/>
              </w:rPr>
            </w:pPr>
            <w:r>
              <w:rPr>
                <w:rFonts w:ascii="Times New Roman"/>
                <w:sz w:val="18"/>
              </w:rPr>
              <w:t>0</w:t>
            </w:r>
          </w:p>
        </w:tc>
      </w:tr>
      <w:tr>
        <w:trPr>
          <w:trHeight w:val="428" w:hRule="exact"/>
        </w:trPr>
        <w:tc>
          <w:tcPr>
            <w:tcW w:w="210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42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center"/>
              <w:rPr>
                <w:rFonts w:ascii="Times New Roman" w:hAnsi="Times New Roman" w:cs="Times New Roman" w:eastAsia="Times New Roman" w:hint="default"/>
                <w:sz w:val="18"/>
                <w:szCs w:val="18"/>
              </w:rPr>
            </w:pPr>
            <w:r>
              <w:rPr>
                <w:rFonts w:ascii="Times New Roman"/>
                <w:sz w:val="18"/>
              </w:rPr>
              <w:t>5,506,715.34</w:t>
            </w:r>
          </w:p>
        </w:tc>
        <w:tc>
          <w:tcPr>
            <w:tcW w:w="255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0"/>
              <w:jc w:val="center"/>
              <w:rPr>
                <w:rFonts w:ascii="Times New Roman" w:hAnsi="Times New Roman" w:cs="Times New Roman" w:eastAsia="Times New Roman" w:hint="default"/>
                <w:sz w:val="18"/>
                <w:szCs w:val="18"/>
              </w:rPr>
            </w:pPr>
            <w:r>
              <w:rPr>
                <w:rFonts w:ascii="Times New Roman"/>
                <w:sz w:val="18"/>
              </w:rPr>
              <w:t>0.00</w:t>
            </w:r>
          </w:p>
        </w:tc>
        <w:tc>
          <w:tcPr>
            <w:tcW w:w="255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2"/>
              <w:ind w:right="1"/>
              <w:jc w:val="center"/>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center"/>
        <w:rPr>
          <w:rFonts w:ascii="Times New Roman" w:hAnsi="Times New Roman" w:cs="Times New Roman" w:eastAsia="Times New Roman" w:hint="default"/>
          <w:sz w:val="18"/>
          <w:szCs w:val="18"/>
        </w:rPr>
        <w:sectPr>
          <w:pgSz w:w="11910" w:h="16840"/>
          <w:pgMar w:header="747" w:footer="979" w:top="1060" w:bottom="1160" w:left="980" w:right="0"/>
        </w:sectPr>
      </w:pPr>
    </w:p>
    <w:p>
      <w:pPr>
        <w:pStyle w:val="BodyText"/>
        <w:spacing w:line="240" w:lineRule="auto" w:before="51"/>
        <w:ind w:right="-13"/>
        <w:jc w:val="left"/>
      </w:pPr>
      <w:r>
        <w:rPr>
          <w:rFonts w:ascii="Times New Roman" w:hAnsi="Times New Roman" w:cs="Times New Roman" w:eastAsia="Times New Roman" w:hint="default"/>
        </w:rPr>
        <w:t>2)</w:t>
      </w:r>
      <w:r>
        <w:rPr/>
        <w:t>本期计提、收回或转回的坏账准备情况</w:t>
      </w:r>
    </w:p>
    <w:p>
      <w:pPr>
        <w:pStyle w:val="BodyText"/>
        <w:spacing w:line="340" w:lineRule="auto" w:before="102"/>
        <w:ind w:right="-13"/>
        <w:jc w:val="left"/>
      </w:pPr>
      <w:r>
        <w:rPr/>
        <w:t>本期计提坏账准备金额</w:t>
      </w:r>
      <w:r>
        <w:rPr>
          <w:spacing w:val="-47"/>
        </w:rPr>
        <w:t> </w:t>
      </w:r>
      <w:r>
        <w:rPr>
          <w:rFonts w:ascii="Times New Roman" w:hAnsi="Times New Roman" w:cs="Times New Roman" w:eastAsia="Times New Roman" w:hint="default"/>
        </w:rPr>
        <w:t>0.00</w:t>
      </w:r>
      <w:r>
        <w:rPr>
          <w:rFonts w:ascii="Times New Roman" w:hAnsi="Times New Roman" w:cs="Times New Roman" w:eastAsia="Times New Roman" w:hint="default"/>
          <w:spacing w:val="-2"/>
        </w:rPr>
        <w:t> </w:t>
      </w:r>
      <w:r>
        <w:rPr/>
        <w:t>元；本期收回或转回坏账准备金额</w:t>
      </w:r>
      <w:r>
        <w:rPr>
          <w:spacing w:val="-47"/>
        </w:rPr>
        <w:t> </w:t>
      </w:r>
      <w:r>
        <w:rPr>
          <w:rFonts w:ascii="Times New Roman" w:hAnsi="Times New Roman" w:cs="Times New Roman" w:eastAsia="Times New Roman" w:hint="default"/>
        </w:rPr>
        <w:t>264,793.19</w:t>
      </w:r>
      <w:r>
        <w:rPr>
          <w:rFonts w:ascii="Times New Roman" w:hAnsi="Times New Roman" w:cs="Times New Roman" w:eastAsia="Times New Roman" w:hint="default"/>
          <w:spacing w:val="-2"/>
        </w:rPr>
        <w:t> </w:t>
      </w:r>
      <w:r>
        <w:rPr/>
        <w:t>元。 其中本期坏账准备转回或收回金额重要的：</w:t>
      </w:r>
    </w:p>
    <w:p>
      <w:pPr>
        <w:pStyle w:val="BodyText"/>
        <w:spacing w:line="240" w:lineRule="auto" w:before="40"/>
        <w:ind w:left="244" w:right="-13"/>
        <w:jc w:val="left"/>
      </w:pPr>
      <w:r>
        <w:rPr>
          <w:rFonts w:ascii="Times New Roman" w:hAnsi="Times New Roman" w:cs="Times New Roman" w:eastAsia="Times New Roman" w:hint="default"/>
        </w:rPr>
        <w:t>3)</w:t>
      </w:r>
      <w:r>
        <w:rPr/>
        <w:t>其他应收款按款项性质分类情况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pStyle w:val="BodyText"/>
        <w:spacing w:line="240" w:lineRule="auto"/>
        <w:ind w:left="153" w:right="0"/>
        <w:jc w:val="left"/>
      </w:pPr>
      <w:r>
        <w:rPr/>
        <w:t>单位： 元</w:t>
      </w:r>
    </w:p>
    <w:p>
      <w:pPr>
        <w:spacing w:after="0" w:line="240" w:lineRule="auto"/>
        <w:jc w:val="left"/>
        <w:sectPr>
          <w:type w:val="continuous"/>
          <w:pgSz w:w="11910" w:h="16840"/>
          <w:pgMar w:top="1060" w:bottom="1160" w:left="980" w:right="0"/>
          <w:cols w:num="2" w:equalWidth="0">
            <w:col w:w="6319" w:space="2511"/>
            <w:col w:w="2100"/>
          </w:cols>
        </w:sectPr>
      </w:pP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4"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4"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内部往来款</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11,686,472.46</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5,506,715.34</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代扣代缴款</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212,837.02</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161,100.97</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1,894,360.00</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3,947,736.75</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押金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1,289,417.48</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1,151,643.89</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员工备用金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350,530.40</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307,728.47</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应收出口退税</w:t>
            </w:r>
          </w:p>
        </w:tc>
        <w:tc>
          <w:tcPr>
            <w:tcW w:w="3100" w:type="dxa"/>
            <w:tcBorders>
              <w:top w:val="single" w:sz="4" w:space="0" w:color="000000"/>
              <w:left w:val="single" w:sz="4" w:space="0" w:color="000000"/>
              <w:bottom w:val="single" w:sz="4" w:space="0" w:color="000000"/>
              <w:right w:val="single" w:sz="4" w:space="0" w:color="000000"/>
            </w:tcBorders>
          </w:tcPr>
          <w:p>
            <w:pP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4,073,304.17</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47,476.12</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1,879.65</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15,481,093.48</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15,150,109.24</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060" w:bottom="1160" w:left="980" w:right="0"/>
        </w:sectPr>
      </w:pPr>
    </w:p>
    <w:p>
      <w:pPr>
        <w:spacing w:line="240" w:lineRule="auto" w:before="13"/>
        <w:rPr>
          <w:rFonts w:ascii="宋体" w:hAnsi="宋体" w:cs="宋体" w:eastAsia="宋体" w:hint="default"/>
          <w:sz w:val="25"/>
          <w:szCs w:val="25"/>
        </w:rPr>
      </w:pPr>
    </w:p>
    <w:p>
      <w:pPr>
        <w:pStyle w:val="BodyText"/>
        <w:spacing w:line="240" w:lineRule="auto" w:before="44"/>
        <w:ind w:right="1134"/>
        <w:jc w:val="left"/>
      </w:pPr>
      <w:r>
        <w:rPr>
          <w:rFonts w:ascii="Times New Roman" w:hAnsi="Times New Roman" w:cs="Times New Roman" w:eastAsia="Times New Roman" w:hint="default"/>
        </w:rPr>
        <w:t>4)</w:t>
      </w:r>
      <w:r>
        <w:rPr/>
        <w:t>按欠款方归集的期末余额前五名的其他应收款情况</w:t>
      </w:r>
    </w:p>
    <w:p>
      <w:pPr>
        <w:pStyle w:val="BodyText"/>
        <w:spacing w:line="240" w:lineRule="auto" w:before="102"/>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21"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81" w:right="81"/>
              <w:jc w:val="left"/>
              <w:rPr>
                <w:rFonts w:ascii="宋体" w:hAnsi="宋体" w:cs="宋体" w:eastAsia="宋体" w:hint="default"/>
                <w:sz w:val="18"/>
                <w:szCs w:val="18"/>
              </w:rPr>
            </w:pPr>
            <w:r>
              <w:rPr>
                <w:rFonts w:ascii="宋体" w:hAnsi="宋体" w:cs="宋体" w:eastAsia="宋体" w:hint="default"/>
                <w:sz w:val="18"/>
                <w:szCs w:val="18"/>
              </w:rPr>
              <w:t>占其他应收款期末 余额合计数的比例</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80"/>
              <w:jc w:val="right"/>
              <w:rPr>
                <w:rFonts w:ascii="宋体" w:hAnsi="宋体" w:cs="宋体" w:eastAsia="宋体" w:hint="default"/>
                <w:sz w:val="18"/>
                <w:szCs w:val="18"/>
              </w:rPr>
            </w:pPr>
            <w:r>
              <w:rPr>
                <w:rFonts w:ascii="宋体" w:hAnsi="宋体" w:cs="宋体" w:eastAsia="宋体" w:hint="default"/>
                <w:sz w:val="18"/>
                <w:szCs w:val="18"/>
              </w:rPr>
              <w:t>坏账准备期末余额</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香港优博讯公司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内部往来款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5,797,678.72</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37.45%</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武汉优博讯软件公司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内部往来款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2,805,538.00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18.12%</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优博讯软件公司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内部往来款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1,552,996.39</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10.03%</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深圳江南正鼎公司</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内部往来款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1,408,017.09</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9.10%</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深圳市公安局</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807,010.00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5.21%</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64,560.80</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 w:right="0"/>
              <w:jc w:val="center"/>
              <w:rPr>
                <w:rFonts w:ascii="Times New Roman" w:hAnsi="Times New Roman" w:cs="Times New Roman" w:eastAsia="Times New Roman" w:hint="default"/>
                <w:sz w:val="18"/>
                <w:szCs w:val="18"/>
              </w:rPr>
            </w:pPr>
            <w:r>
              <w:rPr>
                <w:rFonts w:ascii="Times New Roman"/>
                <w:sz w:val="18"/>
              </w:rPr>
              <w:t>--</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12,371,240.20</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79.91%</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z w:val="18"/>
              </w:rPr>
              <w:t>64,560.80</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3、长期股权投资" w:id="337"/>
      <w:bookmarkEnd w:id="337"/>
      <w:r>
        <w:rPr>
          <w:b w:val="0"/>
          <w:bCs w:val="0"/>
        </w:rPr>
      </w:r>
      <w:r>
        <w:rPr>
          <w:rFonts w:ascii="Times New Roman" w:hAnsi="Times New Roman" w:cs="Times New Roman" w:eastAsia="Times New Roman" w:hint="default"/>
        </w:rPr>
        <w:t>3</w:t>
      </w:r>
      <w:r>
        <w:rPr/>
        <w:t>、长期股权投资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357"/>
        <w:gridCol w:w="1379"/>
        <w:gridCol w:w="1367"/>
        <w:gridCol w:w="1367"/>
        <w:gridCol w:w="1368"/>
        <w:gridCol w:w="1367"/>
        <w:gridCol w:w="1367"/>
      </w:tblGrid>
      <w:tr>
        <w:trPr>
          <w:trHeight w:val="206" w:hRule="exact"/>
        </w:trPr>
        <w:tc>
          <w:tcPr>
            <w:tcW w:w="1357" w:type="dxa"/>
            <w:tcBorders>
              <w:top w:val="single" w:sz="4" w:space="0" w:color="000000"/>
              <w:left w:val="single" w:sz="4" w:space="0" w:color="000000"/>
              <w:bottom w:val="nil" w:sz="6" w:space="0" w:color="auto"/>
              <w:right w:val="single" w:sz="4" w:space="0" w:color="000000"/>
            </w:tcBorders>
            <w:shd w:val="clear" w:color="auto" w:fill="D2D2D2"/>
          </w:tcPr>
          <w:p>
            <w:pPr/>
          </w:p>
        </w:tc>
        <w:tc>
          <w:tcPr>
            <w:tcW w:w="4113"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11"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96" w:hRule="exact"/>
        </w:trPr>
        <w:tc>
          <w:tcPr>
            <w:tcW w:w="1357"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13" w:type="dxa"/>
            <w:gridSpan w:val="3"/>
            <w:vMerge/>
            <w:tcBorders>
              <w:left w:val="single" w:sz="4" w:space="0" w:color="000000"/>
              <w:bottom w:val="single" w:sz="4" w:space="0" w:color="000000"/>
              <w:right w:val="single" w:sz="4" w:space="0" w:color="000000"/>
            </w:tcBorders>
            <w:shd w:val="clear" w:color="auto" w:fill="D2D2D2"/>
          </w:tcPr>
          <w:p>
            <w:pPr/>
          </w:p>
        </w:tc>
        <w:tc>
          <w:tcPr>
            <w:tcW w:w="4102" w:type="dxa"/>
            <w:gridSpan w:val="3"/>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357" w:type="dxa"/>
            <w:vMerge/>
            <w:tcBorders>
              <w:left w:val="single" w:sz="4" w:space="0" w:color="000000"/>
              <w:bottom w:val="nil" w:sz="6" w:space="0" w:color="auto"/>
              <w:right w:val="single" w:sz="4" w:space="0" w:color="000000"/>
            </w:tcBorders>
            <w:shd w:val="clear" w:color="auto" w:fill="D2D2D2"/>
          </w:tcPr>
          <w:p>
            <w:pPr/>
          </w:p>
        </w:tc>
        <w:tc>
          <w:tcPr>
            <w:tcW w:w="137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2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05" w:hRule="exact"/>
        </w:trPr>
        <w:tc>
          <w:tcPr>
            <w:tcW w:w="1357" w:type="dxa"/>
            <w:tcBorders>
              <w:top w:val="nil" w:sz="6" w:space="0" w:color="auto"/>
              <w:left w:val="single" w:sz="4" w:space="0" w:color="000000"/>
              <w:bottom w:val="single" w:sz="4" w:space="0" w:color="000000"/>
              <w:right w:val="single" w:sz="4" w:space="0" w:color="000000"/>
            </w:tcBorders>
            <w:shd w:val="clear" w:color="auto" w:fill="D2D2D2"/>
          </w:tcPr>
          <w:p>
            <w:pPr/>
          </w:p>
        </w:tc>
        <w:tc>
          <w:tcPr>
            <w:tcW w:w="1379"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164,274,345.50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164,274,345.50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164,270,634.70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164,270,634.70</w:t>
            </w:r>
          </w:p>
        </w:tc>
      </w:tr>
      <w:tr>
        <w:trPr>
          <w:trHeight w:val="714"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 w:right="62"/>
              <w:jc w:val="left"/>
              <w:rPr>
                <w:rFonts w:ascii="宋体" w:hAnsi="宋体" w:cs="宋体" w:eastAsia="宋体" w:hint="default"/>
                <w:sz w:val="18"/>
                <w:szCs w:val="18"/>
              </w:rPr>
            </w:pPr>
            <w:r>
              <w:rPr>
                <w:rFonts w:ascii="宋体" w:hAnsi="宋体" w:cs="宋体" w:eastAsia="宋体" w:hint="default"/>
                <w:sz w:val="18"/>
                <w:szCs w:val="18"/>
              </w:rPr>
              <w:t>对联营、合营企 业投资</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49,842,461.80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49,842,461.80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44,575,384.64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44,575,384.64</w:t>
            </w:r>
          </w:p>
        </w:tc>
      </w:tr>
      <w:tr>
        <w:trPr>
          <w:trHeight w:val="403" w:hRule="exact"/>
        </w:trPr>
        <w:tc>
          <w:tcPr>
            <w:tcW w:w="13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7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214,116,807.30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214,116,807.30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208,846,019.34</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208,846,019.34</w:t>
            </w: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1）对子公司投资" w:id="338"/>
      <w:bookmarkEnd w:id="338"/>
      <w:r>
        <w:rPr>
          <w:b w:val="0"/>
          <w:bCs w:val="0"/>
        </w:rPr>
      </w:r>
      <w:r>
        <w:rPr/>
        <w:t>（</w:t>
      </w:r>
      <w:r>
        <w:rPr>
          <w:rFonts w:ascii="Times New Roman" w:hAnsi="Times New Roman" w:cs="Times New Roman" w:eastAsia="Times New Roman" w:hint="default"/>
        </w:rPr>
        <w:t>1</w:t>
      </w:r>
      <w:r>
        <w:rPr/>
        <w:t>）对子公司投资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49" w:type="dxa"/>
        <w:tblLayout w:type="fixed"/>
        <w:tblCellMar>
          <w:top w:w="0" w:type="dxa"/>
          <w:left w:w="0" w:type="dxa"/>
          <w:bottom w:w="0" w:type="dxa"/>
          <w:right w:w="0" w:type="dxa"/>
        </w:tblCellMar>
        <w:tblLook w:val="01E0"/>
      </w:tblPr>
      <w:tblGrid>
        <w:gridCol w:w="1448"/>
        <w:gridCol w:w="1336"/>
        <w:gridCol w:w="1336"/>
        <w:gridCol w:w="1334"/>
        <w:gridCol w:w="1336"/>
        <w:gridCol w:w="1389"/>
        <w:gridCol w:w="1390"/>
      </w:tblGrid>
      <w:tr>
        <w:trPr>
          <w:trHeight w:val="714"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7"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99" w:right="58" w:hanging="541"/>
              <w:jc w:val="left"/>
              <w:rPr>
                <w:rFonts w:ascii="宋体" w:hAnsi="宋体" w:cs="宋体" w:eastAsia="宋体" w:hint="default"/>
                <w:sz w:val="18"/>
                <w:szCs w:val="18"/>
              </w:rPr>
            </w:pPr>
            <w:r>
              <w:rPr>
                <w:rFonts w:ascii="宋体" w:hAnsi="宋体" w:cs="宋体" w:eastAsia="宋体" w:hint="default"/>
                <w:sz w:val="18"/>
                <w:szCs w:val="18"/>
              </w:rPr>
              <w:t>本期计提减值准 备</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98" w:right="59" w:hanging="540"/>
              <w:jc w:val="left"/>
              <w:rPr>
                <w:rFonts w:ascii="宋体" w:hAnsi="宋体" w:cs="宋体" w:eastAsia="宋体" w:hint="default"/>
                <w:sz w:val="18"/>
                <w:szCs w:val="18"/>
              </w:rPr>
            </w:pPr>
            <w:r>
              <w:rPr>
                <w:rFonts w:ascii="宋体" w:hAnsi="宋体" w:cs="宋体" w:eastAsia="宋体" w:hint="default"/>
                <w:sz w:val="18"/>
                <w:szCs w:val="18"/>
              </w:rPr>
              <w:t>减值准备期末余 额</w:t>
            </w: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深圳正达资讯公 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27,037,666.13</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27,037,666.13</w:t>
            </w:r>
          </w:p>
        </w:tc>
        <w:tc>
          <w:tcPr>
            <w:tcW w:w="1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深圳江南正鼎信 息公司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16,041,093.43</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16,041,093.43</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优博讯软件公司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香港优博讯公司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1,691,875.14</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1,691,875.14</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优金支付公司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1,300,000.00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武汉优博讯软件 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瑞柏泰公司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0"/>
              <w:jc w:val="right"/>
              <w:rPr>
                <w:rFonts w:ascii="Times New Roman" w:hAnsi="Times New Roman" w:cs="Times New Roman" w:eastAsia="Times New Roman" w:hint="default"/>
                <w:sz w:val="18"/>
                <w:szCs w:val="18"/>
              </w:rPr>
            </w:pPr>
            <w:r>
              <w:rPr>
                <w:rFonts w:ascii="Times New Roman"/>
                <w:spacing w:val="-1"/>
                <w:sz w:val="18"/>
              </w:rPr>
              <w:t>112,200,000.00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112,200,000.00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153"/>
              <w:jc w:val="left"/>
              <w:rPr>
                <w:rFonts w:ascii="宋体" w:hAnsi="宋体" w:cs="宋体" w:eastAsia="宋体" w:hint="default"/>
                <w:sz w:val="18"/>
                <w:szCs w:val="18"/>
              </w:rPr>
            </w:pPr>
            <w:r>
              <w:rPr>
                <w:rFonts w:ascii="宋体" w:hAnsi="宋体" w:cs="宋体" w:eastAsia="宋体" w:hint="default"/>
                <w:sz w:val="18"/>
                <w:szCs w:val="18"/>
              </w:rPr>
              <w:t>马来西亚优博讯 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0.00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71" w:right="0"/>
              <w:jc w:val="left"/>
              <w:rPr>
                <w:rFonts w:ascii="Times New Roman" w:hAnsi="Times New Roman" w:cs="Times New Roman" w:eastAsia="Times New Roman" w:hint="default"/>
                <w:sz w:val="18"/>
                <w:szCs w:val="18"/>
              </w:rPr>
            </w:pPr>
            <w:r>
              <w:rPr>
                <w:rFonts w:ascii="Times New Roman"/>
                <w:sz w:val="18"/>
              </w:rPr>
              <w:t>3,710.80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3,710.80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6" w:type="dxa"/>
        <w:tblLayout w:type="fixed"/>
        <w:tblCellMar>
          <w:top w:w="0" w:type="dxa"/>
          <w:left w:w="0" w:type="dxa"/>
          <w:bottom w:w="0" w:type="dxa"/>
          <w:right w:w="0" w:type="dxa"/>
        </w:tblCellMar>
        <w:tblLook w:val="01E0"/>
      </w:tblPr>
      <w:tblGrid>
        <w:gridCol w:w="1438"/>
        <w:gridCol w:w="1348"/>
        <w:gridCol w:w="1336"/>
        <w:gridCol w:w="1334"/>
        <w:gridCol w:w="1336"/>
        <w:gridCol w:w="1389"/>
        <w:gridCol w:w="1390"/>
      </w:tblGrid>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48"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91"/>
              <w:ind w:left="183" w:right="0"/>
              <w:jc w:val="left"/>
              <w:rPr>
                <w:rFonts w:ascii="Times New Roman" w:hAnsi="Times New Roman" w:cs="Times New Roman" w:eastAsia="Times New Roman" w:hint="default"/>
                <w:sz w:val="18"/>
                <w:szCs w:val="18"/>
              </w:rPr>
            </w:pPr>
            <w:r>
              <w:rPr>
                <w:rFonts w:ascii="Times New Roman"/>
                <w:sz w:val="18"/>
              </w:rPr>
              <w:t>164,270,634.70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1" w:right="0"/>
              <w:jc w:val="left"/>
              <w:rPr>
                <w:rFonts w:ascii="Times New Roman" w:hAnsi="Times New Roman" w:cs="Times New Roman" w:eastAsia="Times New Roman" w:hint="default"/>
                <w:sz w:val="18"/>
                <w:szCs w:val="18"/>
              </w:rPr>
            </w:pPr>
            <w:r>
              <w:rPr>
                <w:rFonts w:ascii="Times New Roman"/>
                <w:sz w:val="18"/>
              </w:rPr>
              <w:t>3,710.80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7" w:right="0"/>
              <w:jc w:val="left"/>
              <w:rPr>
                <w:rFonts w:ascii="Times New Roman" w:hAnsi="Times New Roman" w:cs="Times New Roman" w:eastAsia="Times New Roman" w:hint="default"/>
                <w:sz w:val="18"/>
                <w:szCs w:val="18"/>
              </w:rPr>
            </w:pPr>
            <w:r>
              <w:rPr>
                <w:rFonts w:ascii="Times New Roman"/>
                <w:sz w:val="18"/>
              </w:rPr>
              <w:t>164,274,345.50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2）对联营、合营企业投资" w:id="339"/>
      <w:bookmarkEnd w:id="339"/>
      <w:r>
        <w:rPr>
          <w:b w:val="0"/>
          <w:bCs w:val="0"/>
        </w:rPr>
      </w:r>
      <w:r>
        <w:rPr/>
        <w:t>（</w:t>
      </w:r>
      <w:r>
        <w:rPr>
          <w:rFonts w:ascii="Times New Roman" w:hAnsi="Times New Roman" w:cs="Times New Roman" w:eastAsia="Times New Roman" w:hint="default"/>
        </w:rPr>
        <w:t>2</w:t>
      </w:r>
      <w:r>
        <w:rPr/>
        <w:t>）对联营、合营企业投资</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
        <w:rPr>
          <w:rFonts w:ascii="宋体" w:hAnsi="宋体" w:cs="宋体" w:eastAsia="宋体" w:hint="default"/>
          <w:sz w:val="8"/>
          <w:szCs w:val="8"/>
        </w:rPr>
      </w:pPr>
    </w:p>
    <w:tbl>
      <w:tblPr>
        <w:tblW w:w="0" w:type="auto"/>
        <w:jc w:val="left"/>
        <w:tblInd w:w="14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2" w:right="0"/>
              <w:jc w:val="left"/>
              <w:rPr>
                <w:rFonts w:ascii="宋体" w:hAnsi="宋体" w:cs="宋体" w:eastAsia="宋体" w:hint="default"/>
                <w:sz w:val="18"/>
                <w:szCs w:val="18"/>
              </w:rPr>
            </w:pPr>
            <w:r>
              <w:rPr>
                <w:rFonts w:ascii="宋体" w:hAnsi="宋体" w:cs="宋体" w:eastAsia="宋体" w:hint="default"/>
                <w:sz w:val="18"/>
                <w:szCs w:val="18"/>
              </w:rPr>
              <w:t>投资单位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4"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240" w:lineRule="auto"/>
              <w:ind w:left="33"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减值准备 期末余额</w:t>
            </w:r>
          </w:p>
        </w:tc>
      </w:tr>
      <w:tr>
        <w:trPr>
          <w:trHeight w:val="1026"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追加投资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3" w:right="0"/>
              <w:jc w:val="left"/>
              <w:rPr>
                <w:rFonts w:ascii="宋体" w:hAnsi="宋体" w:cs="宋体" w:eastAsia="宋体" w:hint="default"/>
                <w:sz w:val="18"/>
                <w:szCs w:val="18"/>
              </w:rPr>
            </w:pPr>
            <w:r>
              <w:rPr>
                <w:rFonts w:ascii="宋体" w:hAnsi="宋体" w:cs="宋体" w:eastAsia="宋体" w:hint="default"/>
                <w:sz w:val="18"/>
                <w:szCs w:val="18"/>
              </w:rPr>
              <w:t>减少投资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3" w:right="33"/>
              <w:jc w:val="both"/>
              <w:rPr>
                <w:rFonts w:ascii="宋体" w:hAnsi="宋体" w:cs="宋体" w:eastAsia="宋体" w:hint="default"/>
                <w:sz w:val="18"/>
                <w:szCs w:val="18"/>
              </w:rPr>
            </w:pPr>
            <w:r>
              <w:rPr>
                <w:rFonts w:ascii="宋体" w:hAnsi="宋体" w:cs="宋体" w:eastAsia="宋体" w:hint="default"/>
                <w:sz w:val="18"/>
                <w:szCs w:val="18"/>
              </w:rPr>
              <w:t>权益法下 确认的投 资损益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3" w:right="32"/>
              <w:jc w:val="left"/>
              <w:rPr>
                <w:rFonts w:ascii="宋体" w:hAnsi="宋体" w:cs="宋体" w:eastAsia="宋体" w:hint="default"/>
                <w:sz w:val="18"/>
                <w:szCs w:val="18"/>
              </w:rPr>
            </w:pPr>
            <w:r>
              <w:rPr>
                <w:rFonts w:ascii="宋体" w:hAnsi="宋体" w:cs="宋体" w:eastAsia="宋体" w:hint="default"/>
                <w:sz w:val="18"/>
                <w:szCs w:val="18"/>
              </w:rPr>
              <w:t>其他综合 收益调整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3" w:right="32" w:hanging="180"/>
              <w:jc w:val="left"/>
              <w:rPr>
                <w:rFonts w:ascii="宋体" w:hAnsi="宋体" w:cs="宋体" w:eastAsia="宋体" w:hint="default"/>
                <w:sz w:val="18"/>
                <w:szCs w:val="18"/>
              </w:rPr>
            </w:pPr>
            <w:r>
              <w:rPr>
                <w:rFonts w:ascii="宋体" w:hAnsi="宋体" w:cs="宋体" w:eastAsia="宋体" w:hint="default"/>
                <w:sz w:val="18"/>
                <w:szCs w:val="18"/>
              </w:rPr>
              <w:t>其他权益 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3" w:right="32"/>
              <w:jc w:val="both"/>
              <w:rPr>
                <w:rFonts w:ascii="宋体" w:hAnsi="宋体" w:cs="宋体" w:eastAsia="宋体" w:hint="default"/>
                <w:sz w:val="18"/>
                <w:szCs w:val="18"/>
              </w:rPr>
            </w:pPr>
            <w:r>
              <w:rPr>
                <w:rFonts w:ascii="宋体" w:hAnsi="宋体" w:cs="宋体" w:eastAsia="宋体" w:hint="default"/>
                <w:sz w:val="18"/>
                <w:szCs w:val="18"/>
              </w:rPr>
              <w:t>宣告发放 现金股利 或利润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3" w:right="33" w:hanging="180"/>
              <w:jc w:val="left"/>
              <w:rPr>
                <w:rFonts w:ascii="宋体" w:hAnsi="宋体" w:cs="宋体" w:eastAsia="宋体" w:hint="default"/>
                <w:sz w:val="18"/>
                <w:szCs w:val="18"/>
              </w:rPr>
            </w:pPr>
            <w:r>
              <w:rPr>
                <w:rFonts w:ascii="宋体" w:hAnsi="宋体" w:cs="宋体" w:eastAsia="宋体" w:hint="default"/>
                <w:sz w:val="18"/>
                <w:szCs w:val="18"/>
              </w:rPr>
              <w:t>计提减值 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r>
        <w:trPr>
          <w:trHeight w:val="1026"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上海芝柯 智能科技 有限公司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45" w:right="0"/>
              <w:jc w:val="left"/>
              <w:rPr>
                <w:rFonts w:ascii="Times New Roman" w:hAnsi="Times New Roman" w:cs="Times New Roman" w:eastAsia="Times New Roman" w:hint="default"/>
                <w:sz w:val="18"/>
                <w:szCs w:val="18"/>
              </w:rPr>
            </w:pPr>
            <w:r>
              <w:rPr>
                <w:rFonts w:ascii="Times New Roman"/>
                <w:sz w:val="18"/>
              </w:rPr>
              <w:t>17,053,99</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9.72</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4,132,453</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.25</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1,375,000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1" w:right="0"/>
              <w:jc w:val="left"/>
              <w:rPr>
                <w:rFonts w:ascii="Times New Roman" w:hAnsi="Times New Roman" w:cs="Times New Roman" w:eastAsia="Times New Roman" w:hint="default"/>
                <w:sz w:val="18"/>
                <w:szCs w:val="18"/>
              </w:rPr>
            </w:pPr>
            <w:r>
              <w:rPr>
                <w:rFonts w:ascii="Times New Roman"/>
                <w:sz w:val="18"/>
              </w:rPr>
              <w:t>19,811,45</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2.97</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13" w:space="0" w:color="FFFFFF"/>
            </w:tcBorders>
          </w:tcPr>
          <w:p>
            <w:pPr>
              <w:pStyle w:val="TableParagraph"/>
              <w:spacing w:line="316" w:lineRule="auto" w:before="51"/>
              <w:ind w:left="22" w:right="29"/>
              <w:jc w:val="left"/>
              <w:rPr>
                <w:rFonts w:ascii="宋体" w:hAnsi="宋体" w:cs="宋体" w:eastAsia="宋体" w:hint="default"/>
                <w:sz w:val="18"/>
                <w:szCs w:val="18"/>
              </w:rPr>
            </w:pPr>
            <w:r>
              <w:rPr>
                <w:rFonts w:ascii="宋体" w:hAnsi="宋体" w:cs="宋体" w:eastAsia="宋体" w:hint="default"/>
                <w:sz w:val="18"/>
                <w:szCs w:val="18"/>
              </w:rPr>
              <w:t>中世顺科 </w:t>
            </w:r>
            <w:r>
              <w:rPr>
                <w:rFonts w:ascii="宋体" w:hAnsi="宋体" w:cs="宋体" w:eastAsia="宋体" w:hint="default"/>
                <w:spacing w:val="-18"/>
                <w:sz w:val="18"/>
                <w:szCs w:val="18"/>
              </w:rPr>
              <w:t>技（北京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股份有限 公司</w:t>
            </w:r>
          </w:p>
        </w:tc>
        <w:tc>
          <w:tcPr>
            <w:tcW w:w="798" w:type="dxa"/>
            <w:tcBorders>
              <w:top w:val="single" w:sz="4" w:space="0" w:color="000000"/>
              <w:left w:val="single" w:sz="13" w:space="0" w:color="FFFFFF"/>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3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24,750,00</w:t>
            </w:r>
          </w:p>
          <w:p>
            <w:pPr>
              <w:pStyle w:val="TableParagraph"/>
              <w:spacing w:line="240" w:lineRule="auto" w:before="104"/>
              <w:ind w:left="439"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1"/>
              <w:ind w:right="0"/>
              <w:jc w:val="left"/>
              <w:rPr>
                <w:rFonts w:ascii="宋体" w:hAnsi="宋体" w:cs="宋体" w:eastAsia="宋体" w:hint="default"/>
                <w:sz w:val="23"/>
                <w:szCs w:val="23"/>
              </w:rPr>
            </w:pPr>
          </w:p>
          <w:p>
            <w:pPr>
              <w:pStyle w:val="TableParagraph"/>
              <w:spacing w:line="351" w:lineRule="exact"/>
              <w:ind w:left="12" w:right="-27"/>
              <w:jc w:val="left"/>
              <w:rPr>
                <w:rFonts w:ascii="宋体" w:hAnsi="宋体" w:cs="宋体" w:eastAsia="宋体" w:hint="default"/>
                <w:sz w:val="20"/>
                <w:szCs w:val="20"/>
              </w:rPr>
            </w:pPr>
            <w:r>
              <w:rPr>
                <w:rFonts w:ascii="宋体" w:hAnsi="宋体" w:cs="宋体" w:eastAsia="宋体" w:hint="default"/>
                <w:position w:val="-6"/>
                <w:sz w:val="20"/>
                <w:szCs w:val="20"/>
              </w:rPr>
              <w:pict>
                <v:group style="width:37.050pt;height:17.6pt;mso-position-horizontal-relative:char;mso-position-vertical-relative:line" coordorigin="0,0" coordsize="741,352">
                  <v:group style="position:absolute;left:0;top:0;width:741;height:352" coordorigin="0,0" coordsize="741,352">
                    <v:shape style="position:absolute;left:0;top:0;width:741;height:352" coordorigin="0,0" coordsize="741,352" path="m0,352l740,352,740,0,0,0,0,352xe" filled="true" fillcolor="#ffffff" stroked="false">
                      <v:path arrowok="t"/>
                      <v:fill type="solid"/>
                    </v:shape>
                  </v:group>
                </v:group>
              </w:pict>
            </w:r>
            <w:r>
              <w:rPr>
                <w:rFonts w:ascii="宋体" w:hAnsi="宋体" w:cs="宋体" w:eastAsia="宋体" w:hint="default"/>
                <w:position w:val="-6"/>
                <w:sz w:val="20"/>
                <w:szCs w:val="20"/>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3,233,982</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.83</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4" w:right="0"/>
              <w:jc w:val="left"/>
              <w:rPr>
                <w:rFonts w:ascii="Times New Roman" w:hAnsi="Times New Roman" w:cs="Times New Roman" w:eastAsia="Times New Roman" w:hint="default"/>
                <w:sz w:val="18"/>
                <w:szCs w:val="18"/>
              </w:rPr>
            </w:pPr>
            <w:r>
              <w:rPr>
                <w:rFonts w:ascii="Times New Roman"/>
                <w:sz w:val="18"/>
              </w:rPr>
              <w:t>27,983,98</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2.83</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22" w:right="41"/>
              <w:jc w:val="both"/>
              <w:rPr>
                <w:rFonts w:ascii="宋体" w:hAnsi="宋体" w:cs="宋体" w:eastAsia="宋体" w:hint="default"/>
                <w:sz w:val="18"/>
                <w:szCs w:val="18"/>
              </w:rPr>
            </w:pPr>
            <w:r>
              <w:rPr>
                <w:rFonts w:ascii="宋体" w:hAnsi="宋体" w:cs="宋体" w:eastAsia="宋体" w:hint="default"/>
                <w:sz w:val="18"/>
                <w:szCs w:val="18"/>
              </w:rPr>
              <w:t>深圳市天 眼智通科 技有限公 司</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2,771,384</w:t>
            </w:r>
          </w:p>
          <w:p>
            <w:pPr>
              <w:pStyle w:val="TableParagraph"/>
              <w:spacing w:line="240" w:lineRule="auto" w:before="105"/>
              <w:ind w:right="19"/>
              <w:jc w:val="right"/>
              <w:rPr>
                <w:rFonts w:ascii="Times New Roman" w:hAnsi="Times New Roman" w:cs="Times New Roman" w:eastAsia="Times New Roman" w:hint="default"/>
                <w:sz w:val="18"/>
                <w:szCs w:val="18"/>
              </w:rPr>
            </w:pPr>
            <w:r>
              <w:rPr>
                <w:rFonts w:ascii="Times New Roman"/>
                <w:sz w:val="18"/>
              </w:rPr>
              <w:t>.92</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w w:val="95"/>
                <w:sz w:val="18"/>
              </w:rPr>
              <w:t>-724,358.</w:t>
            </w:r>
            <w:r>
              <w:rPr>
                <w:rFonts w:ascii="Times New Roman"/>
                <w:sz w:val="18"/>
              </w:rPr>
            </w:r>
          </w:p>
          <w:p>
            <w:pPr>
              <w:pStyle w:val="TableParagraph"/>
              <w:spacing w:line="240" w:lineRule="auto" w:before="105"/>
              <w:ind w:right="23"/>
              <w:jc w:val="right"/>
              <w:rPr>
                <w:rFonts w:ascii="Times New Roman" w:hAnsi="Times New Roman" w:cs="Times New Roman" w:eastAsia="Times New Roman" w:hint="default"/>
                <w:sz w:val="18"/>
                <w:szCs w:val="18"/>
              </w:rPr>
            </w:pPr>
            <w:r>
              <w:rPr>
                <w:rFonts w:ascii="Times New Roman"/>
                <w:sz w:val="18"/>
              </w:rPr>
              <w:t>92</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2,047,026</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44,575,38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4.64</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6,642,077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1,375,000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49,842,46</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1.80</w:t>
            </w:r>
          </w:p>
        </w:tc>
        <w:tc>
          <w:tcPr>
            <w:tcW w:w="79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left"/>
              <w:rPr>
                <w:rFonts w:ascii="Times New Roman" w:hAnsi="Times New Roman" w:cs="Times New Roman" w:eastAsia="Times New Roman" w:hint="default"/>
                <w:sz w:val="18"/>
                <w:szCs w:val="18"/>
              </w:rPr>
            </w:pPr>
            <w:r>
              <w:rPr>
                <w:rFonts w:ascii="Times New Roman"/>
                <w:sz w:val="18"/>
              </w:rPr>
              <w:t>44,575,38</w:t>
            </w:r>
          </w:p>
          <w:p>
            <w:pPr>
              <w:pStyle w:val="TableParagraph"/>
              <w:spacing w:line="240" w:lineRule="auto" w:before="105"/>
              <w:ind w:left="451" w:right="0"/>
              <w:jc w:val="left"/>
              <w:rPr>
                <w:rFonts w:ascii="Times New Roman" w:hAnsi="Times New Roman" w:cs="Times New Roman" w:eastAsia="Times New Roman" w:hint="default"/>
                <w:sz w:val="18"/>
                <w:szCs w:val="18"/>
              </w:rPr>
            </w:pPr>
            <w:r>
              <w:rPr>
                <w:rFonts w:ascii="Times New Roman"/>
                <w:sz w:val="18"/>
              </w:rPr>
              <w:t>4.64</w:t>
            </w: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6,642,077</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.16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1,375,000</w:t>
            </w:r>
          </w:p>
          <w:p>
            <w:pPr>
              <w:pStyle w:val="TableParagraph"/>
              <w:spacing w:line="240" w:lineRule="auto" w:before="105"/>
              <w:ind w:right="21"/>
              <w:jc w:val="right"/>
              <w:rPr>
                <w:rFonts w:ascii="Times New Roman" w:hAnsi="Times New Roman" w:cs="Times New Roman" w:eastAsia="Times New Roman" w:hint="default"/>
                <w:sz w:val="18"/>
                <w:szCs w:val="18"/>
              </w:rPr>
            </w:pPr>
            <w:r>
              <w:rPr>
                <w:rFonts w:ascii="Times New Roman"/>
                <w:sz w:val="18"/>
              </w:rPr>
              <w:t>.00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 w:right="0"/>
              <w:jc w:val="left"/>
              <w:rPr>
                <w:rFonts w:ascii="Times New Roman" w:hAnsi="Times New Roman" w:cs="Times New Roman" w:eastAsia="Times New Roman" w:hint="default"/>
                <w:sz w:val="18"/>
                <w:szCs w:val="18"/>
              </w:rPr>
            </w:pPr>
            <w:r>
              <w:rPr>
                <w:rFonts w:ascii="Times New Roman"/>
                <w:sz w:val="18"/>
              </w:rPr>
              <w:t>49,842,46</w:t>
            </w:r>
          </w:p>
          <w:p>
            <w:pPr>
              <w:pStyle w:val="TableParagraph"/>
              <w:spacing w:line="240" w:lineRule="auto" w:before="105"/>
              <w:ind w:left="450" w:right="0"/>
              <w:jc w:val="left"/>
              <w:rPr>
                <w:rFonts w:ascii="Times New Roman" w:hAnsi="Times New Roman" w:cs="Times New Roman" w:eastAsia="Times New Roman" w:hint="default"/>
                <w:sz w:val="18"/>
                <w:szCs w:val="18"/>
              </w:rPr>
            </w:pPr>
            <w:r>
              <w:rPr>
                <w:rFonts w:ascii="Times New Roman"/>
                <w:sz w:val="18"/>
              </w:rPr>
              <w:t>1.80</w:t>
            </w:r>
          </w:p>
        </w:tc>
        <w:tc>
          <w:tcPr>
            <w:tcW w:w="798"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pStyle w:val="Heading3"/>
        <w:spacing w:line="240" w:lineRule="auto" w:before="35"/>
        <w:ind w:right="1134"/>
        <w:jc w:val="left"/>
        <w:rPr>
          <w:b w:val="0"/>
          <w:bCs w:val="0"/>
        </w:rPr>
      </w:pPr>
      <w:bookmarkStart w:name="4、营业收入和营业成本" w:id="340"/>
      <w:bookmarkEnd w:id="340"/>
      <w:r>
        <w:rPr>
          <w:b w:val="0"/>
          <w:bCs w:val="0"/>
        </w:rPr>
      </w:r>
      <w:r>
        <w:rPr>
          <w:rFonts w:ascii="Times New Roman" w:hAnsi="Times New Roman" w:cs="Times New Roman" w:eastAsia="Times New Roman" w:hint="default"/>
        </w:rPr>
        <w:t>4</w:t>
      </w:r>
      <w:r>
        <w:rPr/>
        <w:t>、营业收入和营业成本</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1983"/>
        <w:gridCol w:w="1838"/>
        <w:gridCol w:w="1913"/>
        <w:gridCol w:w="1913"/>
        <w:gridCol w:w="1913"/>
      </w:tblGrid>
      <w:tr>
        <w:trPr>
          <w:trHeight w:val="206" w:hRule="exact"/>
        </w:trPr>
        <w:tc>
          <w:tcPr>
            <w:tcW w:w="1983" w:type="dxa"/>
            <w:tcBorders>
              <w:top w:val="single" w:sz="4" w:space="0" w:color="000000"/>
              <w:left w:val="single" w:sz="4" w:space="0" w:color="000000"/>
              <w:bottom w:val="nil" w:sz="6" w:space="0" w:color="auto"/>
              <w:right w:val="single" w:sz="4" w:space="0" w:color="000000"/>
            </w:tcBorders>
            <w:shd w:val="clear" w:color="auto" w:fill="D2D2D2"/>
          </w:tcPr>
          <w:p>
            <w:pPr/>
          </w:p>
        </w:tc>
        <w:tc>
          <w:tcPr>
            <w:tcW w:w="375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196" w:hRule="exact"/>
        </w:trPr>
        <w:tc>
          <w:tcPr>
            <w:tcW w:w="1983"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3750" w:type="dxa"/>
            <w:gridSpan w:val="2"/>
            <w:vMerge/>
            <w:tcBorders>
              <w:left w:val="single" w:sz="4" w:space="0" w:color="000000"/>
              <w:bottom w:val="single" w:sz="4" w:space="0" w:color="000000"/>
              <w:right w:val="single" w:sz="4" w:space="0" w:color="000000"/>
            </w:tcBorders>
            <w:shd w:val="clear" w:color="auto" w:fill="D2D2D2"/>
          </w:tcPr>
          <w:p>
            <w:pP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196" w:hRule="exact"/>
        </w:trPr>
        <w:tc>
          <w:tcPr>
            <w:tcW w:w="1983" w:type="dxa"/>
            <w:vMerge/>
            <w:tcBorders>
              <w:left w:val="single" w:sz="4" w:space="0" w:color="000000"/>
              <w:bottom w:val="nil" w:sz="6" w:space="0" w:color="auto"/>
              <w:right w:val="single" w:sz="4" w:space="0" w:color="000000"/>
            </w:tcBorders>
            <w:shd w:val="clear" w:color="auto" w:fill="D2D2D2"/>
          </w:tcPr>
          <w:p>
            <w:pPr/>
          </w:p>
        </w:tc>
        <w:tc>
          <w:tcPr>
            <w:tcW w:w="183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205" w:hRule="exact"/>
        </w:trPr>
        <w:tc>
          <w:tcPr>
            <w:tcW w:w="1983" w:type="dxa"/>
            <w:tcBorders>
              <w:top w:val="nil" w:sz="6" w:space="0" w:color="auto"/>
              <w:left w:val="single" w:sz="4" w:space="0" w:color="000000"/>
              <w:bottom w:val="single" w:sz="4" w:space="0" w:color="000000"/>
              <w:right w:val="single" w:sz="4" w:space="0" w:color="000000"/>
            </w:tcBorders>
            <w:shd w:val="clear" w:color="auto" w:fill="D2D2D2"/>
          </w:tcPr>
          <w:p>
            <w:pPr/>
          </w:p>
        </w:tc>
        <w:tc>
          <w:tcPr>
            <w:tcW w:w="1838"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883,097,307.40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755,846,679.77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411,016,775.37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375,259,549.15</w:t>
            </w:r>
          </w:p>
        </w:tc>
      </w:tr>
      <w:tr>
        <w:trPr>
          <w:trHeight w:val="402" w:hRule="exact"/>
        </w:trPr>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其他业务</w:t>
            </w:r>
          </w:p>
        </w:tc>
        <w:tc>
          <w:tcPr>
            <w:tcW w:w="183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z w:val="18"/>
              </w:rPr>
              <w:t>568,443.50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z w:val="18"/>
              </w:rPr>
              <w:t>438,931.49</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8"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883,665,750.90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756,285,611.26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411,016,775.37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Times New Roman" w:hAnsi="Times New Roman" w:cs="Times New Roman" w:eastAsia="Times New Roman" w:hint="default"/>
                <w:sz w:val="18"/>
                <w:szCs w:val="18"/>
              </w:rPr>
            </w:pPr>
            <w:r>
              <w:rPr>
                <w:rFonts w:ascii="Times New Roman"/>
                <w:spacing w:val="-1"/>
                <w:sz w:val="18"/>
              </w:rPr>
              <w:t>375,259,549.15</w:t>
            </w:r>
          </w:p>
        </w:tc>
      </w:tr>
    </w:tbl>
    <w:p>
      <w:pPr>
        <w:spacing w:line="240" w:lineRule="auto" w:before="3"/>
        <w:rPr>
          <w:rFonts w:ascii="宋体" w:hAnsi="宋体" w:cs="宋体" w:eastAsia="宋体" w:hint="default"/>
          <w:sz w:val="19"/>
          <w:szCs w:val="19"/>
        </w:rPr>
      </w:pPr>
    </w:p>
    <w:p>
      <w:pPr>
        <w:pStyle w:val="Heading3"/>
        <w:spacing w:line="240" w:lineRule="auto" w:before="35"/>
        <w:ind w:right="1134"/>
        <w:jc w:val="left"/>
        <w:rPr>
          <w:b w:val="0"/>
          <w:bCs w:val="0"/>
        </w:rPr>
      </w:pPr>
      <w:bookmarkStart w:name="5、投资收益" w:id="341"/>
      <w:bookmarkEnd w:id="341"/>
      <w:r>
        <w:rPr>
          <w:b w:val="0"/>
          <w:bCs w:val="0"/>
        </w:rPr>
      </w:r>
      <w:r>
        <w:rPr>
          <w:rFonts w:ascii="Times New Roman" w:hAnsi="Times New Roman" w:cs="Times New Roman" w:eastAsia="Times New Roman" w:hint="default"/>
        </w:rPr>
        <w:t>5</w:t>
      </w:r>
      <w:r>
        <w:rPr/>
        <w:t>、投资收益</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left="5856" w:right="1130"/>
        <w:jc w:val="right"/>
      </w:pPr>
      <w:r>
        <w:rPr/>
        <w:t>单位： 元</w:t>
      </w:r>
    </w:p>
    <w:p>
      <w:pPr>
        <w:spacing w:after="0" w:line="240" w:lineRule="auto"/>
        <w:jc w:val="right"/>
        <w:sectPr>
          <w:pgSz w:w="11910" w:h="16840"/>
          <w:pgMar w:header="747" w:footer="979" w:top="1060" w:bottom="1160" w:left="980" w:right="0"/>
        </w:sectPr>
      </w:pPr>
    </w:p>
    <w:p>
      <w:pPr>
        <w:spacing w:line="240" w:lineRule="auto" w:before="6"/>
        <w:rPr>
          <w:rFonts w:ascii="宋体" w:hAnsi="宋体" w:cs="宋体" w:eastAsia="宋体" w:hint="default"/>
          <w:sz w:val="28"/>
          <w:szCs w:val="28"/>
        </w:rPr>
      </w:pPr>
    </w:p>
    <w:tbl>
      <w:tblPr>
        <w:tblW w:w="0" w:type="auto"/>
        <w:jc w:val="left"/>
        <w:tblInd w:w="14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305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57,395,000.00</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80,000,000.00</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305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6,642,077.16</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325,384.64</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理财产品</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1,309,238.98</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2,828,080.19</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65,346,316.14</w:t>
            </w:r>
          </w:p>
        </w:tc>
        <w:tc>
          <w:tcPr>
            <w:tcW w:w="3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83,153,464.83</w:t>
            </w:r>
          </w:p>
        </w:tc>
      </w:tr>
    </w:tbl>
    <w:p>
      <w:pPr>
        <w:spacing w:line="240" w:lineRule="auto" w:before="2"/>
        <w:rPr>
          <w:rFonts w:ascii="宋体" w:hAnsi="宋体" w:cs="宋体" w:eastAsia="宋体" w:hint="default"/>
          <w:sz w:val="18"/>
          <w:szCs w:val="18"/>
        </w:rPr>
      </w:pPr>
    </w:p>
    <w:p>
      <w:pPr>
        <w:pStyle w:val="Heading2"/>
        <w:spacing w:line="240" w:lineRule="auto" w:before="26"/>
        <w:ind w:right="1134"/>
        <w:jc w:val="left"/>
        <w:rPr>
          <w:b w:val="0"/>
          <w:bCs w:val="0"/>
        </w:rPr>
      </w:pPr>
      <w:bookmarkStart w:name="十五、补充资料" w:id="342"/>
      <w:bookmarkEnd w:id="342"/>
      <w:r>
        <w:rPr>
          <w:b w:val="0"/>
          <w:bCs w:val="0"/>
        </w:rPr>
      </w:r>
      <w:r>
        <w:rPr/>
        <w:t>十五、补充资料</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当期非经常性损益明细表" w:id="343"/>
      <w:bookmarkEnd w:id="343"/>
      <w:r>
        <w:rPr>
          <w:b w:val="0"/>
          <w:bCs w:val="0"/>
        </w:rPr>
      </w:r>
      <w:r>
        <w:rPr>
          <w:rFonts w:ascii="Times New Roman" w:hAnsi="Times New Roman" w:cs="Times New Roman" w:eastAsia="Times New Roman" w:hint="default"/>
        </w:rPr>
        <w:t>1</w:t>
      </w:r>
      <w:r>
        <w:rPr/>
        <w:t>、当期非经常性损益明细表</w:t>
      </w:r>
      <w:r>
        <w:rPr>
          <w:b w:val="0"/>
          <w:bCs w:val="0"/>
        </w:rPr>
      </w:r>
    </w:p>
    <w:p>
      <w:pPr>
        <w:spacing w:line="240" w:lineRule="auto" w:before="3"/>
        <w:rPr>
          <w:rFonts w:ascii="宋体" w:hAnsi="宋体" w:cs="宋体" w:eastAsia="宋体" w:hint="default"/>
          <w:b/>
          <w:bCs/>
          <w:sz w:val="23"/>
          <w:szCs w:val="23"/>
        </w:rPr>
      </w:pPr>
    </w:p>
    <w:p>
      <w:pPr>
        <w:pStyle w:val="BodyText"/>
        <w:spacing w:line="240" w:lineRule="auto" w:before="44"/>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pStyle w:val="BodyText"/>
        <w:spacing w:line="240" w:lineRule="auto" w:before="103"/>
        <w:ind w:left="5856" w:right="1130"/>
        <w:jc w:val="right"/>
      </w:pPr>
      <w:r>
        <w:rPr/>
        <w:t>单位： 元</w:t>
      </w:r>
    </w:p>
    <w:p>
      <w:pPr>
        <w:spacing w:line="240" w:lineRule="auto" w:before="13"/>
        <w:rPr>
          <w:rFonts w:ascii="宋体" w:hAnsi="宋体" w:cs="宋体" w:eastAsia="宋体" w:hint="default"/>
          <w:sz w:val="7"/>
          <w:szCs w:val="7"/>
        </w:rPr>
      </w:pPr>
    </w:p>
    <w:tbl>
      <w:tblPr>
        <w:tblW w:w="0" w:type="auto"/>
        <w:jc w:val="left"/>
        <w:tblInd w:w="160" w:type="dxa"/>
        <w:tblLayout w:type="fixed"/>
        <w:tblCellMar>
          <w:top w:w="0" w:type="dxa"/>
          <w:left w:w="0" w:type="dxa"/>
          <w:bottom w:w="0" w:type="dxa"/>
          <w:right w:w="0" w:type="dxa"/>
        </w:tblCellMar>
        <w:tblLook w:val="01E0"/>
      </w:tblPr>
      <w:tblGrid>
        <w:gridCol w:w="7066"/>
        <w:gridCol w:w="1429"/>
        <w:gridCol w:w="1063"/>
      </w:tblGrid>
      <w:tr>
        <w:trPr>
          <w:trHeight w:val="402" w:hRule="exact"/>
        </w:trPr>
        <w:tc>
          <w:tcPr>
            <w:tcW w:w="7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7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4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w w:val="95"/>
                <w:sz w:val="18"/>
              </w:rPr>
              <w:t>-25,631.85</w:t>
            </w:r>
            <w:r>
              <w:rPr>
                <w:rFonts w:ascii="Times New Roman"/>
                <w:sz w:val="18"/>
              </w:rPr>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7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23"/>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计入当期损益的政府补助（与企业业务密切相关，按照国家统一标准定额或定量享受的政 府补助除外）</w:t>
            </w:r>
          </w:p>
        </w:tc>
        <w:tc>
          <w:tcPr>
            <w:tcW w:w="14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9,261,258.45</w:t>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 w:right="23"/>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除同公司正常经营业务相关的有效套期保值业务外，持有交易性金融资产、交易性金融负 债产生的公允价值变动损益，以及处置交易性金融资产、交易性金融负债和可供出售金融 资产取得的投资收益</w:t>
            </w:r>
          </w:p>
        </w:tc>
        <w:tc>
          <w:tcPr>
            <w:tcW w:w="14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4,649,031.48</w:t>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7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4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pacing w:val="-1"/>
                <w:sz w:val="18"/>
              </w:rPr>
              <w:t>-1,161,579.03</w:t>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7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4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188,587.48</w:t>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7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4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473,939.24</w:t>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7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71"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142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416,909.66</w:t>
            </w: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7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1"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429" w:type="dxa"/>
            <w:tcBorders>
              <w:top w:val="single" w:sz="4" w:space="0" w:color="000000"/>
              <w:left w:val="single" w:sz="13" w:space="0" w:color="D2D2D2"/>
              <w:bottom w:val="single" w:sz="4" w:space="0" w:color="000000"/>
              <w:right w:val="single" w:sz="9" w:space="0" w:color="D2D2D2"/>
            </w:tcBorders>
          </w:tcPr>
          <w:p>
            <w:pPr>
              <w:pStyle w:val="TableParagraph"/>
              <w:spacing w:line="240" w:lineRule="auto" w:before="91"/>
              <w:ind w:right="16"/>
              <w:jc w:val="right"/>
              <w:rPr>
                <w:rFonts w:ascii="Times New Roman" w:hAnsi="Times New Roman" w:cs="Times New Roman" w:eastAsia="Times New Roman" w:hint="default"/>
                <w:sz w:val="18"/>
                <w:szCs w:val="18"/>
              </w:rPr>
            </w:pPr>
            <w:r>
              <w:rPr>
                <w:rFonts w:ascii="Times New Roman"/>
                <w:spacing w:val="-1"/>
                <w:sz w:val="18"/>
              </w:rPr>
              <w:t>12,020,817.63</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pStyle w:val="BodyText"/>
        <w:spacing w:line="240" w:lineRule="auto" w:before="51"/>
        <w:ind w:right="0"/>
        <w:jc w:val="left"/>
      </w:pPr>
      <w:r>
        <w:rPr>
          <w:spacing w:val="-3"/>
        </w:rPr>
        <w:t>对公司根据《公开发行证券的公司信息披露解释性公告第</w:t>
      </w:r>
      <w:r>
        <w:rPr>
          <w:spacing w:val="-39"/>
        </w:rPr>
        <w:t> </w:t>
      </w:r>
      <w:r>
        <w:rPr>
          <w:rFonts w:ascii="Times New Roman" w:hAnsi="Times New Roman" w:cs="Times New Roman" w:eastAsia="Times New Roman" w:hint="default"/>
        </w:rPr>
        <w:t>1</w:t>
      </w:r>
      <w:r>
        <w:rPr>
          <w:rFonts w:ascii="Times New Roman" w:hAnsi="Times New Roman" w:cs="Times New Roman" w:eastAsia="Times New Roman" w:hint="default"/>
          <w:spacing w:val="5"/>
        </w:rPr>
        <w:t> </w:t>
      </w:r>
      <w:r>
        <w:rPr>
          <w:spacing w:val="-7"/>
        </w:rPr>
        <w:t>号</w:t>
      </w:r>
      <w:r>
        <w:rPr>
          <w:rFonts w:ascii="Times New Roman" w:hAnsi="Times New Roman" w:cs="Times New Roman" w:eastAsia="Times New Roman" w:hint="default"/>
          <w:spacing w:val="-7"/>
        </w:rPr>
        <w:t>——</w:t>
      </w:r>
      <w:r>
        <w:rPr>
          <w:spacing w:val="-7"/>
        </w:rPr>
        <w:t>非经常性损益》定义界定的非经常性损益项目，以及把《公</w:t>
      </w:r>
    </w:p>
    <w:p>
      <w:pPr>
        <w:pStyle w:val="BodyText"/>
        <w:spacing w:line="302" w:lineRule="auto" w:before="63"/>
        <w:ind w:right="1118"/>
        <w:jc w:val="left"/>
      </w:pPr>
      <w:r>
        <w:rPr/>
        <w:t>开发行证券的公司信息披露解释性公告第 </w:t>
      </w:r>
      <w:r>
        <w:rPr>
          <w:rFonts w:ascii="Times New Roman" w:hAnsi="Times New Roman" w:cs="Times New Roman" w:eastAsia="Times New Roman" w:hint="default"/>
        </w:rPr>
        <w:t>1</w:t>
      </w:r>
      <w:r>
        <w:rPr>
          <w:rFonts w:ascii="Times New Roman" w:hAnsi="Times New Roman" w:cs="Times New Roman" w:eastAsia="Times New Roman" w:hint="default"/>
          <w:spacing w:val="-26"/>
        </w:rPr>
        <w:t> </w:t>
      </w:r>
      <w:r>
        <w:rPr>
          <w:spacing w:val="-3"/>
        </w:rPr>
        <w:t>号</w:t>
      </w:r>
      <w:r>
        <w:rPr>
          <w:rFonts w:ascii="Times New Roman" w:hAnsi="Times New Roman" w:cs="Times New Roman" w:eastAsia="Times New Roman" w:hint="default"/>
          <w:spacing w:val="-3"/>
        </w:rPr>
        <w:t>——</w:t>
      </w:r>
      <w:r>
        <w:rPr>
          <w:spacing w:val="-3"/>
        </w:rPr>
        <w:t>非经常性损益》中列举的非经常性损益项目界定为经常性损益的项目，应</w:t>
      </w:r>
      <w:r>
        <w:rPr/>
        <w:t> 说明原因。</w:t>
      </w:r>
    </w:p>
    <w:p>
      <w:pPr>
        <w:pStyle w:val="BodyText"/>
        <w:spacing w:line="240" w:lineRule="auto" w:before="69"/>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right="1134"/>
        <w:jc w:val="left"/>
        <w:rPr>
          <w:b w:val="0"/>
          <w:bCs w:val="0"/>
        </w:rPr>
      </w:pPr>
      <w:bookmarkStart w:name="2、净资产收益率及每股收益" w:id="344"/>
      <w:bookmarkEnd w:id="344"/>
      <w:r>
        <w:rPr>
          <w:b w:val="0"/>
          <w:bCs w:val="0"/>
        </w:rPr>
      </w:r>
      <w:r>
        <w:rPr>
          <w:rFonts w:ascii="Times New Roman" w:hAnsi="Times New Roman" w:cs="Times New Roman" w:eastAsia="Times New Roman" w:hint="default"/>
        </w:rPr>
        <w:t>2</w:t>
      </w:r>
      <w:r>
        <w:rPr/>
        <w:t>、净资产收益率及每股收益</w:t>
      </w:r>
      <w:r>
        <w:rPr>
          <w:b w:val="0"/>
          <w:bCs w:val="0"/>
        </w:rPr>
      </w:r>
    </w:p>
    <w:p>
      <w:pPr>
        <w:spacing w:line="240" w:lineRule="auto" w:before="11"/>
        <w:rPr>
          <w:rFonts w:ascii="宋体" w:hAnsi="宋体" w:cs="宋体" w:eastAsia="宋体" w:hint="default"/>
          <w:b/>
          <w:bCs/>
          <w:sz w:val="25"/>
          <w:szCs w:val="25"/>
        </w:rPr>
      </w:pPr>
    </w:p>
    <w:tbl>
      <w:tblPr>
        <w:tblW w:w="0" w:type="auto"/>
        <w:jc w:val="left"/>
        <w:tblInd w:w="160" w:type="dxa"/>
        <w:tblLayout w:type="fixed"/>
        <w:tblCellMar>
          <w:top w:w="0" w:type="dxa"/>
          <w:left w:w="0" w:type="dxa"/>
          <w:bottom w:w="0" w:type="dxa"/>
          <w:right w:w="0" w:type="dxa"/>
        </w:tblCellMar>
        <w:tblLook w:val="01E0"/>
      </w:tblPr>
      <w:tblGrid>
        <w:gridCol w:w="4242"/>
        <w:gridCol w:w="1489"/>
        <w:gridCol w:w="1913"/>
        <w:gridCol w:w="1913"/>
      </w:tblGrid>
      <w:tr>
        <w:trPr>
          <w:trHeight w:val="206" w:hRule="exact"/>
        </w:trPr>
        <w:tc>
          <w:tcPr>
            <w:tcW w:w="4242" w:type="dxa"/>
            <w:tcBorders>
              <w:top w:val="single" w:sz="4" w:space="0" w:color="000000"/>
              <w:left w:val="single" w:sz="4" w:space="0" w:color="000000"/>
              <w:bottom w:val="nil" w:sz="6" w:space="0" w:color="auto"/>
              <w:right w:val="single" w:sz="4" w:space="0" w:color="000000"/>
            </w:tcBorders>
            <w:shd w:val="clear" w:color="auto" w:fill="D2D2D2"/>
          </w:tcPr>
          <w:p>
            <w:pPr/>
          </w:p>
        </w:tc>
        <w:tc>
          <w:tcPr>
            <w:tcW w:w="1489"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6"/>
              <w:ind w:left="469" w:right="108" w:hanging="360"/>
              <w:jc w:val="left"/>
              <w:rPr>
                <w:rFonts w:ascii="宋体" w:hAnsi="宋体" w:cs="宋体" w:eastAsia="宋体" w:hint="default"/>
                <w:sz w:val="18"/>
                <w:szCs w:val="18"/>
              </w:rPr>
            </w:pPr>
            <w:r>
              <w:rPr>
                <w:rFonts w:ascii="宋体" w:hAnsi="宋体" w:cs="宋体" w:eastAsia="宋体" w:hint="default"/>
                <w:sz w:val="18"/>
                <w:szCs w:val="18"/>
              </w:rPr>
              <w:t>加权平均净资产 收益率</w:t>
            </w:r>
          </w:p>
        </w:tc>
        <w:tc>
          <w:tcPr>
            <w:tcW w:w="3826"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191" w:hRule="exact"/>
        </w:trPr>
        <w:tc>
          <w:tcPr>
            <w:tcW w:w="4242" w:type="dxa"/>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51"/>
              <w:ind w:left="-1" w:right="9"/>
              <w:jc w:val="center"/>
              <w:rPr>
                <w:rFonts w:ascii="宋体" w:hAnsi="宋体" w:cs="宋体" w:eastAsia="宋体" w:hint="default"/>
                <w:sz w:val="18"/>
                <w:szCs w:val="18"/>
              </w:rPr>
            </w:pPr>
            <w:r>
              <w:rPr>
                <w:rFonts w:ascii="宋体" w:hAnsi="宋体" w:cs="宋体" w:eastAsia="宋体" w:hint="default"/>
                <w:sz w:val="18"/>
                <w:szCs w:val="18"/>
              </w:rPr>
              <w:t>报告期利润</w:t>
            </w:r>
          </w:p>
        </w:tc>
        <w:tc>
          <w:tcPr>
            <w:tcW w:w="1489" w:type="dxa"/>
            <w:vMerge/>
            <w:tcBorders>
              <w:left w:val="single" w:sz="4" w:space="0" w:color="000000"/>
              <w:right w:val="single" w:sz="4" w:space="0" w:color="000000"/>
            </w:tcBorders>
            <w:shd w:val="clear" w:color="auto" w:fill="D2D2D2"/>
          </w:tcPr>
          <w:p>
            <w:pPr/>
          </w:p>
        </w:tc>
        <w:tc>
          <w:tcPr>
            <w:tcW w:w="3826" w:type="dxa"/>
            <w:gridSpan w:val="2"/>
            <w:vMerge/>
            <w:tcBorders>
              <w:left w:val="single" w:sz="4" w:space="0" w:color="000000"/>
              <w:bottom w:val="single" w:sz="4" w:space="0" w:color="000000"/>
              <w:right w:val="single" w:sz="4" w:space="0" w:color="000000"/>
            </w:tcBorders>
            <w:shd w:val="clear" w:color="auto" w:fill="D2D2D2"/>
          </w:tcPr>
          <w:p>
            <w:pPr/>
          </w:p>
        </w:tc>
      </w:tr>
      <w:tr>
        <w:trPr>
          <w:trHeight w:val="202" w:hRule="exact"/>
        </w:trPr>
        <w:tc>
          <w:tcPr>
            <w:tcW w:w="4242" w:type="dxa"/>
            <w:vMerge/>
            <w:tcBorders>
              <w:left w:val="single" w:sz="4" w:space="0" w:color="000000"/>
              <w:bottom w:val="nil" w:sz="6" w:space="0" w:color="auto"/>
              <w:right w:val="single" w:sz="4" w:space="0" w:color="000000"/>
            </w:tcBorders>
            <w:shd w:val="clear" w:color="auto" w:fill="D2D2D2"/>
          </w:tcPr>
          <w:p>
            <w:pPr/>
          </w:p>
        </w:tc>
        <w:tc>
          <w:tcPr>
            <w:tcW w:w="1489" w:type="dxa"/>
            <w:vMerge/>
            <w:tcBorders>
              <w:left w:val="single" w:sz="4" w:space="0" w:color="000000"/>
              <w:right w:val="single" w:sz="4" w:space="0" w:color="000000"/>
            </w:tcBorders>
            <w:shd w:val="clear" w:color="auto" w:fill="D2D2D2"/>
          </w:tcPr>
          <w:p>
            <w:pP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7"/>
              <w:ind w:left="26"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91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7"/>
              <w:ind w:left="26"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06" w:hRule="exact"/>
        </w:trPr>
        <w:tc>
          <w:tcPr>
            <w:tcW w:w="4242" w:type="dxa"/>
            <w:tcBorders>
              <w:top w:val="nil" w:sz="6" w:space="0" w:color="auto"/>
              <w:left w:val="single" w:sz="4" w:space="0" w:color="000000"/>
              <w:bottom w:val="single" w:sz="4" w:space="0" w:color="000000"/>
              <w:right w:val="single" w:sz="4" w:space="0" w:color="000000"/>
            </w:tcBorders>
            <w:shd w:val="clear" w:color="auto" w:fill="D2D2D2"/>
          </w:tcPr>
          <w:p>
            <w:pPr/>
          </w:p>
        </w:tc>
        <w:tc>
          <w:tcPr>
            <w:tcW w:w="1489"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c>
          <w:tcPr>
            <w:tcW w:w="1913"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4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c>
        <w:tc>
          <w:tcPr>
            <w:tcW w:w="1489" w:type="dxa"/>
            <w:tcBorders>
              <w:top w:val="single" w:sz="18" w:space="0" w:color="D2D2D2"/>
              <w:left w:val="single" w:sz="13" w:space="0" w:color="D2D2D2"/>
              <w:bottom w:val="single" w:sz="4" w:space="0" w:color="000000"/>
              <w:right w:val="single" w:sz="4" w:space="0" w:color="000000"/>
            </w:tcBorders>
          </w:tcPr>
          <w:p>
            <w:pPr>
              <w:pStyle w:val="TableParagraph"/>
              <w:spacing w:line="240" w:lineRule="auto" w:before="74"/>
              <w:ind w:right="21"/>
              <w:jc w:val="right"/>
              <w:rPr>
                <w:rFonts w:ascii="Times New Roman" w:hAnsi="Times New Roman" w:cs="Times New Roman" w:eastAsia="Times New Roman" w:hint="default"/>
                <w:sz w:val="18"/>
                <w:szCs w:val="18"/>
              </w:rPr>
            </w:pPr>
            <w:r>
              <w:rPr>
                <w:rFonts w:ascii="Times New Roman"/>
                <w:sz w:val="18"/>
              </w:rPr>
              <w:t>17.96%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0.42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0.42</w:t>
            </w:r>
          </w:p>
        </w:tc>
      </w:tr>
      <w:tr>
        <w:trPr>
          <w:trHeight w:val="403" w:hRule="exact"/>
        </w:trPr>
        <w:tc>
          <w:tcPr>
            <w:tcW w:w="42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1"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扣除非经常性损益后归属于公司普通股股东的净利润</w:t>
            </w:r>
          </w:p>
        </w:tc>
        <w:tc>
          <w:tcPr>
            <w:tcW w:w="1489" w:type="dxa"/>
            <w:tcBorders>
              <w:top w:val="single" w:sz="4" w:space="0" w:color="000000"/>
              <w:left w:val="single" w:sz="13" w:space="0" w:color="D2D2D2"/>
              <w:bottom w:val="single" w:sz="4" w:space="0" w:color="000000"/>
              <w:right w:val="single" w:sz="4" w:space="0" w:color="000000"/>
            </w:tcBorders>
          </w:tcPr>
          <w:p>
            <w:pPr>
              <w:pStyle w:val="TableParagraph"/>
              <w:spacing w:line="240" w:lineRule="auto" w:before="91"/>
              <w:ind w:right="21"/>
              <w:jc w:val="right"/>
              <w:rPr>
                <w:rFonts w:ascii="Times New Roman" w:hAnsi="Times New Roman" w:cs="Times New Roman" w:eastAsia="Times New Roman" w:hint="default"/>
                <w:sz w:val="18"/>
                <w:szCs w:val="18"/>
              </w:rPr>
            </w:pPr>
            <w:r>
              <w:rPr>
                <w:rFonts w:ascii="Times New Roman"/>
                <w:sz w:val="18"/>
              </w:rPr>
              <w:t>16.12%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0.38</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Times New Roman" w:hAnsi="Times New Roman" w:cs="Times New Roman" w:eastAsia="Times New Roman" w:hint="default"/>
                <w:sz w:val="18"/>
                <w:szCs w:val="18"/>
              </w:rPr>
            </w:pPr>
            <w:r>
              <w:rPr>
                <w:rFonts w:ascii="Times New Roman"/>
                <w:sz w:val="18"/>
              </w:rPr>
              <w:t>0.38</w:t>
            </w:r>
          </w:p>
        </w:tc>
      </w:tr>
    </w:tbl>
    <w:p>
      <w:pPr>
        <w:spacing w:after="0" w:line="240" w:lineRule="auto"/>
        <w:jc w:val="right"/>
        <w:rPr>
          <w:rFonts w:ascii="Times New Roman" w:hAnsi="Times New Roman" w:cs="Times New Roman" w:eastAsia="Times New Roman" w:hint="default"/>
          <w:sz w:val="18"/>
          <w:szCs w:val="18"/>
        </w:rPr>
        <w:sectPr>
          <w:pgSz w:w="11910" w:h="16840"/>
          <w:pgMar w:header="747" w:footer="979" w:top="1060" w:bottom="1160" w:left="980" w:right="0"/>
        </w:sectPr>
      </w:pPr>
    </w:p>
    <w:p>
      <w:pPr>
        <w:spacing w:line="240" w:lineRule="auto" w:before="10"/>
        <w:rPr>
          <w:rFonts w:ascii="宋体" w:hAnsi="宋体" w:cs="宋体" w:eastAsia="宋体" w:hint="default"/>
          <w:b/>
          <w:bCs/>
          <w:sz w:val="24"/>
          <w:szCs w:val="24"/>
        </w:rPr>
      </w:pPr>
    </w:p>
    <w:p>
      <w:pPr>
        <w:pStyle w:val="Heading3"/>
        <w:spacing w:line="240" w:lineRule="auto" w:before="35"/>
        <w:ind w:right="1134"/>
        <w:jc w:val="left"/>
        <w:rPr>
          <w:b w:val="0"/>
          <w:bCs w:val="0"/>
        </w:rPr>
      </w:pPr>
      <w:bookmarkStart w:name="3、境内外会计准则下会计数据差异" w:id="345"/>
      <w:bookmarkEnd w:id="345"/>
      <w:r>
        <w:rPr>
          <w:b w:val="0"/>
          <w:bCs w:val="0"/>
        </w:rPr>
      </w:r>
      <w:r>
        <w:rPr>
          <w:rFonts w:ascii="Times New Roman" w:hAnsi="Times New Roman" w:cs="Times New Roman" w:eastAsia="Times New Roman" w:hint="default"/>
        </w:rPr>
        <w:t>3</w:t>
      </w:r>
      <w:r>
        <w:rPr/>
        <w:t>、境内外会计准则下会计数据差异</w:t>
      </w:r>
      <w:r>
        <w:rPr>
          <w:b w:val="0"/>
          <w:bCs w:val="0"/>
        </w:rPr>
      </w:r>
    </w:p>
    <w:p>
      <w:pPr>
        <w:spacing w:line="240" w:lineRule="auto" w:before="8"/>
        <w:rPr>
          <w:rFonts w:ascii="宋体" w:hAnsi="宋体" w:cs="宋体" w:eastAsia="宋体" w:hint="default"/>
          <w:b/>
          <w:bCs/>
          <w:sz w:val="24"/>
          <w:szCs w:val="24"/>
        </w:rPr>
      </w:pPr>
    </w:p>
    <w:p>
      <w:pPr>
        <w:pStyle w:val="Heading3"/>
        <w:spacing w:line="240" w:lineRule="auto"/>
        <w:ind w:right="1134"/>
        <w:jc w:val="left"/>
        <w:rPr>
          <w:b w:val="0"/>
          <w:bCs w:val="0"/>
        </w:rPr>
      </w:pPr>
      <w:bookmarkStart w:name="（1）同时按照国际会计准则与按中国会计准则披露的财务报告中净利润和净资产差异情况" w:id="346"/>
      <w:bookmarkEnd w:id="346"/>
      <w:r>
        <w:rPr>
          <w:b w:val="0"/>
          <w:bCs w:val="0"/>
        </w:rPr>
      </w:r>
      <w:r>
        <w:rPr/>
        <w:t>（</w:t>
      </w:r>
      <w:r>
        <w:rPr>
          <w:rFonts w:ascii="Times New Roman" w:hAnsi="Times New Roman" w:cs="Times New Roman" w:eastAsia="Times New Roman" w:hint="default"/>
        </w:rPr>
        <w:t>1</w:t>
      </w:r>
      <w:r>
        <w:rPr/>
        <w:t>）同时按照国际会计准则与按中国会计准则披露的财务报告中净利润和净资产差异情况</w:t>
      </w:r>
      <w:r>
        <w:rPr>
          <w:b w:val="0"/>
          <w:bCs w:val="0"/>
        </w:rPr>
      </w:r>
    </w:p>
    <w:p>
      <w:pPr>
        <w:spacing w:line="240" w:lineRule="auto" w:before="8"/>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9"/>
        <w:rPr>
          <w:rFonts w:ascii="宋体" w:hAnsi="宋体" w:cs="宋体" w:eastAsia="宋体" w:hint="default"/>
          <w:sz w:val="25"/>
          <w:szCs w:val="25"/>
        </w:rPr>
      </w:pPr>
    </w:p>
    <w:p>
      <w:pPr>
        <w:pStyle w:val="Heading3"/>
        <w:spacing w:line="240" w:lineRule="auto"/>
        <w:ind w:right="1134"/>
        <w:jc w:val="left"/>
        <w:rPr>
          <w:b w:val="0"/>
          <w:bCs w:val="0"/>
        </w:rPr>
      </w:pPr>
      <w:bookmarkStart w:name="（2）同时按照境外会计准则与按中国会计准则披露的财务报告中净利润和净资产差异情况" w:id="347"/>
      <w:bookmarkEnd w:id="347"/>
      <w:r>
        <w:rPr>
          <w:b w:val="0"/>
          <w:bCs w:val="0"/>
        </w:rPr>
      </w:r>
      <w:r>
        <w:rPr/>
        <w:t>（</w:t>
      </w:r>
      <w:r>
        <w:rPr>
          <w:rFonts w:ascii="Times New Roman" w:hAnsi="Times New Roman" w:cs="Times New Roman" w:eastAsia="Times New Roman" w:hint="default"/>
        </w:rPr>
        <w:t>2</w:t>
      </w:r>
      <w:r>
        <w:rPr/>
        <w:t>）同时按照境外会计准则与按中国会计准则披露的财务报告中净利润和净资产差异情况</w:t>
      </w:r>
      <w:r>
        <w:rPr>
          <w:b w:val="0"/>
          <w:bCs w:val="0"/>
        </w:rPr>
      </w:r>
    </w:p>
    <w:p>
      <w:pPr>
        <w:spacing w:line="240" w:lineRule="auto" w:before="9"/>
        <w:rPr>
          <w:rFonts w:ascii="宋体" w:hAnsi="宋体" w:cs="宋体" w:eastAsia="宋体" w:hint="default"/>
          <w:b/>
          <w:bCs/>
          <w:sz w:val="26"/>
          <w:szCs w:val="26"/>
        </w:rPr>
      </w:pPr>
    </w:p>
    <w:p>
      <w:pPr>
        <w:pStyle w:val="BodyText"/>
        <w:spacing w:line="240" w:lineRule="auto"/>
        <w:ind w:right="1134"/>
        <w:jc w:val="left"/>
      </w:pPr>
      <w:r>
        <w:rPr>
          <w:rFonts w:ascii="Times New Roman" w:hAnsi="Times New Roman" w:cs="Times New Roman" w:eastAsia="Times New Roman" w:hint="default"/>
        </w:rPr>
        <w:t>□  </w:t>
      </w:r>
      <w:r>
        <w:rPr/>
        <w:t>适用 </w:t>
      </w:r>
      <w:r>
        <w:rPr>
          <w:rFonts w:ascii="Times New Roman" w:hAnsi="Times New Roman" w:cs="Times New Roman" w:eastAsia="Times New Roman" w:hint="default"/>
        </w:rPr>
        <w:t>√</w:t>
      </w:r>
      <w:r>
        <w:rPr>
          <w:rFonts w:ascii="Times New Roman" w:hAnsi="Times New Roman" w:cs="Times New Roman" w:eastAsia="Times New Roman" w:hint="default"/>
          <w:spacing w:val="44"/>
        </w:rPr>
        <w:t> </w:t>
      </w:r>
      <w:r>
        <w:rPr/>
        <w:t>不适用</w:t>
      </w:r>
    </w:p>
    <w:p>
      <w:pPr>
        <w:spacing w:line="240" w:lineRule="auto" w:before="10"/>
        <w:rPr>
          <w:rFonts w:ascii="宋体" w:hAnsi="宋体" w:cs="宋体" w:eastAsia="宋体" w:hint="default"/>
          <w:sz w:val="25"/>
          <w:szCs w:val="25"/>
        </w:rPr>
      </w:pPr>
    </w:p>
    <w:p>
      <w:pPr>
        <w:pStyle w:val="Heading3"/>
        <w:spacing w:line="259" w:lineRule="auto"/>
        <w:ind w:right="1134"/>
        <w:jc w:val="left"/>
        <w:rPr>
          <w:b w:val="0"/>
          <w:bCs w:val="0"/>
        </w:rPr>
      </w:pPr>
      <w:bookmarkStart w:name="（3）境内外会计准则下会计数据差异原因说明，对已经境外审计机构审计的数据进行差异" w:id="348"/>
      <w:bookmarkEnd w:id="348"/>
      <w:r>
        <w:rPr>
          <w:b w:val="0"/>
          <w:bCs w:val="0"/>
        </w:rPr>
      </w:r>
      <w:r>
        <w:rPr/>
        <w:t>（</w:t>
      </w:r>
      <w:r>
        <w:rPr>
          <w:rFonts w:ascii="Times New Roman" w:hAnsi="Times New Roman" w:cs="Times New Roman" w:eastAsia="Times New Roman" w:hint="default"/>
        </w:rPr>
        <w:t>3</w:t>
      </w:r>
      <w:r>
        <w:rPr/>
        <w:t>）境内外会计准则下会计数据差异原因说明，对已经境外审计机构审计的数据进行差异调节的，应注</w:t>
      </w:r>
      <w:r>
        <w:rPr>
          <w:spacing w:val="-74"/>
        </w:rPr>
        <w:t> </w:t>
      </w:r>
      <w:r>
        <w:rPr>
          <w:spacing w:val="-74"/>
        </w:rPr>
      </w:r>
      <w:r>
        <w:rPr/>
        <w:t>明该境外机构的名称</w:t>
      </w:r>
      <w:r>
        <w:rPr>
          <w:b w:val="0"/>
          <w:bCs w:val="0"/>
        </w:rPr>
      </w:r>
    </w:p>
    <w:p>
      <w:pPr>
        <w:spacing w:after="0" w:line="259" w:lineRule="auto"/>
        <w:jc w:val="left"/>
        <w:sectPr>
          <w:pgSz w:w="11910" w:h="16840"/>
          <w:pgMar w:header="747" w:footer="979" w:top="1060" w:bottom="1160" w:left="980" w:right="0"/>
        </w:sect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0"/>
          <w:szCs w:val="20"/>
        </w:rPr>
      </w:pPr>
    </w:p>
    <w:p>
      <w:pPr>
        <w:pStyle w:val="Heading1"/>
        <w:spacing w:line="240" w:lineRule="auto"/>
        <w:ind w:left="3286" w:right="1134"/>
        <w:jc w:val="left"/>
        <w:rPr>
          <w:b w:val="0"/>
          <w:bCs w:val="0"/>
        </w:rPr>
      </w:pPr>
      <w:bookmarkStart w:name="第十二节 备查文件目录" w:id="349"/>
      <w:bookmarkEnd w:id="349"/>
      <w:r>
        <w:rPr>
          <w:b w:val="0"/>
          <w:bCs w:val="0"/>
        </w:rPr>
      </w:r>
      <w:bookmarkStart w:name="_bookmark11" w:id="350"/>
      <w:bookmarkEnd w:id="350"/>
      <w:r>
        <w:rPr>
          <w:b w:val="0"/>
          <w:bCs w:val="0"/>
        </w:rPr>
      </w:r>
      <w:r>
        <w:rPr/>
        <w:t>第十二节</w:t>
      </w:r>
      <w:r>
        <w:rPr>
          <w:spacing w:val="-8"/>
        </w:rPr>
        <w:t> </w:t>
      </w:r>
      <w:r>
        <w:rPr/>
        <w:t>备查文件目录</w:t>
      </w:r>
      <w:r>
        <w:rPr>
          <w:b w:val="0"/>
          <w:bCs w:val="0"/>
        </w:rPr>
      </w:r>
    </w:p>
    <w:p>
      <w:pPr>
        <w:spacing w:line="240" w:lineRule="auto" w:before="6"/>
        <w:rPr>
          <w:rFonts w:ascii="宋体" w:hAnsi="宋体" w:cs="宋体" w:eastAsia="宋体" w:hint="default"/>
          <w:b/>
          <w:bCs/>
          <w:sz w:val="42"/>
          <w:szCs w:val="42"/>
        </w:rPr>
      </w:pPr>
    </w:p>
    <w:p>
      <w:pPr>
        <w:pStyle w:val="BodyText"/>
        <w:spacing w:line="240" w:lineRule="auto"/>
        <w:ind w:right="1134"/>
        <w:jc w:val="left"/>
      </w:pPr>
      <w:r>
        <w:rPr/>
        <w:t>一、载有董事长</w:t>
      </w:r>
      <w:r>
        <w:rPr>
          <w:rFonts w:ascii="Times New Roman" w:hAnsi="Times New Roman" w:cs="Times New Roman" w:eastAsia="Times New Roman" w:hint="default"/>
        </w:rPr>
        <w:t>GUO</w:t>
      </w:r>
      <w:r>
        <w:rPr>
          <w:rFonts w:ascii="Times New Roman" w:hAnsi="Times New Roman" w:cs="Times New Roman" w:eastAsia="Times New Roman" w:hint="default"/>
          <w:spacing w:val="-2"/>
        </w:rPr>
        <w:t> </w:t>
      </w:r>
      <w:r>
        <w:rPr>
          <w:rFonts w:ascii="Times New Roman" w:hAnsi="Times New Roman" w:cs="Times New Roman" w:eastAsia="Times New Roman" w:hint="default"/>
        </w:rPr>
        <w:t>SONG</w:t>
      </w:r>
      <w:r>
        <w:rPr/>
        <w:t>签名并盖有公章的《</w:t>
      </w:r>
      <w:r>
        <w:rPr>
          <w:rFonts w:ascii="Times New Roman" w:hAnsi="Times New Roman" w:cs="Times New Roman" w:eastAsia="Times New Roman" w:hint="default"/>
        </w:rPr>
        <w:t>2018</w:t>
      </w:r>
      <w:r>
        <w:rPr/>
        <w:t>年年度报告》文件原件；</w:t>
      </w:r>
    </w:p>
    <w:p>
      <w:pPr>
        <w:pStyle w:val="BodyText"/>
        <w:spacing w:line="309" w:lineRule="auto" w:before="63"/>
        <w:ind w:right="1896"/>
        <w:jc w:val="left"/>
      </w:pPr>
      <w:r>
        <w:rPr/>
        <w:t>二、载有公司负责人</w:t>
      </w:r>
      <w:r>
        <w:rPr>
          <w:rFonts w:ascii="Times New Roman" w:hAnsi="Times New Roman" w:cs="Times New Roman" w:eastAsia="Times New Roman" w:hint="default"/>
        </w:rPr>
        <w:t>GUO SONG</w:t>
      </w:r>
      <w:r>
        <w:rPr/>
        <w:t>、主管会计工作负责人</w:t>
      </w:r>
      <w:r>
        <w:rPr>
          <w:rFonts w:ascii="Times New Roman" w:hAnsi="Times New Roman" w:cs="Times New Roman" w:eastAsia="Times New Roman" w:hint="default"/>
        </w:rPr>
        <w:t>LIU</w:t>
      </w:r>
      <w:r>
        <w:rPr>
          <w:rFonts w:ascii="Times New Roman" w:hAnsi="Times New Roman" w:cs="Times New Roman" w:eastAsia="Times New Roman" w:hint="default"/>
          <w:spacing w:val="-4"/>
        </w:rPr>
        <w:t> </w:t>
      </w:r>
      <w:r>
        <w:rPr>
          <w:rFonts w:ascii="Times New Roman" w:hAnsi="Times New Roman" w:cs="Times New Roman" w:eastAsia="Times New Roman" w:hint="default"/>
        </w:rPr>
        <w:t>DAN</w:t>
      </w:r>
      <w:r>
        <w:rPr/>
        <w:t>、会计机构负责人张晔签名并盖章的财务报表。 三、载有大华会计师事务所盖章、注册会计师陈葆华、周灵芝签名并盖章的审计报告原件。 四、报告期内在中国证监会指定网站上公开披露过的所有公司文件的正本及公告的原稿。</w:t>
      </w:r>
    </w:p>
    <w:p>
      <w:pPr>
        <w:pStyle w:val="BodyText"/>
        <w:spacing w:line="316" w:lineRule="auto" w:before="24"/>
        <w:ind w:right="7692"/>
        <w:jc w:val="left"/>
      </w:pPr>
      <w:r>
        <w:rPr/>
        <w:t>五、其他相关资料。 以上备查文件的备置地点：公司证券部</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5"/>
          <w:szCs w:val="25"/>
        </w:rPr>
      </w:pPr>
    </w:p>
    <w:p>
      <w:pPr>
        <w:pStyle w:val="BodyText"/>
        <w:spacing w:line="319" w:lineRule="auto"/>
        <w:ind w:left="7788" w:right="1130" w:hanging="515"/>
        <w:jc w:val="right"/>
        <w:rPr>
          <w:rFonts w:ascii="Times New Roman" w:hAnsi="Times New Roman" w:cs="Times New Roman" w:eastAsia="Times New Roman" w:hint="default"/>
        </w:rPr>
      </w:pPr>
      <w:r>
        <w:rPr/>
        <w:t>深圳市优博讯科技股份有限公司 法定代表人：</w:t>
      </w:r>
      <w:r>
        <w:rPr>
          <w:rFonts w:ascii="Times New Roman" w:hAnsi="Times New Roman" w:cs="Times New Roman" w:eastAsia="Times New Roman" w:hint="default"/>
        </w:rPr>
        <w:t>GUO</w:t>
      </w:r>
      <w:r>
        <w:rPr>
          <w:rFonts w:ascii="Times New Roman" w:hAnsi="Times New Roman" w:cs="Times New Roman" w:eastAsia="Times New Roman" w:hint="default"/>
          <w:spacing w:val="-3"/>
        </w:rPr>
        <w:t> </w:t>
      </w:r>
      <w:r>
        <w:rPr>
          <w:rFonts w:ascii="Times New Roman" w:hAnsi="Times New Roman" w:cs="Times New Roman" w:eastAsia="Times New Roman" w:hint="default"/>
        </w:rPr>
        <w:t>SONG</w:t>
      </w:r>
    </w:p>
    <w:p>
      <w:pPr>
        <w:pStyle w:val="BodyText"/>
        <w:spacing w:line="240" w:lineRule="auto" w:before="36"/>
        <w:ind w:left="5856" w:right="1130"/>
        <w:jc w:val="right"/>
      </w:pPr>
      <w:r>
        <w:rPr>
          <w:rFonts w:ascii="Times New Roman" w:hAnsi="Times New Roman" w:cs="Times New Roman" w:eastAsia="Times New Roman" w:hint="default"/>
          <w:spacing w:val="-1"/>
        </w:rPr>
        <w:t>2019</w:t>
      </w:r>
      <w:r>
        <w:rPr>
          <w:spacing w:val="-1"/>
        </w:rPr>
        <w:t>年</w:t>
      </w:r>
      <w:r>
        <w:rPr>
          <w:rFonts w:ascii="Times New Roman" w:hAnsi="Times New Roman" w:cs="Times New Roman" w:eastAsia="Times New Roman" w:hint="default"/>
          <w:spacing w:val="-1"/>
        </w:rPr>
        <w:t>3</w:t>
      </w:r>
      <w:r>
        <w:rPr>
          <w:spacing w:val="-1"/>
        </w:rPr>
        <w:t>月</w:t>
      </w:r>
      <w:r>
        <w:rPr>
          <w:rFonts w:ascii="Times New Roman" w:hAnsi="Times New Roman" w:cs="Times New Roman" w:eastAsia="Times New Roman" w:hint="default"/>
          <w:spacing w:val="-1"/>
        </w:rPr>
        <w:t>28</w:t>
      </w:r>
      <w:r>
        <w:rPr>
          <w:spacing w:val="-1"/>
        </w:rPr>
        <w:t>日</w:t>
      </w:r>
    </w:p>
    <w:sectPr>
      <w:pgSz w:w="11910" w:h="16840"/>
      <w:pgMar w:header="747" w:footer="979" w:top="1060" w:bottom="116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13296" type="#_x0000_t75" stroked="false">
          <v:imagedata r:id="rId1" o:title=""/>
        </v:shape>
      </w:pict>
    </w:r>
    <w:r>
      <w:rPr/>
      <w:pict>
        <v:shape style="position:absolute;margin-left:533.179993pt;margin-top:795.517944pt;width:6.5pt;height:11pt;mso-position-horizontal-relative:page;mso-position-vertical-relative:page;z-index:-1013272"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13248" type="#_x0000_t75" stroked="false">
          <v:imagedata r:id="rId1" o:title=""/>
        </v:shape>
      </w:pict>
    </w:r>
    <w:r>
      <w:rPr/>
      <w:pict>
        <v:shape style="position:absolute;margin-left:527.679993pt;margin-top:781.957947pt;width:13pt;height:11pt;mso-position-horizontal-relative:page;mso-position-vertical-relative:page;z-index:-1013224"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13200" type="#_x0000_t75" stroked="false">
          <v:imagedata r:id="rId1" o:title=""/>
        </v:shape>
      </w:pict>
    </w:r>
    <w:r>
      <w:rPr/>
      <w:pict>
        <v:shape style="position:absolute;margin-left:524.179993pt;margin-top:781.957947pt;width:15.5pt;height:11pt;mso-position-horizontal-relative:page;mso-position-vertical-relative:page;z-index:-1013176" type="#_x0000_t202" filled="false" stroked="false">
          <v:textbox inset="0,0,0,0">
            <w:txbxContent>
              <w:p>
                <w:pPr>
                  <w:pStyle w:val="BodyText"/>
                  <w:spacing w:line="204" w:lineRule="exact"/>
                  <w:ind w:left="20" w:right="0"/>
                  <w:jc w:val="left"/>
                  <w:rPr>
                    <w:rFonts w:ascii="Times New Roman" w:hAnsi="Times New Roman" w:cs="Times New Roman" w:eastAsia="Times New Roman" w:hint="default"/>
                  </w:rPr>
                </w:pPr>
                <w:r>
                  <w:rPr>
                    <w:rFonts w:ascii="Times New Roman"/>
                  </w:rPr>
                  <w:t>100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13152" type="#_x0000_t75" stroked="false">
          <v:imagedata r:id="rId1" o:title=""/>
        </v:shape>
      </w:pict>
    </w:r>
    <w:r>
      <w:rPr/>
      <w:pict>
        <v:shape style="position:absolute;margin-left:523.179993pt;margin-top:781.957947pt;width:17.5pt;height:11pt;mso-position-horizontal-relative:page;mso-position-vertical-relative:page;z-index:-1013128"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101</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13104" type="#_x0000_t75" stroked="false">
          <v:imagedata r:id="rId1" o:title=""/>
        </v:shape>
      </w:pict>
    </w:r>
    <w:r>
      <w:rPr/>
      <w:pict>
        <v:shape style="position:absolute;margin-left:523.179993pt;margin-top:781.957947pt;width:17.5pt;height:11pt;mso-position-horizontal-relative:page;mso-position-vertical-relative:page;z-index:-1013080" type="#_x0000_t202" filled="false" stroked="false">
          <v:textbox inset="0,0,0,0">
            <w:txbxContent>
              <w:p>
                <w:pPr>
                  <w:pStyle w:val="BodyText"/>
                  <w:spacing w:line="204" w:lineRule="exact"/>
                  <w:ind w:left="40" w:right="0"/>
                  <w:jc w:val="left"/>
                  <w:rPr>
                    <w:rFonts w:ascii="Times New Roman" w:hAnsi="Times New Roman" w:cs="Times New Roman" w:eastAsia="Times New Roman" w:hint="default"/>
                  </w:rPr>
                </w:pPr>
                <w:r>
                  <w:rPr>
                    <w:rFonts w:ascii="Times New Roman"/>
                  </w:rPr>
                </w:r>
                <w:r>
                  <w:rPr/>
                  <w:fldChar w:fldCharType="begin"/>
                </w:r>
                <w:r>
                  <w:rPr>
                    <w:rFonts w:ascii="Times New Roman"/>
                  </w:rPr>
                  <w:instrText> PAGE </w:instrText>
                </w:r>
                <w:r>
                  <w:rPr/>
                  <w:fldChar w:fldCharType="separate"/>
                </w:r>
                <w:r>
                  <w:rPr/>
                  <w:t>130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26.160004pt;margin-top:36.325607pt;width:213.55pt;height:11.5pt;mso-position-horizontal-relative:page;mso-position-vertical-relative:page;z-index:-1013320" type="#_x0000_t202" filled="false" stroked="false">
          <v:textbox inset="0,0,0,0">
            <w:txbxContent>
              <w:p>
                <w:pPr>
                  <w:pStyle w:val="BodyText"/>
                  <w:spacing w:line="214" w:lineRule="exact"/>
                  <w:ind w:left="20" w:right="0"/>
                  <w:jc w:val="left"/>
                </w:pPr>
                <w:r>
                  <w:rPr/>
                  <w:t>深圳市优博讯科技股份有限公司</w:t>
                </w:r>
                <w:r>
                  <w:rPr>
                    <w:spacing w:val="-46"/>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
                  </w:rPr>
                  <w:t> </w:t>
                </w:r>
                <w:r>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297"/>
      <w:ind w:left="154"/>
    </w:pPr>
    <w:rPr>
      <w:rFonts w:ascii="宋体" w:hAnsi="宋体" w:eastAsia="宋体"/>
      <w:b/>
      <w:bCs/>
      <w:sz w:val="28"/>
      <w:szCs w:val="28"/>
    </w:rPr>
  </w:style>
  <w:style w:styleId="BodyText" w:type="paragraph">
    <w:name w:val="Body Text"/>
    <w:basedOn w:val="Normal"/>
    <w:uiPriority w:val="1"/>
    <w:qFormat/>
    <w:pPr>
      <w:ind w:left="154"/>
    </w:pPr>
    <w:rPr>
      <w:rFonts w:ascii="宋体" w:hAnsi="宋体" w:eastAsia="宋体"/>
      <w:sz w:val="18"/>
      <w:szCs w:val="18"/>
    </w:rPr>
  </w:style>
  <w:style w:styleId="Heading1" w:type="paragraph">
    <w:name w:val="Heading 1"/>
    <w:basedOn w:val="Normal"/>
    <w:uiPriority w:val="1"/>
    <w:qFormat/>
    <w:pPr>
      <w:spacing w:before="1"/>
      <w:ind w:left="495"/>
      <w:outlineLvl w:val="1"/>
    </w:pPr>
    <w:rPr>
      <w:rFonts w:ascii="宋体" w:hAnsi="宋体" w:eastAsia="宋体"/>
      <w:b/>
      <w:bCs/>
      <w:sz w:val="32"/>
      <w:szCs w:val="32"/>
    </w:rPr>
  </w:style>
  <w:style w:styleId="Heading2" w:type="paragraph">
    <w:name w:val="Heading 2"/>
    <w:basedOn w:val="Normal"/>
    <w:uiPriority w:val="1"/>
    <w:qFormat/>
    <w:pPr>
      <w:ind w:left="154"/>
      <w:outlineLvl w:val="2"/>
    </w:pPr>
    <w:rPr>
      <w:rFonts w:ascii="宋体" w:hAnsi="宋体" w:eastAsia="宋体"/>
      <w:b/>
      <w:bCs/>
      <w:sz w:val="24"/>
      <w:szCs w:val="24"/>
    </w:rPr>
  </w:style>
  <w:style w:styleId="Heading3" w:type="paragraph">
    <w:name w:val="Heading 3"/>
    <w:basedOn w:val="Normal"/>
    <w:uiPriority w:val="1"/>
    <w:qFormat/>
    <w:pPr>
      <w:ind w:left="154"/>
      <w:outlineLvl w:val="3"/>
    </w:pPr>
    <w:rPr>
      <w:rFonts w:ascii="宋体" w:hAnsi="宋体" w:eastAsia="宋体"/>
      <w:b/>
      <w:bCs/>
      <w:sz w:val="21"/>
      <w:szCs w:val="21"/>
    </w:rPr>
  </w:style>
  <w:style w:styleId="Heading4" w:type="paragraph">
    <w:name w:val="Heading 4"/>
    <w:basedOn w:val="Normal"/>
    <w:uiPriority w:val="1"/>
    <w:qFormat/>
    <w:pPr>
      <w:ind w:left="515"/>
      <w:outlineLvl w:val="4"/>
    </w:pPr>
    <w:rPr>
      <w:rFonts w:ascii="宋体" w:hAnsi="宋体" w:eastAsia="宋体"/>
      <w:b/>
      <w:bCs/>
      <w:sz w:val="18"/>
      <w:szCs w:val="18"/>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footer" Target="footer2.xml"/><Relationship Id="rId9" Type="http://schemas.openxmlformats.org/officeDocument/2006/relationships/hyperlink" Target="http://www.urovo.com/" TargetMode="External"/><Relationship Id="rId10" Type="http://schemas.openxmlformats.org/officeDocument/2006/relationships/hyperlink" Target="mailto:info@urovo.com" TargetMode="External"/><Relationship Id="rId11" Type="http://schemas.openxmlformats.org/officeDocument/2006/relationships/hyperlink" Target="mailto:liuzhen@urovo.com" TargetMode="External"/><Relationship Id="rId12" Type="http://schemas.openxmlformats.org/officeDocument/2006/relationships/hyperlink" Target="mailto:en@urovo.com" TargetMode="External"/><Relationship Id="rId13" Type="http://schemas.openxmlformats.org/officeDocument/2006/relationships/hyperlink" Target="mailto:teng.wang@urovo.com" TargetMode="External"/><Relationship Id="rId14" Type="http://schemas.openxmlformats.org/officeDocument/2006/relationships/hyperlink" Target="http://www.cninfo.com.cn/" TargetMode="External"/><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jpe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jpeg"/><Relationship Id="rId25" Type="http://schemas.openxmlformats.org/officeDocument/2006/relationships/image" Target="media/image13.jpe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jpeg"/><Relationship Id="rId33" Type="http://schemas.openxmlformats.org/officeDocument/2006/relationships/image" Target="media/image21.png"/><Relationship Id="rId34" Type="http://schemas.openxmlformats.org/officeDocument/2006/relationships/image" Target="media/image22.jpeg"/><Relationship Id="rId35" Type="http://schemas.openxmlformats.org/officeDocument/2006/relationships/image" Target="media/image23.jpeg"/><Relationship Id="rId36" Type="http://schemas.openxmlformats.org/officeDocument/2006/relationships/image" Target="media/image24.jpeg"/><Relationship Id="rId37" Type="http://schemas.openxmlformats.org/officeDocument/2006/relationships/image" Target="media/image25.jpe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jpeg"/><Relationship Id="rId42" Type="http://schemas.openxmlformats.org/officeDocument/2006/relationships/image" Target="media/image30.png"/><Relationship Id="rId43" Type="http://schemas.openxmlformats.org/officeDocument/2006/relationships/hyperlink" Target="http://static.cninfo.com.cn/finalpage/2018-05-10/1204929452.DOC" TargetMode="External"/><Relationship Id="rId44" Type="http://schemas.openxmlformats.org/officeDocument/2006/relationships/hyperlink" Target="http://static.cninfo.com.cn/finalpage/2018-11-05/1205582461.DOC" TargetMode="External"/><Relationship Id="rId45" Type="http://schemas.openxmlformats.org/officeDocument/2006/relationships/image" Target="media/image31.jpeg"/><Relationship Id="rId46" Type="http://schemas.openxmlformats.org/officeDocument/2006/relationships/footer" Target="footer3.xml"/><Relationship Id="rId47" Type="http://schemas.openxmlformats.org/officeDocument/2006/relationships/footer" Target="footer4.xml"/><Relationship Id="rId48" Type="http://schemas.openxmlformats.org/officeDocument/2006/relationships/footer" Target="footer5.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深圳市优博讯科技股份有限公司</dc:creator>
  <dc:title>深圳市优博讯科技股份有限公司2018年年度报告全文</dc:title>
  <dcterms:created xsi:type="dcterms:W3CDTF">2020-05-04T20:07:28Z</dcterms:created>
  <dcterms:modified xsi:type="dcterms:W3CDTF">2020-05-04T20:07:28Z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2019-03-27T00:00:00Z</vt:filetime>
  </property>
  <property fmtid="{D5CDD505-2E9C-101B-9397-08002B2CF9AE}" pid="3" name="Creator">
    <vt:lpwstr>Microsoft® Office Word 2007</vt:lpwstr>
  </property>
  <property fmtid="{D5CDD505-2E9C-101B-9397-08002B2CF9AE}" pid="4" name="LastSaved">
    <vt:filetime>2020-05-04T00:00:00Z</vt:filetime>
  </property>
</Properties>
</file>